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3E16A5" w14:textId="39F58B68" w:rsidR="0048660B" w:rsidRPr="00076E76" w:rsidRDefault="003E07CD" w:rsidP="00C02A25">
      <w:pPr>
        <w:pStyle w:val="Heading3"/>
        <w:numPr>
          <w:ilvl w:val="0"/>
          <w:numId w:val="0"/>
        </w:numPr>
        <w:spacing w:line="240" w:lineRule="auto"/>
        <w:ind w:left="720"/>
        <w:jc w:val="center"/>
        <w:rPr>
          <w:rFonts w:ascii="Gill Sans" w:hAnsi="Gill Sans" w:cs="Gill Sans"/>
        </w:rPr>
      </w:pPr>
      <w:r w:rsidRPr="00076E76">
        <w:rPr>
          <w:rFonts w:ascii="Gill Sans" w:hAnsi="Gill Sans" w:cs="Gill Sans"/>
        </w:rPr>
        <w:t>T</w:t>
      </w:r>
      <w:r w:rsidR="0048660B" w:rsidRPr="00076E76">
        <w:rPr>
          <w:rFonts w:ascii="Gill Sans" w:hAnsi="Gill Sans" w:cs="Gill Sans"/>
        </w:rPr>
        <w:t>ransition and equity</w:t>
      </w:r>
    </w:p>
    <w:p w14:paraId="20F76C3E" w14:textId="77777777" w:rsidR="0048660B" w:rsidRPr="00076E76" w:rsidRDefault="0048660B" w:rsidP="0048660B">
      <w:pPr>
        <w:jc w:val="center"/>
        <w:rPr>
          <w:rFonts w:ascii="Gill Sans" w:hAnsi="Gill Sans" w:cs="Gill Sans"/>
        </w:rPr>
      </w:pPr>
      <w:r w:rsidRPr="00076E76">
        <w:rPr>
          <w:rFonts w:ascii="Gill Sans" w:hAnsi="Gill Sans" w:cs="Gill Sans"/>
        </w:rPr>
        <w:t>Literature Review</w:t>
      </w:r>
    </w:p>
    <w:p w14:paraId="68D89EFF" w14:textId="77777777" w:rsidR="0048660B" w:rsidRPr="00076E76" w:rsidRDefault="0048660B">
      <w:pPr>
        <w:rPr>
          <w:rFonts w:ascii="Gill Sans" w:hAnsi="Gill Sans" w:cs="Gill Sans"/>
        </w:rPr>
      </w:pPr>
    </w:p>
    <w:p w14:paraId="75A2762E" w14:textId="77777777" w:rsidR="0048660B" w:rsidRPr="00076E76" w:rsidRDefault="0048660B">
      <w:pPr>
        <w:rPr>
          <w:rFonts w:ascii="Gill Sans" w:hAnsi="Gill Sans" w:cs="Gill Sans"/>
        </w:rPr>
      </w:pPr>
    </w:p>
    <w:p w14:paraId="749CA949" w14:textId="77777777" w:rsidR="0048660B" w:rsidRPr="00076E76" w:rsidRDefault="0048660B">
      <w:pPr>
        <w:rPr>
          <w:rFonts w:ascii="Gill Sans" w:hAnsi="Gill Sans" w:cs="Gill Sans"/>
        </w:rPr>
      </w:pPr>
    </w:p>
    <w:p w14:paraId="4D57C1F0" w14:textId="77777777" w:rsidR="0048660B" w:rsidRPr="00076E76" w:rsidRDefault="0048660B" w:rsidP="0048660B">
      <w:pPr>
        <w:jc w:val="both"/>
        <w:rPr>
          <w:rFonts w:ascii="Gill Sans" w:hAnsi="Gill Sans" w:cs="Gill Sans"/>
          <w:color w:val="000000"/>
          <w:szCs w:val="22"/>
          <w:lang w:val="en-AU"/>
        </w:rPr>
      </w:pPr>
      <w:r w:rsidRPr="00076E76">
        <w:rPr>
          <w:rFonts w:ascii="Gill Sans" w:hAnsi="Gill Sans" w:cs="Gill Sans"/>
        </w:rPr>
        <w:t xml:space="preserve">In the context of pathways and equity, the term ‘transition’ (to describe both the phenomena and the discourses of educational movements) is used as synonymous with pathways, although its use often refers to specific pathways (for example, transitions from TAFE to university). In this section, the literature that offers a theoretical discussion of the term transition is discussed.  Gale &amp; Parker (2011, 2014) explored 24 Australian </w:t>
      </w:r>
      <w:r w:rsidRPr="00076E76">
        <w:rPr>
          <w:rFonts w:ascii="Gill Sans" w:hAnsi="Gill Sans" w:cs="Gill Sans"/>
          <w:szCs w:val="22"/>
        </w:rPr>
        <w:t xml:space="preserve">Learning and Teaching Council (ALTC)-funded projects (research and fellowships) to develop a better understanding of what transition means/ is taken to mean in Australian educational research. From their research, they note that transition is often undefined to taken to be commonsensical, leading to diverse positioning of provision and students within transition-related activities funded by the ALTC. From this exploration, they offer a three-part </w:t>
      </w:r>
      <w:r w:rsidRPr="00076E76">
        <w:rPr>
          <w:rFonts w:ascii="Gill Sans" w:hAnsi="Gill Sans" w:cs="Gill Sans"/>
          <w:color w:val="000000"/>
          <w:szCs w:val="22"/>
          <w:lang w:val="en-AU"/>
        </w:rPr>
        <w:t>typology of transition:</w:t>
      </w:r>
    </w:p>
    <w:p w14:paraId="3AB7FE96" w14:textId="77777777" w:rsidR="0048660B" w:rsidRPr="00076E76" w:rsidRDefault="0048660B" w:rsidP="0048660B">
      <w:pPr>
        <w:ind w:left="340"/>
        <w:jc w:val="both"/>
        <w:rPr>
          <w:rFonts w:ascii="Gill Sans" w:hAnsi="Gill Sans" w:cs="Gill Sans"/>
          <w:szCs w:val="22"/>
        </w:rPr>
      </w:pPr>
      <w:r w:rsidRPr="00076E76">
        <w:rPr>
          <w:rFonts w:ascii="Gill Sans" w:hAnsi="Gill Sans" w:cs="Gill Sans"/>
          <w:szCs w:val="22"/>
        </w:rPr>
        <w:t xml:space="preserve">1. As </w:t>
      </w:r>
      <w:r w:rsidRPr="00076E76">
        <w:rPr>
          <w:rFonts w:ascii="Gill Sans" w:hAnsi="Gill Sans" w:cs="Gill Sans"/>
          <w:i/>
          <w:iCs/>
          <w:szCs w:val="22"/>
        </w:rPr>
        <w:t>induction</w:t>
      </w:r>
      <w:r w:rsidRPr="00076E76">
        <w:rPr>
          <w:rFonts w:ascii="Gill Sans" w:hAnsi="Gill Sans" w:cs="Gill Sans"/>
          <w:szCs w:val="22"/>
        </w:rPr>
        <w:t>: sequentially defined periods of adjustment involving pathways of inculcation, from one institutional and/or disciplinary context to another (</w:t>
      </w:r>
      <w:r w:rsidRPr="00076E76">
        <w:rPr>
          <w:rFonts w:ascii="Gill Sans" w:hAnsi="Gill Sans" w:cs="Gill Sans"/>
          <w:i/>
          <w:iCs/>
          <w:szCs w:val="22"/>
        </w:rPr>
        <w:t>T</w:t>
      </w:r>
      <w:r w:rsidRPr="00076E76">
        <w:rPr>
          <w:rFonts w:ascii="Gill Sans" w:hAnsi="Gill Sans" w:cs="Gill Sans"/>
          <w:i/>
          <w:iCs/>
          <w:sz w:val="14"/>
          <w:szCs w:val="14"/>
        </w:rPr>
        <w:t>1</w:t>
      </w:r>
      <w:r w:rsidRPr="00076E76">
        <w:rPr>
          <w:rFonts w:ascii="Gill Sans" w:hAnsi="Gill Sans" w:cs="Gill Sans"/>
          <w:szCs w:val="22"/>
        </w:rPr>
        <w:t xml:space="preserve">); </w:t>
      </w:r>
    </w:p>
    <w:p w14:paraId="3FAE97A2" w14:textId="77777777" w:rsidR="0048660B" w:rsidRPr="00076E76" w:rsidRDefault="0048660B" w:rsidP="0048660B">
      <w:pPr>
        <w:ind w:left="340"/>
        <w:jc w:val="both"/>
        <w:rPr>
          <w:rFonts w:ascii="Gill Sans" w:hAnsi="Gill Sans" w:cs="Gill Sans"/>
          <w:szCs w:val="22"/>
        </w:rPr>
      </w:pPr>
      <w:r w:rsidRPr="00076E76">
        <w:rPr>
          <w:rFonts w:ascii="Gill Sans" w:hAnsi="Gill Sans" w:cs="Gill Sans"/>
          <w:szCs w:val="22"/>
        </w:rPr>
        <w:t xml:space="preserve">2. As </w:t>
      </w:r>
      <w:r w:rsidRPr="00076E76">
        <w:rPr>
          <w:rFonts w:ascii="Gill Sans" w:hAnsi="Gill Sans" w:cs="Gill Sans"/>
          <w:i/>
          <w:iCs/>
          <w:szCs w:val="22"/>
        </w:rPr>
        <w:t>development</w:t>
      </w:r>
      <w:r w:rsidRPr="00076E76">
        <w:rPr>
          <w:rFonts w:ascii="Gill Sans" w:hAnsi="Gill Sans" w:cs="Gill Sans"/>
          <w:szCs w:val="22"/>
        </w:rPr>
        <w:t>: qualitatively distinct stages of maturation involving trajectories of transformation, from one student and/or career identity to another (</w:t>
      </w:r>
      <w:r w:rsidRPr="00076E76">
        <w:rPr>
          <w:rFonts w:ascii="Gill Sans" w:hAnsi="Gill Sans" w:cs="Gill Sans"/>
          <w:i/>
          <w:iCs/>
          <w:szCs w:val="22"/>
        </w:rPr>
        <w:t>T</w:t>
      </w:r>
      <w:r w:rsidRPr="00076E76">
        <w:rPr>
          <w:rFonts w:ascii="Gill Sans" w:hAnsi="Gill Sans" w:cs="Gill Sans"/>
          <w:i/>
          <w:iCs/>
          <w:sz w:val="14"/>
          <w:szCs w:val="14"/>
        </w:rPr>
        <w:t>2</w:t>
      </w:r>
      <w:r w:rsidRPr="00076E76">
        <w:rPr>
          <w:rFonts w:ascii="Gill Sans" w:hAnsi="Gill Sans" w:cs="Gill Sans"/>
          <w:szCs w:val="22"/>
        </w:rPr>
        <w:t xml:space="preserve">); or </w:t>
      </w:r>
    </w:p>
    <w:p w14:paraId="27FC0535" w14:textId="77777777" w:rsidR="0048660B" w:rsidRPr="00076E76" w:rsidRDefault="0048660B" w:rsidP="0048660B">
      <w:pPr>
        <w:ind w:left="340"/>
        <w:jc w:val="both"/>
        <w:rPr>
          <w:rFonts w:ascii="Gill Sans" w:hAnsi="Gill Sans" w:cs="Gill Sans"/>
          <w:szCs w:val="22"/>
        </w:rPr>
      </w:pPr>
      <w:r w:rsidRPr="00076E76">
        <w:rPr>
          <w:rFonts w:ascii="Gill Sans" w:hAnsi="Gill Sans" w:cs="Gill Sans"/>
          <w:szCs w:val="22"/>
        </w:rPr>
        <w:t xml:space="preserve">3. As </w:t>
      </w:r>
      <w:r w:rsidRPr="00076E76">
        <w:rPr>
          <w:rFonts w:ascii="Gill Sans" w:hAnsi="Gill Sans" w:cs="Gill Sans"/>
          <w:i/>
          <w:iCs/>
          <w:szCs w:val="22"/>
        </w:rPr>
        <w:t>becoming</w:t>
      </w:r>
      <w:r w:rsidRPr="00076E76">
        <w:rPr>
          <w:rFonts w:ascii="Gill Sans" w:hAnsi="Gill Sans" w:cs="Gill Sans"/>
          <w:szCs w:val="22"/>
        </w:rPr>
        <w:t>: a perpetual series of fragmented movements involving whole-of-life fluctuations in lived reality or subjective experience, from birth to death (</w:t>
      </w:r>
      <w:r w:rsidRPr="00076E76">
        <w:rPr>
          <w:rFonts w:ascii="Gill Sans" w:hAnsi="Gill Sans" w:cs="Gill Sans"/>
          <w:i/>
          <w:iCs/>
          <w:szCs w:val="22"/>
        </w:rPr>
        <w:t>T</w:t>
      </w:r>
      <w:r w:rsidRPr="00076E76">
        <w:rPr>
          <w:rFonts w:ascii="Gill Sans" w:hAnsi="Gill Sans" w:cs="Gill Sans"/>
          <w:i/>
          <w:iCs/>
          <w:sz w:val="14"/>
          <w:szCs w:val="14"/>
        </w:rPr>
        <w:t>3</w:t>
      </w:r>
      <w:r w:rsidRPr="00076E76">
        <w:rPr>
          <w:rFonts w:ascii="Gill Sans" w:hAnsi="Gill Sans" w:cs="Gill Sans"/>
          <w:szCs w:val="22"/>
        </w:rPr>
        <w:t xml:space="preserve">). </w:t>
      </w:r>
    </w:p>
    <w:p w14:paraId="0A60968D" w14:textId="77777777" w:rsidR="0048660B" w:rsidRPr="00076E76" w:rsidRDefault="0048660B" w:rsidP="0048660B">
      <w:pPr>
        <w:rPr>
          <w:rFonts w:ascii="Gill Sans" w:hAnsi="Gill Sans" w:cs="Gill Sans"/>
          <w:szCs w:val="22"/>
        </w:rPr>
      </w:pPr>
    </w:p>
    <w:p w14:paraId="367C5FF6" w14:textId="4B630C9E" w:rsidR="0048660B" w:rsidRPr="00076E76" w:rsidRDefault="0048660B" w:rsidP="0048660B">
      <w:pPr>
        <w:jc w:val="both"/>
        <w:rPr>
          <w:rFonts w:ascii="Gill Sans" w:hAnsi="Gill Sans" w:cs="Gill Sans"/>
          <w:color w:val="000000"/>
          <w:szCs w:val="22"/>
          <w:lang w:val="en-AU"/>
        </w:rPr>
      </w:pPr>
      <w:r w:rsidRPr="00076E76">
        <w:rPr>
          <w:rFonts w:ascii="Gill Sans" w:hAnsi="Gill Sans" w:cs="Gill Sans"/>
          <w:color w:val="000000"/>
          <w:szCs w:val="22"/>
          <w:lang w:val="en-AU"/>
        </w:rPr>
        <w:t>Gale &amp; Parker (2014) proclaim they have the ‘most sympathy’ for T3 (</w:t>
      </w:r>
      <w:r w:rsidRPr="00076E76">
        <w:rPr>
          <w:rFonts w:ascii="Gill Sans" w:hAnsi="Gill Sans" w:cs="Gill Sans"/>
          <w:i/>
          <w:color w:val="000000"/>
          <w:szCs w:val="22"/>
          <w:lang w:val="en-AU"/>
        </w:rPr>
        <w:t>transition as becoming</w:t>
      </w:r>
      <w:r w:rsidRPr="00076E76">
        <w:rPr>
          <w:rFonts w:ascii="Gill Sans" w:hAnsi="Gill Sans" w:cs="Gill Sans"/>
          <w:color w:val="000000"/>
          <w:szCs w:val="22"/>
          <w:lang w:val="en-AU"/>
        </w:rPr>
        <w:t xml:space="preserve">) because it “has the most potential for new thinking about transitions in HE in socially inclusive ways” (p.735). They argue that as a result of policy and practice on transition being disconnected from broader literature on youth and whole-of-life transitions, work and theorisations of transition-related activities are limited in scope and potential for transformation. They also contend that the dominant conceptions of transition found in the 24 projects they explored (primarily </w:t>
      </w:r>
      <w:r w:rsidRPr="00076E76">
        <w:rPr>
          <w:rFonts w:ascii="Gill Sans" w:hAnsi="Gill Sans" w:cs="Gill Sans"/>
          <w:i/>
          <w:color w:val="000000"/>
          <w:szCs w:val="22"/>
          <w:lang w:val="en-AU"/>
        </w:rPr>
        <w:t xml:space="preserve">transition as induction, </w:t>
      </w:r>
      <w:r w:rsidRPr="00076E76">
        <w:rPr>
          <w:rFonts w:ascii="Gill Sans" w:hAnsi="Gill Sans" w:cs="Gill Sans"/>
          <w:color w:val="000000"/>
          <w:szCs w:val="22"/>
          <w:lang w:val="en-AU"/>
        </w:rPr>
        <w:t xml:space="preserve">then </w:t>
      </w:r>
      <w:r w:rsidRPr="00076E76">
        <w:rPr>
          <w:rFonts w:ascii="Gill Sans" w:hAnsi="Gill Sans" w:cs="Gill Sans"/>
          <w:i/>
          <w:color w:val="000000"/>
          <w:szCs w:val="22"/>
          <w:lang w:val="en-AU"/>
        </w:rPr>
        <w:t>transition as development</w:t>
      </w:r>
      <w:r w:rsidRPr="00076E76">
        <w:rPr>
          <w:rFonts w:ascii="Gill Sans" w:hAnsi="Gill Sans" w:cs="Gill Sans"/>
          <w:color w:val="000000"/>
          <w:szCs w:val="22"/>
          <w:lang w:val="en-AU"/>
        </w:rPr>
        <w:t xml:space="preserve">) are system-driven and system serving, meaning they require students to change but not institutions’ systems or structures. In order to develop more student-focused and responsive pathways, educators and researchers need to be more aware of students’ lived realities rather than focusing on institutional/ systemic self-interest. </w:t>
      </w:r>
    </w:p>
    <w:p w14:paraId="5C7A37CF" w14:textId="77777777" w:rsidR="0048660B" w:rsidRPr="00076E76" w:rsidRDefault="0048660B" w:rsidP="0048660B">
      <w:pPr>
        <w:jc w:val="both"/>
        <w:rPr>
          <w:rFonts w:ascii="Gill Sans" w:hAnsi="Gill Sans" w:cs="Gill Sans"/>
          <w:color w:val="000000"/>
          <w:szCs w:val="22"/>
          <w:lang w:val="en-AU"/>
        </w:rPr>
      </w:pPr>
    </w:p>
    <w:p w14:paraId="3505FD4E" w14:textId="330EE969" w:rsidR="00C818BA" w:rsidRDefault="0048660B" w:rsidP="0048660B">
      <w:pPr>
        <w:jc w:val="both"/>
        <w:rPr>
          <w:rFonts w:ascii="Gill Sans" w:hAnsi="Gill Sans" w:cs="Gill Sans"/>
          <w:color w:val="000000"/>
          <w:szCs w:val="22"/>
        </w:rPr>
      </w:pPr>
      <w:r w:rsidRPr="00076E76">
        <w:rPr>
          <w:rFonts w:ascii="Gill Sans" w:hAnsi="Gill Sans" w:cs="Gill Sans"/>
          <w:color w:val="000000"/>
          <w:szCs w:val="22"/>
          <w:lang w:val="en-AU"/>
        </w:rPr>
        <w:t xml:space="preserve">This last point is picked up in Stirling &amp; </w:t>
      </w:r>
      <w:proofErr w:type="spellStart"/>
      <w:r w:rsidRPr="00076E76">
        <w:rPr>
          <w:rFonts w:ascii="Gill Sans" w:hAnsi="Gill Sans" w:cs="Gill Sans"/>
          <w:color w:val="000000"/>
          <w:szCs w:val="22"/>
          <w:lang w:val="en-AU"/>
        </w:rPr>
        <w:t>Rossetto’s</w:t>
      </w:r>
      <w:proofErr w:type="spellEnd"/>
      <w:r w:rsidRPr="00076E76">
        <w:rPr>
          <w:rFonts w:ascii="Gill Sans" w:hAnsi="Gill Sans" w:cs="Gill Sans"/>
          <w:color w:val="000000"/>
          <w:szCs w:val="22"/>
          <w:lang w:val="en-AU"/>
        </w:rPr>
        <w:t xml:space="preserve"> (2015) discussion of transition in the context of providing academic support to equity students in their first year of undergraduate study, specifically in the context of blended learning and digital literacies. They argue that normative assumptions about what students bring and what lecturers can offer lead to “</w:t>
      </w:r>
      <w:r w:rsidRPr="00076E76">
        <w:rPr>
          <w:rFonts w:ascii="Gill Sans" w:hAnsi="Gill Sans" w:cs="Gill Sans"/>
          <w:color w:val="000000"/>
          <w:szCs w:val="22"/>
        </w:rPr>
        <w:t>competing realities”</w:t>
      </w:r>
      <w:r w:rsidRPr="00076E76">
        <w:rPr>
          <w:rFonts w:ascii="Gill Sans" w:hAnsi="Gill Sans" w:cs="Gill Sans"/>
          <w:color w:val="000000"/>
          <w:szCs w:val="22"/>
          <w:lang w:val="en-AU"/>
        </w:rPr>
        <w:t>, which place “</w:t>
      </w:r>
      <w:r w:rsidRPr="00076E76">
        <w:rPr>
          <w:rFonts w:ascii="Gill Sans" w:hAnsi="Gill Sans" w:cs="Gill Sans"/>
          <w:color w:val="000000"/>
          <w:szCs w:val="22"/>
        </w:rPr>
        <w:t>important differences and the politics of identity inherent in diversity and social inclusion under erasure” (p.17)</w:t>
      </w:r>
      <w:r w:rsidRPr="00076E76">
        <w:rPr>
          <w:rFonts w:ascii="Gill Sans" w:hAnsi="Gill Sans" w:cs="Gill Sans"/>
          <w:color w:val="000000"/>
          <w:szCs w:val="22"/>
          <w:lang w:val="en-AU"/>
        </w:rPr>
        <w:t xml:space="preserve">. Stirling &amp; </w:t>
      </w:r>
      <w:proofErr w:type="spellStart"/>
      <w:r w:rsidRPr="00076E76">
        <w:rPr>
          <w:rFonts w:ascii="Gill Sans" w:hAnsi="Gill Sans" w:cs="Gill Sans"/>
          <w:color w:val="000000"/>
          <w:szCs w:val="22"/>
          <w:lang w:val="en-AU"/>
        </w:rPr>
        <w:t>Rossetto</w:t>
      </w:r>
      <w:proofErr w:type="spellEnd"/>
      <w:r w:rsidRPr="00076E76">
        <w:rPr>
          <w:rFonts w:ascii="Gill Sans" w:hAnsi="Gill Sans" w:cs="Gill Sans"/>
          <w:color w:val="000000"/>
          <w:szCs w:val="22"/>
          <w:lang w:val="en-AU"/>
        </w:rPr>
        <w:t xml:space="preserve"> argue that there are core tensions between teachers, equity students and academic literacies advisors when it comes to facilitating students’: “</w:t>
      </w:r>
      <w:r w:rsidRPr="00076E76">
        <w:rPr>
          <w:rFonts w:ascii="Gill Sans" w:hAnsi="Gill Sans" w:cs="Gill Sans"/>
          <w:color w:val="000000"/>
          <w:szCs w:val="22"/>
        </w:rPr>
        <w:t xml:space="preserve">We argue that too often subject lecturers, equity students and, indeed, ALL teachers, become entangled in the sometimes competing imperatives of teaching directives and equity policy implementation” (p.11), which requires a radical change (‘recalibration’) of what transition means in context of widening participation and technological change. </w:t>
      </w:r>
      <w:r w:rsidR="00C818BA">
        <w:rPr>
          <w:rFonts w:ascii="Gill Sans" w:hAnsi="Gill Sans" w:cs="Gill Sans"/>
          <w:color w:val="000000"/>
          <w:szCs w:val="22"/>
        </w:rPr>
        <w:t>The issue of normative assumptions regarding students’ transition is also evident in</w:t>
      </w:r>
      <w:r w:rsidR="0013628F">
        <w:rPr>
          <w:rFonts w:ascii="Gill Sans" w:hAnsi="Gill Sans" w:cs="Gill Sans"/>
          <w:color w:val="000000"/>
          <w:szCs w:val="22"/>
        </w:rPr>
        <w:t xml:space="preserve"> </w:t>
      </w:r>
      <w:proofErr w:type="spellStart"/>
      <w:r w:rsidR="0013628F">
        <w:rPr>
          <w:rFonts w:ascii="Gill Sans" w:hAnsi="Gill Sans" w:cs="Gill Sans"/>
          <w:color w:val="000000"/>
          <w:szCs w:val="22"/>
        </w:rPr>
        <w:t>Gravett</w:t>
      </w:r>
      <w:proofErr w:type="spellEnd"/>
      <w:r w:rsidR="0013628F">
        <w:rPr>
          <w:rFonts w:ascii="Gill Sans" w:hAnsi="Gill Sans" w:cs="Gill Sans"/>
          <w:color w:val="000000"/>
          <w:szCs w:val="22"/>
        </w:rPr>
        <w:t xml:space="preserve">, </w:t>
      </w:r>
      <w:proofErr w:type="spellStart"/>
      <w:r w:rsidR="0013628F">
        <w:rPr>
          <w:rFonts w:ascii="Gill Sans" w:hAnsi="Gill Sans" w:cs="Gill Sans"/>
          <w:color w:val="000000"/>
          <w:szCs w:val="22"/>
        </w:rPr>
        <w:t>Kinchin</w:t>
      </w:r>
      <w:proofErr w:type="spellEnd"/>
      <w:r w:rsidR="0013628F">
        <w:rPr>
          <w:rFonts w:ascii="Gill Sans" w:hAnsi="Gill Sans" w:cs="Gill Sans"/>
          <w:color w:val="000000"/>
          <w:szCs w:val="22"/>
        </w:rPr>
        <w:t xml:space="preserve"> and </w:t>
      </w:r>
      <w:proofErr w:type="spellStart"/>
      <w:r w:rsidR="0013628F">
        <w:rPr>
          <w:rFonts w:ascii="Gill Sans" w:hAnsi="Gill Sans" w:cs="Gill Sans"/>
          <w:color w:val="000000"/>
          <w:szCs w:val="22"/>
        </w:rPr>
        <w:t>Winstone’s</w:t>
      </w:r>
      <w:proofErr w:type="spellEnd"/>
      <w:r w:rsidR="0013628F">
        <w:rPr>
          <w:rFonts w:ascii="Gill Sans" w:hAnsi="Gill Sans" w:cs="Gill Sans"/>
          <w:color w:val="000000"/>
          <w:szCs w:val="22"/>
        </w:rPr>
        <w:t xml:space="preserve"> (2020) study, which investigated the transition conceptions held by academic and professional staff who support students’ learning into and through higher education. Findings from the study revealed the academic and professional staff draw heavily on the normative concepts of transitions, where students are viewed in deficit (</w:t>
      </w:r>
      <w:proofErr w:type="spellStart"/>
      <w:r w:rsidR="0013628F">
        <w:rPr>
          <w:rFonts w:ascii="Gill Sans" w:hAnsi="Gill Sans" w:cs="Gill Sans"/>
          <w:color w:val="000000"/>
          <w:szCs w:val="22"/>
        </w:rPr>
        <w:t>Gravett</w:t>
      </w:r>
      <w:proofErr w:type="spellEnd"/>
      <w:r w:rsidR="0013628F">
        <w:rPr>
          <w:rFonts w:ascii="Gill Sans" w:hAnsi="Gill Sans" w:cs="Gill Sans"/>
          <w:color w:val="000000"/>
          <w:szCs w:val="22"/>
        </w:rPr>
        <w:t xml:space="preserve"> et al., 2020). However, evidence from the concept maps drawn by participants also highlight a divergence from the main narrative, where the staff acknowledged the complex, multiple, individual, and heterogenous nature of students’ </w:t>
      </w:r>
      <w:r w:rsidR="0013628F">
        <w:rPr>
          <w:rFonts w:ascii="Gill Sans" w:hAnsi="Gill Sans" w:cs="Gill Sans"/>
          <w:color w:val="000000"/>
          <w:szCs w:val="22"/>
        </w:rPr>
        <w:lastRenderedPageBreak/>
        <w:t xml:space="preserve">transitions into higher education. </w:t>
      </w:r>
      <w:proofErr w:type="spellStart"/>
      <w:r w:rsidR="0013628F">
        <w:rPr>
          <w:rFonts w:ascii="Gill Sans" w:hAnsi="Gill Sans" w:cs="Gill Sans"/>
          <w:color w:val="000000"/>
          <w:szCs w:val="22"/>
        </w:rPr>
        <w:t>Gravett</w:t>
      </w:r>
      <w:proofErr w:type="spellEnd"/>
      <w:r w:rsidR="0013628F">
        <w:rPr>
          <w:rFonts w:ascii="Gill Sans" w:hAnsi="Gill Sans" w:cs="Gill Sans"/>
          <w:color w:val="000000"/>
          <w:szCs w:val="22"/>
        </w:rPr>
        <w:t xml:space="preserve"> et al. (2020) thus contend that the deviation from the normative understandings of student transition suggests that staff are becoming increasingly aware of students’ heterogenous experiences of transitions, which points towards ‘pedagogic frailty’ (p. 11), as relevant support for students is still lacking.  On the other </w:t>
      </w:r>
      <w:proofErr w:type="gramStart"/>
      <w:r w:rsidR="0013628F">
        <w:rPr>
          <w:rFonts w:ascii="Gill Sans" w:hAnsi="Gill Sans" w:cs="Gill Sans"/>
          <w:color w:val="000000"/>
          <w:szCs w:val="22"/>
        </w:rPr>
        <w:t xml:space="preserve">hand, </w:t>
      </w:r>
      <w:r w:rsidR="00C818BA">
        <w:rPr>
          <w:rFonts w:ascii="Gill Sans" w:hAnsi="Gill Sans" w:cs="Gill Sans"/>
          <w:color w:val="000000"/>
          <w:szCs w:val="22"/>
        </w:rPr>
        <w:t xml:space="preserve"> Baker</w:t>
      </w:r>
      <w:proofErr w:type="gramEnd"/>
      <w:r w:rsidR="00C818BA">
        <w:rPr>
          <w:rFonts w:ascii="Gill Sans" w:hAnsi="Gill Sans" w:cs="Gill Sans"/>
          <w:color w:val="000000"/>
          <w:szCs w:val="22"/>
        </w:rPr>
        <w:t xml:space="preserve"> and Irwin’s (2019) study</w:t>
      </w:r>
      <w:r w:rsidR="0013628F">
        <w:rPr>
          <w:rFonts w:ascii="Gill Sans" w:hAnsi="Gill Sans" w:cs="Gill Sans"/>
          <w:color w:val="000000"/>
          <w:szCs w:val="22"/>
        </w:rPr>
        <w:t xml:space="preserve"> highlights </w:t>
      </w:r>
      <w:r w:rsidR="00C818BA">
        <w:rPr>
          <w:rFonts w:ascii="Gill Sans" w:hAnsi="Gill Sans" w:cs="Gill Sans"/>
          <w:color w:val="000000"/>
          <w:szCs w:val="22"/>
        </w:rPr>
        <w:t>how institutional assumptions create ‘stuck places’ for refugee students’ transition into HE</w:t>
      </w:r>
      <w:r w:rsidR="0013628F">
        <w:rPr>
          <w:rFonts w:ascii="Gill Sans" w:hAnsi="Gill Sans" w:cs="Gill Sans"/>
          <w:color w:val="000000"/>
          <w:szCs w:val="22"/>
        </w:rPr>
        <w:t xml:space="preserve">. </w:t>
      </w:r>
      <w:r w:rsidR="00CF015F">
        <w:rPr>
          <w:rFonts w:ascii="Gill Sans" w:hAnsi="Gill Sans" w:cs="Gill Sans"/>
          <w:color w:val="000000"/>
          <w:szCs w:val="22"/>
        </w:rPr>
        <w:t xml:space="preserve"> Their investigation of  the experiences of culturally and linguistically diverse refugee students (CALDM/R) who moved from a TAFE context into a regional Australian university revealed that despite the common experiences of forced migration experienced by all students, significant individual differences were also observed in terms of ‘level of language and literacy proficiency, familiarity with Australia’s education system and obligations falling outside of the traditionally held boundaries of study’ (Baker &amp; Irwin, 2009,p. 9). Baker &amp; Irwin </w:t>
      </w:r>
      <w:r w:rsidR="00E8148F">
        <w:rPr>
          <w:rFonts w:ascii="Gill Sans" w:hAnsi="Gill Sans" w:cs="Gill Sans"/>
          <w:color w:val="000000"/>
          <w:szCs w:val="22"/>
        </w:rPr>
        <w:t xml:space="preserve">(2009) </w:t>
      </w:r>
      <w:r w:rsidR="00CF015F">
        <w:rPr>
          <w:rFonts w:ascii="Gill Sans" w:hAnsi="Gill Sans" w:cs="Gill Sans"/>
          <w:color w:val="000000"/>
          <w:szCs w:val="22"/>
        </w:rPr>
        <w:t>therefore contend that despite their good intentions and opportunities to access higher education, many CALDM/R students are often ‘stuck’ due to the ‘monolithic assumptions of what students bring with them and can do, and unrealistic expectations of individuals’ capacity to help themselves</w:t>
      </w:r>
      <w:r w:rsidR="00E8148F">
        <w:rPr>
          <w:rFonts w:ascii="Gill Sans" w:hAnsi="Gill Sans" w:cs="Gill Sans"/>
          <w:color w:val="000000"/>
          <w:szCs w:val="22"/>
        </w:rPr>
        <w:t xml:space="preserve"> without targeted and responsive supports’ (p. 17). Hence, the authors suggest that higher education institutions should ‘understand and value the rich heterogeneity of students </w:t>
      </w:r>
      <w:proofErr w:type="gramStart"/>
      <w:r w:rsidR="00E8148F">
        <w:rPr>
          <w:rFonts w:ascii="Gill Sans" w:hAnsi="Gill Sans" w:cs="Gill Sans"/>
          <w:color w:val="000000"/>
          <w:szCs w:val="22"/>
        </w:rPr>
        <w:t>experiences, and</w:t>
      </w:r>
      <w:proofErr w:type="gramEnd"/>
      <w:r w:rsidR="00E8148F">
        <w:rPr>
          <w:rFonts w:ascii="Gill Sans" w:hAnsi="Gill Sans" w:cs="Gill Sans"/>
          <w:color w:val="000000"/>
          <w:szCs w:val="22"/>
        </w:rPr>
        <w:t xml:space="preserve"> develop more nuanced and flexible approaches’ (Baker &amp; Irwin, 2009, p. 17) in supporting students’ transition. </w:t>
      </w:r>
    </w:p>
    <w:p w14:paraId="1166168B" w14:textId="77777777" w:rsidR="00C818BA" w:rsidRDefault="00C818BA" w:rsidP="0048660B">
      <w:pPr>
        <w:jc w:val="both"/>
        <w:rPr>
          <w:rFonts w:ascii="Gill Sans" w:hAnsi="Gill Sans" w:cs="Gill Sans"/>
          <w:color w:val="000000"/>
          <w:szCs w:val="22"/>
        </w:rPr>
      </w:pPr>
    </w:p>
    <w:p w14:paraId="57BBD910" w14:textId="2C5444F7" w:rsidR="0048660B" w:rsidRPr="00076E76" w:rsidRDefault="00E82E66" w:rsidP="0048660B">
      <w:pPr>
        <w:jc w:val="both"/>
        <w:rPr>
          <w:rFonts w:ascii="Gill Sans" w:hAnsi="Gill Sans" w:cs="Gill Sans"/>
        </w:rPr>
      </w:pPr>
      <w:r>
        <w:rPr>
          <w:rFonts w:ascii="Gill Sans" w:hAnsi="Gill Sans" w:cs="Gill Sans"/>
          <w:color w:val="000000"/>
          <w:szCs w:val="22"/>
        </w:rPr>
        <w:t>There is also</w:t>
      </w:r>
      <w:r w:rsidR="00180605">
        <w:rPr>
          <w:rFonts w:ascii="Gill Sans" w:hAnsi="Gill Sans" w:cs="Gill Sans"/>
          <w:color w:val="000000"/>
          <w:szCs w:val="22"/>
        </w:rPr>
        <w:t xml:space="preserve"> scholarly interest on the factors that influence the transition experiences of students into higher education. </w:t>
      </w:r>
      <w:r w:rsidR="0048660B" w:rsidRPr="00076E76">
        <w:rPr>
          <w:rFonts w:ascii="Gill Sans" w:hAnsi="Gill Sans" w:cs="Gill Sans"/>
          <w:color w:val="000000"/>
          <w:szCs w:val="22"/>
          <w:lang w:val="en-AU"/>
        </w:rPr>
        <w:t>Meuleman et al.’s (2015) study of non-traditional students’ experiences of their first year of university draws on Bourdieu’s notion of cultural capital to understand ‘field expectations’ of higher education study. They assert that receiving grades, forced independence and disconnection from other students are key contributors to feeling emotionally and academically isolated in their first year, leading to “n</w:t>
      </w:r>
      <w:r w:rsidR="0048660B" w:rsidRPr="00076E76">
        <w:rPr>
          <w:rFonts w:ascii="Gill Sans" w:hAnsi="Gill Sans" w:cs="Gill Sans"/>
        </w:rPr>
        <w:t xml:space="preserve">on-traditional students not [being] well positioned in relation to cultural and social capital to negotiate transition to university” (p.513) and as a result they are constructed as ‘other’. </w:t>
      </w:r>
      <w:r w:rsidR="0048660B" w:rsidRPr="00076E76">
        <w:rPr>
          <w:rFonts w:ascii="Gill Sans" w:hAnsi="Gill Sans" w:cs="Gill Sans"/>
          <w:color w:val="000000"/>
          <w:szCs w:val="22"/>
          <w:lang w:val="en-AU"/>
        </w:rPr>
        <w:t>Meuleman et al.</w:t>
      </w:r>
      <w:r w:rsidR="00EC1E36">
        <w:rPr>
          <w:rFonts w:ascii="Gill Sans" w:hAnsi="Gill Sans" w:cs="Gill Sans"/>
          <w:color w:val="000000"/>
          <w:szCs w:val="22"/>
          <w:lang w:val="en-AU"/>
        </w:rPr>
        <w:t xml:space="preserve"> (2015)</w:t>
      </w:r>
      <w:r w:rsidR="0048660B" w:rsidRPr="00076E76">
        <w:rPr>
          <w:rFonts w:ascii="Gill Sans" w:hAnsi="Gill Sans" w:cs="Gill Sans"/>
          <w:color w:val="000000"/>
          <w:szCs w:val="22"/>
          <w:lang w:val="en-AU"/>
        </w:rPr>
        <w:t xml:space="preserve"> c</w:t>
      </w:r>
      <w:r w:rsidR="0048660B" w:rsidRPr="00076E76">
        <w:rPr>
          <w:rFonts w:ascii="Gill Sans" w:hAnsi="Gill Sans" w:cs="Gill Sans"/>
        </w:rPr>
        <w:t>all for a broadened perspective in the moral purpose of universities and a shared belief in wanting to make the transition to university smoother and accessible for all student groups”, with more focus on “the interconnectedness of academic and social experience of university and the importance of strong social support” (p.514-5).</w:t>
      </w:r>
      <w:r w:rsidR="00911658">
        <w:rPr>
          <w:rFonts w:ascii="Gill Sans" w:hAnsi="Gill Sans" w:cs="Gill Sans"/>
        </w:rPr>
        <w:t xml:space="preserve"> </w:t>
      </w:r>
      <w:r w:rsidR="00180605">
        <w:rPr>
          <w:rFonts w:ascii="Gill Sans" w:hAnsi="Gill Sans" w:cs="Gill Sans"/>
        </w:rPr>
        <w:t xml:space="preserve">Similarly, findings from Wilcox, Winn and </w:t>
      </w:r>
      <w:proofErr w:type="spellStart"/>
      <w:r w:rsidR="00180605">
        <w:rPr>
          <w:rFonts w:ascii="Gill Sans" w:hAnsi="Gill Sans" w:cs="Gill Sans"/>
        </w:rPr>
        <w:t>Fybie-Gauld’s</w:t>
      </w:r>
      <w:proofErr w:type="spellEnd"/>
      <w:r w:rsidR="00180605">
        <w:rPr>
          <w:rFonts w:ascii="Gill Sans" w:hAnsi="Gill Sans" w:cs="Gill Sans"/>
        </w:rPr>
        <w:t xml:space="preserve"> (2005) study of 22 students in Applied Social Sciences at the University of Brighton indicate students’ anxieties about making friends as a significant aspect of students’ transitions, therefore highlighting the importance of social support to facilitate students’ transition in Year 1 of university. The importance of social support is also emphasised by Wrench, Ga</w:t>
      </w:r>
      <w:r w:rsidR="007848EE">
        <w:rPr>
          <w:rFonts w:ascii="Gill Sans" w:hAnsi="Gill Sans" w:cs="Gill Sans"/>
        </w:rPr>
        <w:t>rr</w:t>
      </w:r>
      <w:r w:rsidR="00180605">
        <w:rPr>
          <w:rFonts w:ascii="Gill Sans" w:hAnsi="Gill Sans" w:cs="Gill Sans"/>
        </w:rPr>
        <w:t xml:space="preserve">ett and King’s (2013) study, which explored the factors impacting the health and wellbeing of students transitioning into HE. Findings from the study revealed the importance of a sense of community for students, therefore highlighting the need for universities to develop programs that promote social networks and supportive peer relationships (Wrench et al., 2013). </w:t>
      </w:r>
      <w:r w:rsidR="00491DF1">
        <w:rPr>
          <w:rFonts w:ascii="Gill Sans" w:hAnsi="Gill Sans" w:cs="Gill Sans"/>
        </w:rPr>
        <w:t xml:space="preserve">On the other hand, findings from </w:t>
      </w:r>
      <w:proofErr w:type="spellStart"/>
      <w:r w:rsidR="00491DF1">
        <w:rPr>
          <w:rFonts w:ascii="Gill Sans" w:hAnsi="Gill Sans" w:cs="Gill Sans"/>
        </w:rPr>
        <w:t>Brinkworth</w:t>
      </w:r>
      <w:proofErr w:type="spellEnd"/>
      <w:r w:rsidR="00491DF1">
        <w:rPr>
          <w:rFonts w:ascii="Gill Sans" w:hAnsi="Gill Sans" w:cs="Gill Sans"/>
        </w:rPr>
        <w:t>, McCann, Matthews and Nordstrom’s (2009) study, which investigated how the expectations of first year students were met in universities, indicate that feedback was a significant issue where a mismatch between the expectations and realities of students and the perceptions of students and teachers</w:t>
      </w:r>
      <w:r w:rsidR="00C818BA">
        <w:rPr>
          <w:rFonts w:ascii="Gill Sans" w:hAnsi="Gill Sans" w:cs="Gill Sans"/>
        </w:rPr>
        <w:t xml:space="preserve"> (</w:t>
      </w:r>
      <w:proofErr w:type="spellStart"/>
      <w:r w:rsidR="00C818BA">
        <w:rPr>
          <w:rFonts w:ascii="Gill Sans" w:hAnsi="Gill Sans" w:cs="Gill Sans"/>
        </w:rPr>
        <w:t>Brinkworth</w:t>
      </w:r>
      <w:proofErr w:type="spellEnd"/>
      <w:r w:rsidR="00C818BA">
        <w:rPr>
          <w:rFonts w:ascii="Gill Sans" w:hAnsi="Gill Sans" w:cs="Gill Sans"/>
        </w:rPr>
        <w:t xml:space="preserve"> et al., 2009). The authors therefore argue for “more proactive and earlier intervention strategies to facilitate students’ transitions” (</w:t>
      </w:r>
      <w:proofErr w:type="spellStart"/>
      <w:r w:rsidR="00C818BA">
        <w:rPr>
          <w:rFonts w:ascii="Gill Sans" w:hAnsi="Gill Sans" w:cs="Gill Sans"/>
        </w:rPr>
        <w:t>Brinkworth</w:t>
      </w:r>
      <w:proofErr w:type="spellEnd"/>
      <w:r w:rsidR="00C818BA">
        <w:rPr>
          <w:rFonts w:ascii="Gill Sans" w:hAnsi="Gill Sans" w:cs="Gill Sans"/>
        </w:rPr>
        <w:t xml:space="preserve"> et al., 2009, p. 170). </w:t>
      </w:r>
    </w:p>
    <w:p w14:paraId="5C8324FC" w14:textId="77777777" w:rsidR="0048660B" w:rsidRPr="00076E76" w:rsidRDefault="0048660B" w:rsidP="0048660B">
      <w:pPr>
        <w:jc w:val="both"/>
        <w:rPr>
          <w:rFonts w:ascii="Gill Sans" w:hAnsi="Gill Sans" w:cs="Gill Sans"/>
        </w:rPr>
      </w:pPr>
    </w:p>
    <w:p w14:paraId="2E2EC026" w14:textId="074E1EB4" w:rsidR="0048660B" w:rsidRPr="00076E76" w:rsidRDefault="0048660B" w:rsidP="0048660B">
      <w:pPr>
        <w:jc w:val="both"/>
        <w:rPr>
          <w:rFonts w:ascii="Gill Sans" w:hAnsi="Gill Sans" w:cs="Gill Sans"/>
          <w:szCs w:val="22"/>
        </w:rPr>
      </w:pPr>
      <w:r w:rsidRPr="00076E76">
        <w:rPr>
          <w:rFonts w:ascii="Gill Sans" w:hAnsi="Gill Sans" w:cs="Gill Sans"/>
        </w:rPr>
        <w:t xml:space="preserve">Power &amp; Hibbert (2016) </w:t>
      </w:r>
      <w:r w:rsidR="007848EE">
        <w:rPr>
          <w:rFonts w:ascii="Gill Sans" w:hAnsi="Gill Sans" w:cs="Gill Sans"/>
        </w:rPr>
        <w:t xml:space="preserve">on the other hand </w:t>
      </w:r>
      <w:r w:rsidRPr="00076E76">
        <w:rPr>
          <w:rFonts w:ascii="Gill Sans" w:hAnsi="Gill Sans" w:cs="Gill Sans"/>
        </w:rPr>
        <w:t xml:space="preserve">advocate for a </w:t>
      </w:r>
      <w:r w:rsidRPr="00076E76">
        <w:rPr>
          <w:rFonts w:ascii="Gill Sans" w:hAnsi="Gill Sans" w:cs="Gill Sans"/>
          <w:color w:val="000000"/>
          <w:szCs w:val="22"/>
          <w:lang w:val="en-AU"/>
        </w:rPr>
        <w:t xml:space="preserve">“collective, multidimensional learning experience” for facilitating becoming, identity negotiation and transformations, meaning making, pushing forward alternative ways of doing, being, knowing (and feeling) by “disrupt[ing] the imposition of White values onto students of diverse backgrounds, while still enabling them to develop strategies to succeed in relation to it” (p.A45). They offer an example of such transition approaches in an elective undergraduate Education module that centres on peer mentoring called ‘Experiential Learning in Communities’ at Western Sydney </w:t>
      </w:r>
      <w:r w:rsidRPr="00076E76">
        <w:rPr>
          <w:rFonts w:ascii="Gill Sans" w:hAnsi="Gill Sans" w:cs="Gill Sans"/>
          <w:color w:val="000000"/>
          <w:szCs w:val="22"/>
          <w:lang w:val="en-AU"/>
        </w:rPr>
        <w:lastRenderedPageBreak/>
        <w:t>University. Based on principles of reflexive praxis and student-led communities of practice, the course is designed to facilitate Gale &amp; Parker’s ‘transition as becoming’ conceptualisation, so to “</w:t>
      </w:r>
      <w:r w:rsidRPr="00076E76">
        <w:rPr>
          <w:rFonts w:ascii="Gill Sans" w:hAnsi="Gill Sans" w:cs="Gill Sans"/>
          <w:szCs w:val="22"/>
        </w:rPr>
        <w:t xml:space="preserve">provide a generative space for the creation of a new integrative melding of multiple sources of cultural and social capital” (p.A41). </w:t>
      </w:r>
    </w:p>
    <w:p w14:paraId="391748FC" w14:textId="77777777" w:rsidR="0048660B" w:rsidRPr="00076E76" w:rsidRDefault="0048660B">
      <w:pPr>
        <w:rPr>
          <w:rFonts w:ascii="Gill Sans" w:hAnsi="Gill Sans" w:cs="Gill Sans"/>
        </w:rPr>
      </w:pPr>
    </w:p>
    <w:p w14:paraId="41D3F9D1" w14:textId="77777777" w:rsidR="0048660B" w:rsidRPr="00076E76" w:rsidRDefault="0048660B">
      <w:pPr>
        <w:rPr>
          <w:rFonts w:ascii="Gill Sans" w:hAnsi="Gill Sans" w:cs="Gill Sans"/>
        </w:rPr>
      </w:pPr>
    </w:p>
    <w:p w14:paraId="7BDD1F9E" w14:textId="3B773106" w:rsidR="0048660B" w:rsidRDefault="0048660B">
      <w:pPr>
        <w:rPr>
          <w:rFonts w:ascii="Gill Sans" w:hAnsi="Gill Sans" w:cs="Gill Sans"/>
        </w:rPr>
      </w:pPr>
      <w:r w:rsidRPr="00076E76">
        <w:rPr>
          <w:rFonts w:ascii="Gill Sans" w:hAnsi="Gill Sans" w:cs="Gill Sans"/>
          <w:b/>
        </w:rPr>
        <w:t>References</w:t>
      </w:r>
      <w:r w:rsidRPr="00076E76">
        <w:rPr>
          <w:rFonts w:ascii="Gill Sans" w:hAnsi="Gill Sans" w:cs="Gill Sans"/>
        </w:rPr>
        <w:t>:</w:t>
      </w:r>
    </w:p>
    <w:p w14:paraId="66A08D8B" w14:textId="53B1161E" w:rsidR="007848EE" w:rsidRDefault="007848EE">
      <w:pPr>
        <w:rPr>
          <w:rFonts w:ascii="Gill Sans" w:hAnsi="Gill Sans" w:cs="Gill Sans"/>
        </w:rPr>
      </w:pPr>
    </w:p>
    <w:p w14:paraId="3C46F527" w14:textId="485BA1D4" w:rsidR="007848EE" w:rsidRPr="007848EE" w:rsidRDefault="007848EE" w:rsidP="007848EE">
      <w:pPr>
        <w:ind w:left="851" w:hanging="851"/>
        <w:rPr>
          <w:rFonts w:ascii="Gill Sans" w:hAnsi="Gill Sans" w:cs="Gill Sans"/>
          <w:lang w:val="en-GB"/>
        </w:rPr>
      </w:pPr>
      <w:r w:rsidRPr="007848EE">
        <w:rPr>
          <w:rFonts w:ascii="Gill Sans" w:hAnsi="Gill Sans" w:cs="Gill Sans"/>
          <w:lang w:val="en-GB"/>
        </w:rPr>
        <w:t xml:space="preserve">Baker, S. &amp; Irwin, E. (2019). Disrupting the dominance of ‘linear pathways’: how institutional assumptions create ‘stuck places’ for refugee students’ transitions into higher education, </w:t>
      </w:r>
      <w:r w:rsidRPr="007848EE">
        <w:rPr>
          <w:rFonts w:ascii="Gill Sans" w:hAnsi="Gill Sans" w:cs="Gill Sans"/>
          <w:i/>
          <w:iCs/>
          <w:lang w:val="en-GB"/>
        </w:rPr>
        <w:t>Research Papers in Education</w:t>
      </w:r>
      <w:r w:rsidRPr="007848EE">
        <w:rPr>
          <w:rFonts w:ascii="Gill Sans" w:hAnsi="Gill Sans" w:cs="Gill Sans"/>
          <w:lang w:val="en-GB"/>
        </w:rPr>
        <w:t>, DOI: 10.1080/02671522.2019.1633561</w:t>
      </w:r>
    </w:p>
    <w:p w14:paraId="4BAA565D" w14:textId="77777777" w:rsidR="007848EE" w:rsidRDefault="007848EE">
      <w:pPr>
        <w:rPr>
          <w:rFonts w:ascii="Gill Sans" w:hAnsi="Gill Sans" w:cs="Gill Sans"/>
        </w:rPr>
      </w:pPr>
    </w:p>
    <w:p w14:paraId="4BDF3D4B" w14:textId="30C1D9EB" w:rsidR="007848EE" w:rsidRDefault="007848EE" w:rsidP="007848EE">
      <w:pPr>
        <w:ind w:left="851" w:hanging="851"/>
        <w:rPr>
          <w:rFonts w:ascii="Gill Sans" w:hAnsi="Gill Sans" w:cs="Gill Sans"/>
          <w:szCs w:val="22"/>
        </w:rPr>
      </w:pPr>
      <w:proofErr w:type="spellStart"/>
      <w:r w:rsidRPr="00076E76">
        <w:rPr>
          <w:rFonts w:ascii="Gill Sans" w:hAnsi="Gill Sans" w:cs="Gill Sans"/>
          <w:szCs w:val="22"/>
        </w:rPr>
        <w:t>Brinkworth</w:t>
      </w:r>
      <w:proofErr w:type="spellEnd"/>
      <w:r w:rsidRPr="00076E76">
        <w:rPr>
          <w:rFonts w:ascii="Gill Sans" w:hAnsi="Gill Sans" w:cs="Gill Sans"/>
          <w:szCs w:val="22"/>
        </w:rPr>
        <w:t xml:space="preserve">, R.; McCann, B.; Matthews, C. &amp; </w:t>
      </w:r>
      <w:proofErr w:type="spellStart"/>
      <w:r w:rsidRPr="00076E76">
        <w:rPr>
          <w:rFonts w:ascii="Gill Sans" w:hAnsi="Gill Sans" w:cs="Gill Sans"/>
          <w:szCs w:val="22"/>
        </w:rPr>
        <w:t>Nordström</w:t>
      </w:r>
      <w:proofErr w:type="spellEnd"/>
      <w:r w:rsidRPr="00076E76">
        <w:rPr>
          <w:rFonts w:ascii="Gill Sans" w:hAnsi="Gill Sans" w:cs="Gill Sans"/>
          <w:szCs w:val="22"/>
        </w:rPr>
        <w:t xml:space="preserve">, K. (2009). </w:t>
      </w:r>
      <w:r w:rsidRPr="007848EE">
        <w:rPr>
          <w:rFonts w:ascii="Gill Sans" w:hAnsi="Gill Sans" w:cs="Gill Sans"/>
          <w:szCs w:val="22"/>
        </w:rPr>
        <w:t>First year expectations and experiences: student and teacher perspectives</w:t>
      </w:r>
      <w:r w:rsidRPr="00076E76">
        <w:rPr>
          <w:rFonts w:ascii="Gill Sans" w:hAnsi="Gill Sans" w:cs="Gill Sans"/>
          <w:szCs w:val="22"/>
        </w:rPr>
        <w:t xml:space="preserve">, </w:t>
      </w:r>
      <w:r w:rsidRPr="00076E76">
        <w:rPr>
          <w:rFonts w:ascii="Gill Sans" w:hAnsi="Gill Sans" w:cs="Gill Sans"/>
          <w:i/>
          <w:szCs w:val="22"/>
        </w:rPr>
        <w:t xml:space="preserve">Higher Education, </w:t>
      </w:r>
      <w:r>
        <w:rPr>
          <w:rFonts w:ascii="Gill Sans" w:hAnsi="Gill Sans" w:cs="Gill Sans"/>
          <w:szCs w:val="22"/>
        </w:rPr>
        <w:t>58, 157–</w:t>
      </w:r>
      <w:r w:rsidRPr="00076E76">
        <w:rPr>
          <w:rFonts w:ascii="Gill Sans" w:hAnsi="Gill Sans" w:cs="Gill Sans"/>
          <w:szCs w:val="22"/>
        </w:rPr>
        <w:t>173.</w:t>
      </w:r>
    </w:p>
    <w:p w14:paraId="45A7DC09" w14:textId="77777777" w:rsidR="007848EE" w:rsidRPr="00076E76" w:rsidRDefault="007848EE">
      <w:pPr>
        <w:rPr>
          <w:rFonts w:ascii="Gill Sans" w:hAnsi="Gill Sans" w:cs="Gill Sans"/>
        </w:rPr>
      </w:pPr>
    </w:p>
    <w:p w14:paraId="515BB461" w14:textId="2BFE5375" w:rsidR="0048660B" w:rsidRDefault="0048660B" w:rsidP="0048660B">
      <w:pPr>
        <w:ind w:left="794" w:hanging="720"/>
        <w:rPr>
          <w:rFonts w:ascii="Gill Sans" w:hAnsi="Gill Sans" w:cs="Gill Sans"/>
          <w:szCs w:val="22"/>
        </w:rPr>
      </w:pPr>
      <w:r w:rsidRPr="00076E76">
        <w:rPr>
          <w:rFonts w:ascii="Gill Sans" w:hAnsi="Gill Sans" w:cs="Gill Sans"/>
          <w:szCs w:val="22"/>
        </w:rPr>
        <w:t xml:space="preserve">Gale, T. &amp; Parker, S. (2011). </w:t>
      </w:r>
      <w:r w:rsidRPr="00076E76">
        <w:rPr>
          <w:rFonts w:ascii="Gill Sans" w:hAnsi="Gill Sans" w:cs="Gill Sans"/>
          <w:i/>
          <w:szCs w:val="22"/>
        </w:rPr>
        <w:t>Student transition into higher education. ALTC Good Practice Report</w:t>
      </w:r>
      <w:r w:rsidRPr="00076E76">
        <w:rPr>
          <w:rFonts w:ascii="Gill Sans" w:hAnsi="Gill Sans" w:cs="Gill Sans"/>
          <w:szCs w:val="22"/>
        </w:rPr>
        <w:t>. Surry Hills, NSW: Australian Learning and Teaching Council.</w:t>
      </w:r>
    </w:p>
    <w:p w14:paraId="56D479D5" w14:textId="77777777" w:rsidR="007848EE" w:rsidRPr="00076E76" w:rsidRDefault="007848EE" w:rsidP="0048660B">
      <w:pPr>
        <w:ind w:left="794" w:hanging="720"/>
        <w:rPr>
          <w:rFonts w:ascii="Gill Sans" w:hAnsi="Gill Sans" w:cs="Gill Sans"/>
          <w:szCs w:val="22"/>
        </w:rPr>
      </w:pPr>
    </w:p>
    <w:p w14:paraId="4623C834" w14:textId="3052C16A" w:rsidR="0048660B" w:rsidRDefault="0048660B" w:rsidP="0048660B">
      <w:pPr>
        <w:pStyle w:val="NormalWeb"/>
        <w:spacing w:before="0" w:beforeAutospacing="0" w:after="0" w:afterAutospacing="0" w:line="240" w:lineRule="auto"/>
        <w:ind w:left="794" w:hanging="720"/>
        <w:rPr>
          <w:rFonts w:ascii="Gill Sans" w:hAnsi="Gill Sans" w:cs="Gill Sans"/>
          <w:sz w:val="22"/>
          <w:szCs w:val="22"/>
        </w:rPr>
      </w:pPr>
      <w:r w:rsidRPr="00076E76">
        <w:rPr>
          <w:rFonts w:ascii="Gill Sans" w:hAnsi="Gill Sans" w:cs="Gill Sans"/>
          <w:sz w:val="22"/>
          <w:szCs w:val="22"/>
        </w:rPr>
        <w:t xml:space="preserve">Gale, T. &amp; Parker, S. (2014). Navigating change:  a typology of student transition in higher education, </w:t>
      </w:r>
      <w:r w:rsidRPr="00076E76">
        <w:rPr>
          <w:rFonts w:ascii="Gill Sans" w:hAnsi="Gill Sans" w:cs="Gill Sans"/>
          <w:i/>
          <w:sz w:val="22"/>
          <w:szCs w:val="22"/>
        </w:rPr>
        <w:t xml:space="preserve">Studies in Higher Education, </w:t>
      </w:r>
      <w:r w:rsidRPr="00076E76">
        <w:rPr>
          <w:rFonts w:ascii="Gill Sans" w:hAnsi="Gill Sans" w:cs="Gill Sans"/>
          <w:sz w:val="22"/>
          <w:szCs w:val="22"/>
        </w:rPr>
        <w:t>39(5): 734-753</w:t>
      </w:r>
    </w:p>
    <w:p w14:paraId="71D2BB99" w14:textId="77777777" w:rsidR="007848EE" w:rsidRDefault="007848EE" w:rsidP="0048660B">
      <w:pPr>
        <w:pStyle w:val="NormalWeb"/>
        <w:spacing w:before="0" w:beforeAutospacing="0" w:after="0" w:afterAutospacing="0" w:line="240" w:lineRule="auto"/>
        <w:ind w:left="794" w:hanging="720"/>
        <w:rPr>
          <w:rFonts w:ascii="Gill Sans" w:hAnsi="Gill Sans" w:cs="Gill Sans"/>
          <w:sz w:val="22"/>
          <w:szCs w:val="22"/>
        </w:rPr>
      </w:pPr>
    </w:p>
    <w:p w14:paraId="3971D658" w14:textId="420CB23C" w:rsidR="007848EE" w:rsidRDefault="007848EE" w:rsidP="007848EE">
      <w:pPr>
        <w:ind w:left="851" w:hanging="851"/>
        <w:rPr>
          <w:rFonts w:ascii="Gill Sans" w:hAnsi="Gill Sans" w:cs="Gill Sans"/>
          <w:i/>
          <w:iCs/>
          <w:szCs w:val="22"/>
        </w:rPr>
      </w:pPr>
      <w:proofErr w:type="spellStart"/>
      <w:r>
        <w:rPr>
          <w:rFonts w:ascii="Gill Sans" w:hAnsi="Gill Sans" w:cs="Gill Sans"/>
          <w:szCs w:val="22"/>
        </w:rPr>
        <w:t>Gravett</w:t>
      </w:r>
      <w:proofErr w:type="spellEnd"/>
      <w:r>
        <w:rPr>
          <w:rFonts w:ascii="Gill Sans" w:hAnsi="Gill Sans" w:cs="Gill Sans"/>
          <w:szCs w:val="22"/>
        </w:rPr>
        <w:t xml:space="preserve">, K.; </w:t>
      </w:r>
      <w:proofErr w:type="spellStart"/>
      <w:r>
        <w:rPr>
          <w:rFonts w:ascii="Gill Sans" w:hAnsi="Gill Sans" w:cs="Gill Sans"/>
          <w:szCs w:val="22"/>
        </w:rPr>
        <w:t>Kinchin</w:t>
      </w:r>
      <w:proofErr w:type="spellEnd"/>
      <w:r>
        <w:rPr>
          <w:rFonts w:ascii="Gill Sans" w:hAnsi="Gill Sans" w:cs="Gill Sans"/>
          <w:szCs w:val="22"/>
        </w:rPr>
        <w:t xml:space="preserve">, I. &amp; </w:t>
      </w:r>
      <w:proofErr w:type="spellStart"/>
      <w:r>
        <w:rPr>
          <w:rFonts w:ascii="Gill Sans" w:hAnsi="Gill Sans" w:cs="Gill Sans"/>
          <w:szCs w:val="22"/>
        </w:rPr>
        <w:t>Winstone</w:t>
      </w:r>
      <w:proofErr w:type="spellEnd"/>
      <w:r>
        <w:rPr>
          <w:rFonts w:ascii="Gill Sans" w:hAnsi="Gill Sans" w:cs="Gill Sans"/>
          <w:szCs w:val="22"/>
        </w:rPr>
        <w:t>, N. (2020).</w:t>
      </w:r>
      <w:r>
        <w:t xml:space="preserve"> </w:t>
      </w:r>
      <w:r w:rsidRPr="007848EE">
        <w:rPr>
          <w:rFonts w:ascii="Gill Sans" w:hAnsi="Gill Sans" w:cs="Gill Sans"/>
          <w:szCs w:val="22"/>
        </w:rPr>
        <w:t>Frailty in transition? Troubling the norms, boundaries and limitations of transition theory and practice</w:t>
      </w:r>
      <w:r w:rsidRPr="00E75BB4">
        <w:rPr>
          <w:rFonts w:ascii="Gill Sans" w:hAnsi="Gill Sans" w:cs="Gill Sans"/>
          <w:szCs w:val="22"/>
        </w:rPr>
        <w:t xml:space="preserve">, </w:t>
      </w:r>
      <w:r w:rsidRPr="00E75BB4">
        <w:rPr>
          <w:rFonts w:ascii="Gill Sans" w:hAnsi="Gill Sans" w:cs="Gill Sans"/>
          <w:i/>
          <w:iCs/>
          <w:szCs w:val="22"/>
        </w:rPr>
        <w:t>Higher Education Research &amp; Developmen</w:t>
      </w:r>
      <w:r>
        <w:rPr>
          <w:rFonts w:ascii="Gill Sans" w:hAnsi="Gill Sans" w:cs="Gill Sans"/>
          <w:i/>
          <w:iCs/>
          <w:szCs w:val="22"/>
        </w:rPr>
        <w:t>t</w:t>
      </w:r>
    </w:p>
    <w:p w14:paraId="7C1E81B5" w14:textId="77777777" w:rsidR="007848EE" w:rsidRPr="007848EE" w:rsidRDefault="007848EE" w:rsidP="007848EE">
      <w:pPr>
        <w:ind w:left="851" w:hanging="851"/>
        <w:rPr>
          <w:rFonts w:ascii="Gill Sans" w:hAnsi="Gill Sans" w:cs="Gill Sans"/>
          <w:i/>
          <w:iCs/>
          <w:szCs w:val="22"/>
        </w:rPr>
      </w:pPr>
    </w:p>
    <w:p w14:paraId="7C23ACD3" w14:textId="3962FBC2" w:rsidR="0048660B" w:rsidRDefault="0048660B" w:rsidP="0048660B">
      <w:pPr>
        <w:ind w:left="794" w:hanging="720"/>
        <w:rPr>
          <w:rFonts w:ascii="Gill Sans" w:hAnsi="Gill Sans" w:cs="Gill Sans"/>
          <w:szCs w:val="22"/>
        </w:rPr>
      </w:pPr>
      <w:r w:rsidRPr="00076E76">
        <w:rPr>
          <w:rFonts w:ascii="Gill Sans" w:hAnsi="Gill Sans" w:cs="Gill Sans"/>
          <w:szCs w:val="22"/>
        </w:rPr>
        <w:t xml:space="preserve">Power, C. &amp; Hibbert, E. (2016). Student-facilitated transition: Fostering empowered collectives, </w:t>
      </w:r>
      <w:r w:rsidRPr="00076E76">
        <w:rPr>
          <w:rFonts w:ascii="Gill Sans" w:hAnsi="Gill Sans" w:cs="Gill Sans"/>
          <w:i/>
          <w:szCs w:val="22"/>
        </w:rPr>
        <w:t xml:space="preserve">Journal of Academic Language &amp; Learning, </w:t>
      </w:r>
      <w:r w:rsidRPr="00076E76">
        <w:rPr>
          <w:rFonts w:ascii="Gill Sans" w:hAnsi="Gill Sans" w:cs="Gill Sans"/>
          <w:szCs w:val="22"/>
        </w:rPr>
        <w:t>10(1): A35-A47.</w:t>
      </w:r>
    </w:p>
    <w:p w14:paraId="256116D2" w14:textId="77777777" w:rsidR="007848EE" w:rsidRPr="00076E76" w:rsidRDefault="007848EE" w:rsidP="0048660B">
      <w:pPr>
        <w:ind w:left="794" w:hanging="720"/>
        <w:rPr>
          <w:rFonts w:ascii="Gill Sans" w:hAnsi="Gill Sans" w:cs="Gill Sans"/>
        </w:rPr>
      </w:pPr>
    </w:p>
    <w:p w14:paraId="3C03133D" w14:textId="77777777" w:rsidR="0048660B" w:rsidRPr="00076E76" w:rsidRDefault="0048660B" w:rsidP="0048660B">
      <w:pPr>
        <w:ind w:left="794" w:hanging="720"/>
        <w:rPr>
          <w:rFonts w:ascii="Gill Sans" w:hAnsi="Gill Sans" w:cs="Gill Sans"/>
          <w:szCs w:val="22"/>
        </w:rPr>
      </w:pPr>
      <w:r w:rsidRPr="00076E76">
        <w:rPr>
          <w:rFonts w:ascii="Gill Sans" w:hAnsi="Gill Sans" w:cs="Gill Sans"/>
          <w:szCs w:val="22"/>
        </w:rPr>
        <w:t xml:space="preserve">Stirling, J. &amp; </w:t>
      </w:r>
      <w:proofErr w:type="spellStart"/>
      <w:r w:rsidRPr="00076E76">
        <w:rPr>
          <w:rFonts w:ascii="Gill Sans" w:hAnsi="Gill Sans" w:cs="Gill Sans"/>
          <w:szCs w:val="22"/>
        </w:rPr>
        <w:t>Rossetto</w:t>
      </w:r>
      <w:proofErr w:type="spellEnd"/>
      <w:r w:rsidRPr="00076E76">
        <w:rPr>
          <w:rFonts w:ascii="Gill Sans" w:hAnsi="Gill Sans" w:cs="Gill Sans"/>
          <w:szCs w:val="22"/>
        </w:rPr>
        <w:t xml:space="preserve">, C. (2015). “Are we there yet?”: Making sense of transition in higher education, </w:t>
      </w:r>
      <w:r w:rsidRPr="00076E76">
        <w:rPr>
          <w:rFonts w:ascii="Gill Sans" w:hAnsi="Gill Sans" w:cs="Gill Sans"/>
          <w:i/>
          <w:szCs w:val="22"/>
        </w:rPr>
        <w:t xml:space="preserve">Student Success, </w:t>
      </w:r>
      <w:r w:rsidRPr="00076E76">
        <w:rPr>
          <w:rFonts w:ascii="Gill Sans" w:hAnsi="Gill Sans" w:cs="Gill Sans"/>
          <w:szCs w:val="22"/>
        </w:rPr>
        <w:t>6(2): 9-20.</w:t>
      </w:r>
    </w:p>
    <w:p w14:paraId="75F57EB3" w14:textId="77777777" w:rsidR="007848EE" w:rsidRDefault="007848EE">
      <w:pPr>
        <w:rPr>
          <w:rFonts w:ascii="Gill Sans" w:hAnsi="Gill Sans" w:cs="Gill Sans"/>
        </w:rPr>
      </w:pPr>
    </w:p>
    <w:p w14:paraId="660AA1C5" w14:textId="38A25591" w:rsidR="007848EE" w:rsidRPr="00076E76" w:rsidRDefault="007848EE" w:rsidP="007848EE">
      <w:pPr>
        <w:ind w:left="851" w:hanging="851"/>
        <w:rPr>
          <w:rFonts w:ascii="Gill Sans" w:hAnsi="Gill Sans" w:cs="Gill Sans"/>
          <w:szCs w:val="22"/>
        </w:rPr>
      </w:pPr>
      <w:r w:rsidRPr="00076E76">
        <w:rPr>
          <w:rFonts w:ascii="Gill Sans" w:hAnsi="Gill Sans" w:cs="Gill Sans"/>
          <w:szCs w:val="22"/>
        </w:rPr>
        <w:t xml:space="preserve">Wilcox, P.; Winn, S. &amp; </w:t>
      </w:r>
      <w:proofErr w:type="spellStart"/>
      <w:r w:rsidRPr="00076E76">
        <w:rPr>
          <w:rFonts w:ascii="Gill Sans" w:hAnsi="Gill Sans" w:cs="Gill Sans"/>
          <w:szCs w:val="22"/>
        </w:rPr>
        <w:t>Fybie-Gauld</w:t>
      </w:r>
      <w:proofErr w:type="spellEnd"/>
      <w:r w:rsidRPr="00076E76">
        <w:rPr>
          <w:rFonts w:ascii="Gill Sans" w:hAnsi="Gill Sans" w:cs="Gill Sans"/>
          <w:szCs w:val="22"/>
        </w:rPr>
        <w:t xml:space="preserve">, M. (2005). </w:t>
      </w:r>
      <w:r w:rsidRPr="007848EE">
        <w:rPr>
          <w:rFonts w:ascii="Gill Sans" w:hAnsi="Gill Sans" w:cs="Gill Sans"/>
          <w:szCs w:val="22"/>
        </w:rPr>
        <w:t>‘It was nothing to do with the university, it was just the people’: the role of social support in the first-year experience of higher education</w:t>
      </w:r>
      <w:r w:rsidRPr="00076E76">
        <w:rPr>
          <w:rFonts w:ascii="Gill Sans" w:hAnsi="Gill Sans" w:cs="Gill Sans"/>
          <w:szCs w:val="22"/>
        </w:rPr>
        <w:t xml:space="preserve">, </w:t>
      </w:r>
      <w:r w:rsidRPr="00076E76">
        <w:rPr>
          <w:rFonts w:ascii="Gill Sans" w:hAnsi="Gill Sans" w:cs="Gill Sans"/>
          <w:i/>
          <w:szCs w:val="22"/>
        </w:rPr>
        <w:t xml:space="preserve">Studies in Higher Education, </w:t>
      </w:r>
      <w:r>
        <w:rPr>
          <w:rFonts w:ascii="Gill Sans" w:hAnsi="Gill Sans" w:cs="Gill Sans"/>
          <w:szCs w:val="22"/>
        </w:rPr>
        <w:t>30(6),</w:t>
      </w:r>
      <w:r w:rsidRPr="00076E76">
        <w:rPr>
          <w:rFonts w:ascii="Gill Sans" w:hAnsi="Gill Sans" w:cs="Gill Sans"/>
          <w:szCs w:val="22"/>
        </w:rPr>
        <w:t xml:space="preserve"> 707</w:t>
      </w:r>
      <w:r>
        <w:rPr>
          <w:rFonts w:ascii="Gill Sans" w:hAnsi="Gill Sans" w:cs="Gill Sans"/>
          <w:szCs w:val="22"/>
        </w:rPr>
        <w:t>–</w:t>
      </w:r>
      <w:r w:rsidRPr="00076E76">
        <w:rPr>
          <w:rFonts w:ascii="Gill Sans" w:hAnsi="Gill Sans" w:cs="Gill Sans"/>
          <w:szCs w:val="22"/>
        </w:rPr>
        <w:t>722.</w:t>
      </w:r>
    </w:p>
    <w:p w14:paraId="11FB72C3" w14:textId="77777777" w:rsidR="007848EE" w:rsidRDefault="007848EE">
      <w:pPr>
        <w:rPr>
          <w:rFonts w:ascii="Gill Sans" w:hAnsi="Gill Sans" w:cs="Gill Sans"/>
        </w:rPr>
      </w:pPr>
    </w:p>
    <w:p w14:paraId="09366D61" w14:textId="54E68EBA" w:rsidR="007848EE" w:rsidRPr="00076E76" w:rsidRDefault="007848EE" w:rsidP="007848EE">
      <w:pPr>
        <w:ind w:left="851" w:hanging="851"/>
        <w:rPr>
          <w:rFonts w:ascii="Gill Sans" w:hAnsi="Gill Sans" w:cs="Gill Sans"/>
          <w:szCs w:val="22"/>
        </w:rPr>
      </w:pPr>
      <w:r w:rsidRPr="00076E76">
        <w:rPr>
          <w:rFonts w:ascii="Gill Sans" w:hAnsi="Gill Sans" w:cs="Gill Sans"/>
          <w:szCs w:val="22"/>
        </w:rPr>
        <w:t xml:space="preserve">Wrench, A.; Garrett, R. &amp; King, S. (2013). </w:t>
      </w:r>
      <w:r w:rsidRPr="007848EE">
        <w:rPr>
          <w:rFonts w:ascii="Gill Sans" w:hAnsi="Gill Sans" w:cs="Gill Sans"/>
          <w:szCs w:val="22"/>
        </w:rPr>
        <w:t>Guessing where the goal posts are: managing health and well-being during the transition to university studies</w:t>
      </w:r>
      <w:r w:rsidRPr="00076E76">
        <w:rPr>
          <w:rFonts w:ascii="Gill Sans" w:hAnsi="Gill Sans" w:cs="Gill Sans"/>
          <w:szCs w:val="22"/>
        </w:rPr>
        <w:t xml:space="preserve">, </w:t>
      </w:r>
      <w:r w:rsidRPr="00076E76">
        <w:rPr>
          <w:rFonts w:ascii="Gill Sans" w:hAnsi="Gill Sans" w:cs="Gill Sans"/>
          <w:i/>
          <w:szCs w:val="22"/>
        </w:rPr>
        <w:t xml:space="preserve">Journal of Youth Studies, </w:t>
      </w:r>
      <w:r>
        <w:rPr>
          <w:rFonts w:ascii="Gill Sans" w:hAnsi="Gill Sans" w:cs="Gill Sans"/>
          <w:szCs w:val="22"/>
        </w:rPr>
        <w:t>16(6), 730–</w:t>
      </w:r>
      <w:r w:rsidRPr="00076E76">
        <w:rPr>
          <w:rFonts w:ascii="Gill Sans" w:hAnsi="Gill Sans" w:cs="Gill Sans"/>
          <w:szCs w:val="22"/>
        </w:rPr>
        <w:t>746.</w:t>
      </w:r>
    </w:p>
    <w:p w14:paraId="02F7C755" w14:textId="77777777" w:rsidR="007848EE" w:rsidRDefault="007848EE">
      <w:pPr>
        <w:rPr>
          <w:rFonts w:ascii="Gill Sans" w:hAnsi="Gill Sans" w:cs="Gill Sans"/>
        </w:rPr>
      </w:pPr>
    </w:p>
    <w:p w14:paraId="76AA9581" w14:textId="77777777" w:rsidR="007848EE" w:rsidRDefault="007848EE">
      <w:pPr>
        <w:rPr>
          <w:rFonts w:ascii="Gill Sans" w:hAnsi="Gill Sans" w:cs="Gill Sans"/>
        </w:rPr>
      </w:pPr>
    </w:p>
    <w:p w14:paraId="7FAA1C0D" w14:textId="76A6C398" w:rsidR="007848EE" w:rsidRPr="00076E76" w:rsidRDefault="007848EE">
      <w:pPr>
        <w:rPr>
          <w:rFonts w:ascii="Gill Sans" w:hAnsi="Gill Sans" w:cs="Gill Sans"/>
        </w:rPr>
        <w:sectPr w:rsidR="007848EE" w:rsidRPr="00076E76" w:rsidSect="0048660B">
          <w:footerReference w:type="default" r:id="rId8"/>
          <w:pgSz w:w="11900" w:h="16840"/>
          <w:pgMar w:top="1440" w:right="1800" w:bottom="1440" w:left="1800" w:header="708" w:footer="708" w:gutter="0"/>
          <w:cols w:space="708"/>
          <w:docGrid w:linePitch="360"/>
        </w:sectPr>
      </w:pPr>
    </w:p>
    <w:p w14:paraId="1500F7C2" w14:textId="4738CB36" w:rsidR="003F05A1" w:rsidRPr="00076E76" w:rsidRDefault="003F05A1" w:rsidP="0048660B">
      <w:pPr>
        <w:jc w:val="center"/>
        <w:rPr>
          <w:rFonts w:ascii="Gill Sans" w:hAnsi="Gill Sans" w:cs="Gill Sans"/>
        </w:rPr>
      </w:pPr>
    </w:p>
    <w:p w14:paraId="4741C7E4" w14:textId="1BF1E721" w:rsidR="0048660B" w:rsidRPr="00076E76" w:rsidRDefault="0048660B" w:rsidP="0048660B">
      <w:pPr>
        <w:jc w:val="center"/>
        <w:rPr>
          <w:rFonts w:ascii="Gill Sans" w:hAnsi="Gill Sans" w:cs="Gill Sans"/>
          <w:b/>
          <w:sz w:val="28"/>
          <w:szCs w:val="28"/>
        </w:rPr>
      </w:pPr>
    </w:p>
    <w:p w14:paraId="6D36C57A" w14:textId="5D3F699A" w:rsidR="00E74C84" w:rsidRPr="00076E76" w:rsidRDefault="003E07CD" w:rsidP="0048660B">
      <w:pPr>
        <w:jc w:val="center"/>
        <w:rPr>
          <w:rFonts w:ascii="Gill Sans" w:hAnsi="Gill Sans" w:cs="Gill Sans"/>
          <w:b/>
          <w:sz w:val="28"/>
          <w:szCs w:val="28"/>
        </w:rPr>
      </w:pPr>
      <w:r w:rsidRPr="00076E76">
        <w:rPr>
          <w:rFonts w:ascii="Gill Sans" w:hAnsi="Gill Sans" w:cs="Gill Sans"/>
          <w:b/>
          <w:sz w:val="28"/>
          <w:szCs w:val="28"/>
        </w:rPr>
        <w:t>Equity and Higher Education Annotated Bibliography S</w:t>
      </w:r>
      <w:r w:rsidR="00E74C84" w:rsidRPr="00076E76">
        <w:rPr>
          <w:rFonts w:ascii="Gill Sans" w:hAnsi="Gill Sans" w:cs="Gill Sans"/>
          <w:b/>
          <w:sz w:val="28"/>
          <w:szCs w:val="28"/>
        </w:rPr>
        <w:t>eries</w:t>
      </w:r>
    </w:p>
    <w:p w14:paraId="6942CF7B" w14:textId="64C32DC2" w:rsidR="00E74C84" w:rsidRPr="00076E76" w:rsidRDefault="002E557C" w:rsidP="0048660B">
      <w:pPr>
        <w:jc w:val="center"/>
        <w:rPr>
          <w:rFonts w:ascii="Gill Sans" w:hAnsi="Gill Sans" w:cs="Gill Sans"/>
          <w:b/>
          <w:sz w:val="28"/>
          <w:szCs w:val="28"/>
        </w:rPr>
      </w:pPr>
      <w:r w:rsidRPr="00076E76">
        <w:rPr>
          <w:rFonts w:ascii="Gill Sans" w:hAnsi="Gill Sans" w:cs="Gill Sans"/>
          <w:b/>
          <w:sz w:val="28"/>
          <w:szCs w:val="28"/>
        </w:rPr>
        <w:t>Transition</w:t>
      </w:r>
      <w:r w:rsidR="003E07CD" w:rsidRPr="00076E76">
        <w:rPr>
          <w:rFonts w:ascii="Gill Sans" w:hAnsi="Gill Sans" w:cs="Gill Sans"/>
          <w:b/>
          <w:sz w:val="28"/>
          <w:szCs w:val="28"/>
        </w:rPr>
        <w:t xml:space="preserve"> into, </w:t>
      </w:r>
      <w:proofErr w:type="spellStart"/>
      <w:r w:rsidR="003E07CD" w:rsidRPr="00076E76">
        <w:rPr>
          <w:rFonts w:ascii="Gill Sans" w:hAnsi="Gill Sans" w:cs="Gill Sans"/>
          <w:b/>
          <w:sz w:val="28"/>
          <w:szCs w:val="28"/>
        </w:rPr>
        <w:t>through</w:t>
      </w:r>
      <w:proofErr w:type="spellEnd"/>
      <w:r w:rsidR="003E07CD" w:rsidRPr="00076E76">
        <w:rPr>
          <w:rFonts w:ascii="Gill Sans" w:hAnsi="Gill Sans" w:cs="Gill Sans"/>
          <w:b/>
          <w:sz w:val="28"/>
          <w:szCs w:val="28"/>
        </w:rPr>
        <w:t>, out of Higher Education</w:t>
      </w:r>
    </w:p>
    <w:p w14:paraId="322DF6CE" w14:textId="77777777" w:rsidR="00E74C84" w:rsidRPr="00076E76" w:rsidRDefault="00E74C84">
      <w:pPr>
        <w:rPr>
          <w:rFonts w:ascii="Gill Sans" w:hAnsi="Gill Sans" w:cs="Gill Sans"/>
        </w:rPr>
      </w:pPr>
    </w:p>
    <w:tbl>
      <w:tblPr>
        <w:tblStyle w:val="TableGrid"/>
        <w:tblW w:w="15593" w:type="dxa"/>
        <w:tblInd w:w="-743" w:type="dxa"/>
        <w:tblLook w:val="04A0" w:firstRow="1" w:lastRow="0" w:firstColumn="1" w:lastColumn="0" w:noHBand="0" w:noVBand="1"/>
      </w:tblPr>
      <w:tblGrid>
        <w:gridCol w:w="5529"/>
        <w:gridCol w:w="10064"/>
      </w:tblGrid>
      <w:tr w:rsidR="00E74C84" w:rsidRPr="00076E76" w14:paraId="21D1F302" w14:textId="77777777" w:rsidTr="002E557C">
        <w:tc>
          <w:tcPr>
            <w:tcW w:w="5529" w:type="dxa"/>
          </w:tcPr>
          <w:p w14:paraId="74EEF1F8" w14:textId="77777777" w:rsidR="00E74C84" w:rsidRPr="00076E76" w:rsidRDefault="00E74C84" w:rsidP="002E557C">
            <w:pPr>
              <w:jc w:val="center"/>
              <w:rPr>
                <w:rFonts w:ascii="Gill Sans" w:eastAsia="Times New Roman" w:hAnsi="Gill Sans" w:cs="Gill Sans"/>
                <w:b/>
                <w:bCs/>
                <w:color w:val="000000"/>
                <w:szCs w:val="22"/>
                <w:lang w:val="en-AU"/>
              </w:rPr>
            </w:pPr>
            <w:r w:rsidRPr="00076E76">
              <w:rPr>
                <w:rFonts w:ascii="Gill Sans" w:eastAsia="Times New Roman" w:hAnsi="Gill Sans" w:cs="Gill Sans"/>
                <w:b/>
                <w:bCs/>
                <w:color w:val="000000"/>
                <w:szCs w:val="22"/>
                <w:lang w:val="en-AU"/>
              </w:rPr>
              <w:t>Citation</w:t>
            </w:r>
          </w:p>
          <w:p w14:paraId="0DC59D13" w14:textId="77777777" w:rsidR="00E74C84" w:rsidRPr="00076E76" w:rsidRDefault="00E74C84" w:rsidP="002E557C">
            <w:pPr>
              <w:jc w:val="center"/>
              <w:rPr>
                <w:rFonts w:ascii="Gill Sans" w:hAnsi="Gill Sans" w:cs="Gill Sans"/>
                <w:szCs w:val="22"/>
              </w:rPr>
            </w:pPr>
          </w:p>
        </w:tc>
        <w:tc>
          <w:tcPr>
            <w:tcW w:w="10064" w:type="dxa"/>
          </w:tcPr>
          <w:p w14:paraId="71279D9E" w14:textId="77777777" w:rsidR="00E74C84" w:rsidRPr="00076E76" w:rsidRDefault="00E74C84" w:rsidP="002E557C">
            <w:pPr>
              <w:jc w:val="center"/>
              <w:rPr>
                <w:rFonts w:ascii="Gill Sans" w:eastAsia="Times New Roman" w:hAnsi="Gill Sans" w:cs="Gill Sans"/>
                <w:b/>
                <w:bCs/>
                <w:color w:val="000000"/>
                <w:szCs w:val="22"/>
                <w:lang w:val="en-AU"/>
              </w:rPr>
            </w:pPr>
            <w:r w:rsidRPr="00076E76">
              <w:rPr>
                <w:rFonts w:ascii="Gill Sans" w:eastAsia="Times New Roman" w:hAnsi="Gill Sans" w:cs="Gill Sans"/>
                <w:b/>
                <w:bCs/>
                <w:color w:val="000000"/>
                <w:szCs w:val="22"/>
                <w:lang w:val="en-AU"/>
              </w:rPr>
              <w:t>Annotation</w:t>
            </w:r>
          </w:p>
          <w:p w14:paraId="17D6ADB0" w14:textId="77777777" w:rsidR="00E74C84" w:rsidRPr="00076E76" w:rsidRDefault="00E74C84" w:rsidP="002E557C">
            <w:pPr>
              <w:jc w:val="center"/>
              <w:rPr>
                <w:rFonts w:ascii="Gill Sans" w:hAnsi="Gill Sans" w:cs="Gill Sans"/>
                <w:szCs w:val="22"/>
              </w:rPr>
            </w:pPr>
          </w:p>
        </w:tc>
      </w:tr>
      <w:tr w:rsidR="00FA514E" w:rsidRPr="00076E76" w14:paraId="10B72A25" w14:textId="77777777" w:rsidTr="002E557C">
        <w:tc>
          <w:tcPr>
            <w:tcW w:w="5529" w:type="dxa"/>
          </w:tcPr>
          <w:p w14:paraId="3A7EEB70" w14:textId="60C27C5A" w:rsidR="00FA514E" w:rsidRPr="00076E76" w:rsidRDefault="009D3A46" w:rsidP="00FA514E">
            <w:pPr>
              <w:rPr>
                <w:rFonts w:ascii="Gill Sans" w:hAnsi="Gill Sans" w:cs="Gill Sans"/>
                <w:szCs w:val="22"/>
              </w:rPr>
            </w:pPr>
            <w:r>
              <w:rPr>
                <w:rFonts w:ascii="Gill Sans" w:hAnsi="Gill Sans" w:cs="Gill Sans"/>
                <w:szCs w:val="22"/>
              </w:rPr>
              <w:t>Alder, E. (2018</w:t>
            </w:r>
            <w:r w:rsidR="00FA514E" w:rsidRPr="00076E76">
              <w:rPr>
                <w:rFonts w:ascii="Gill Sans" w:hAnsi="Gill Sans" w:cs="Gill Sans"/>
                <w:szCs w:val="22"/>
              </w:rPr>
              <w:t>).</w:t>
            </w:r>
            <w:hyperlink r:id="rId9" w:history="1">
              <w:r w:rsidR="00FA514E" w:rsidRPr="009D3A46">
                <w:rPr>
                  <w:rStyle w:val="Hyperlink"/>
                  <w:rFonts w:ascii="Gill Sans" w:hAnsi="Gill Sans" w:cs="Gill Sans"/>
                  <w:szCs w:val="22"/>
                </w:rPr>
                <w:t xml:space="preserve"> Becoming a student of English: Students’ experiences of transition into the first year</w:t>
              </w:r>
            </w:hyperlink>
            <w:r w:rsidR="00FA514E" w:rsidRPr="00076E76">
              <w:rPr>
                <w:rFonts w:ascii="Gill Sans" w:hAnsi="Gill Sans" w:cs="Gill Sans"/>
                <w:szCs w:val="22"/>
              </w:rPr>
              <w:t xml:space="preserve">, </w:t>
            </w:r>
            <w:r w:rsidR="00FA514E" w:rsidRPr="00076E76">
              <w:rPr>
                <w:rFonts w:ascii="Gill Sans" w:hAnsi="Gill Sans" w:cs="Gill Sans"/>
                <w:i/>
                <w:szCs w:val="22"/>
              </w:rPr>
              <w:t xml:space="preserve">Arts &amp; Humanities in Higher Education, </w:t>
            </w:r>
            <w:r w:rsidRPr="009D3A46">
              <w:rPr>
                <w:rFonts w:ascii="Gill Sans" w:hAnsi="Gill Sans" w:cs="Gill Sans"/>
                <w:szCs w:val="22"/>
              </w:rPr>
              <w:t>17(2</w:t>
            </w:r>
            <w:r w:rsidR="00FA514E" w:rsidRPr="009D3A46">
              <w:rPr>
                <w:rFonts w:ascii="Gill Sans" w:hAnsi="Gill Sans" w:cs="Gill Sans"/>
                <w:szCs w:val="22"/>
              </w:rPr>
              <w:t>)</w:t>
            </w:r>
            <w:r w:rsidR="00B93509">
              <w:rPr>
                <w:rFonts w:ascii="Gill Sans" w:hAnsi="Gill Sans" w:cs="Gill Sans"/>
                <w:szCs w:val="22"/>
              </w:rPr>
              <w:t>,</w:t>
            </w:r>
            <w:r w:rsidR="00FA514E" w:rsidRPr="009D3A46">
              <w:rPr>
                <w:rFonts w:ascii="Gill Sans" w:hAnsi="Gill Sans" w:cs="Gill Sans"/>
                <w:szCs w:val="22"/>
              </w:rPr>
              <w:t xml:space="preserve"> 1</w:t>
            </w:r>
            <w:r w:rsidRPr="009D3A46">
              <w:rPr>
                <w:rFonts w:ascii="Gill Sans" w:hAnsi="Gill Sans" w:cs="Gill Sans"/>
                <w:szCs w:val="22"/>
              </w:rPr>
              <w:t>85–203.</w:t>
            </w:r>
          </w:p>
          <w:p w14:paraId="321B0221" w14:textId="77777777" w:rsidR="00FA514E" w:rsidRPr="00076E76" w:rsidRDefault="00FA514E" w:rsidP="00FA514E">
            <w:pPr>
              <w:rPr>
                <w:rFonts w:ascii="Gill Sans" w:hAnsi="Gill Sans" w:cs="Gill Sans"/>
                <w:szCs w:val="22"/>
              </w:rPr>
            </w:pPr>
          </w:p>
          <w:p w14:paraId="407D36BC" w14:textId="77777777" w:rsidR="00FA514E" w:rsidRPr="00076E76" w:rsidRDefault="00FA514E" w:rsidP="00FA514E">
            <w:pPr>
              <w:rPr>
                <w:rFonts w:ascii="Gill Sans" w:hAnsi="Gill Sans" w:cs="Gill Sans"/>
                <w:szCs w:val="22"/>
              </w:rPr>
            </w:pPr>
            <w:r w:rsidRPr="00076E76">
              <w:rPr>
                <w:rFonts w:ascii="Gill Sans" w:hAnsi="Gill Sans" w:cs="Gill Sans"/>
                <w:szCs w:val="22"/>
              </w:rPr>
              <w:t>UK</w:t>
            </w:r>
          </w:p>
          <w:p w14:paraId="28B4F4E8" w14:textId="240153DB" w:rsidR="000F60CF" w:rsidRPr="00076E76" w:rsidRDefault="000F60CF" w:rsidP="00FA514E">
            <w:pPr>
              <w:rPr>
                <w:rFonts w:ascii="Gill Sans" w:hAnsi="Gill Sans" w:cs="Gill Sans"/>
                <w:szCs w:val="22"/>
              </w:rPr>
            </w:pPr>
            <w:r w:rsidRPr="00076E76">
              <w:rPr>
                <w:rFonts w:ascii="Gill Sans" w:hAnsi="Gill Sans" w:cs="Gill Sans"/>
                <w:szCs w:val="22"/>
              </w:rPr>
              <w:t>Annotation by Sally Baker</w:t>
            </w:r>
          </w:p>
          <w:p w14:paraId="41242DE4" w14:textId="77777777" w:rsidR="000F60CF" w:rsidRPr="00076E76" w:rsidRDefault="000F60CF" w:rsidP="00FA514E">
            <w:pPr>
              <w:rPr>
                <w:rFonts w:ascii="Gill Sans" w:hAnsi="Gill Sans" w:cs="Gill Sans"/>
                <w:szCs w:val="22"/>
              </w:rPr>
            </w:pPr>
          </w:p>
          <w:p w14:paraId="51DFEB6D" w14:textId="77777777" w:rsidR="00D95C81" w:rsidRPr="00076E76" w:rsidRDefault="00D95C81" w:rsidP="00FA514E">
            <w:pPr>
              <w:rPr>
                <w:rFonts w:ascii="Gill Sans" w:hAnsi="Gill Sans" w:cs="Gill Sans"/>
                <w:i/>
                <w:szCs w:val="22"/>
              </w:rPr>
            </w:pPr>
            <w:r w:rsidRPr="00076E76">
              <w:rPr>
                <w:rFonts w:ascii="Gill Sans" w:hAnsi="Gill Sans" w:cs="Gill Sans"/>
                <w:szCs w:val="22"/>
              </w:rPr>
              <w:t xml:space="preserve">Keywords: </w:t>
            </w:r>
            <w:r w:rsidRPr="00076E76">
              <w:rPr>
                <w:rFonts w:ascii="Gill Sans" w:hAnsi="Gill Sans" w:cs="Gill Sans"/>
                <w:i/>
                <w:szCs w:val="22"/>
              </w:rPr>
              <w:t>Academic literacies, English literature, first year, identity, transition</w:t>
            </w:r>
          </w:p>
          <w:p w14:paraId="16579CFA" w14:textId="77777777" w:rsidR="00AF320A" w:rsidRPr="00076E76" w:rsidRDefault="00AF320A" w:rsidP="00FA514E">
            <w:pPr>
              <w:rPr>
                <w:rFonts w:ascii="Gill Sans" w:hAnsi="Gill Sans" w:cs="Gill Sans"/>
                <w:i/>
                <w:szCs w:val="22"/>
              </w:rPr>
            </w:pPr>
          </w:p>
          <w:p w14:paraId="6C45E800" w14:textId="2FEE054E" w:rsidR="00AF320A" w:rsidRPr="00076E76" w:rsidRDefault="00AF320A" w:rsidP="00FA514E">
            <w:pPr>
              <w:rPr>
                <w:rFonts w:ascii="Gill Sans" w:hAnsi="Gill Sans" w:cs="Gill Sans"/>
                <w:b/>
                <w:szCs w:val="22"/>
              </w:rPr>
            </w:pPr>
          </w:p>
        </w:tc>
        <w:tc>
          <w:tcPr>
            <w:tcW w:w="10064" w:type="dxa"/>
          </w:tcPr>
          <w:p w14:paraId="27FBCF16" w14:textId="2959C42C" w:rsidR="00FA514E" w:rsidRPr="00076E76" w:rsidRDefault="00FA514E" w:rsidP="00FA514E">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sidR="00A97A46" w:rsidRPr="00076E76">
              <w:rPr>
                <w:rFonts w:ascii="Gill Sans" w:hAnsi="Gill Sans" w:cs="Gill Sans"/>
                <w:color w:val="000000"/>
                <w:szCs w:val="22"/>
                <w:lang w:val="en-AU"/>
              </w:rPr>
              <w:t>UK</w:t>
            </w:r>
            <w:r w:rsidR="00712970" w:rsidRPr="00076E76">
              <w:rPr>
                <w:rFonts w:ascii="Gill Sans" w:hAnsi="Gill Sans" w:cs="Gill Sans"/>
                <w:color w:val="000000"/>
                <w:szCs w:val="22"/>
                <w:lang w:val="en-AU"/>
              </w:rPr>
              <w:t>/ Scottish</w:t>
            </w:r>
            <w:r w:rsidR="00A97A46" w:rsidRPr="00076E76">
              <w:rPr>
                <w:rFonts w:ascii="Gill Sans" w:hAnsi="Gill Sans" w:cs="Gill Sans"/>
                <w:color w:val="000000"/>
                <w:szCs w:val="22"/>
                <w:lang w:val="en-AU"/>
              </w:rPr>
              <w:t xml:space="preserve"> higher education/ English</w:t>
            </w:r>
            <w:r w:rsidR="00D95C81" w:rsidRPr="00076E76">
              <w:rPr>
                <w:rFonts w:ascii="Gill Sans" w:hAnsi="Gill Sans" w:cs="Gill Sans"/>
                <w:color w:val="000000"/>
                <w:szCs w:val="22"/>
                <w:lang w:val="en-AU"/>
              </w:rPr>
              <w:t xml:space="preserve"> Literature</w:t>
            </w:r>
            <w:r w:rsidR="00A97A46" w:rsidRPr="00076E76">
              <w:rPr>
                <w:rFonts w:ascii="Gill Sans" w:hAnsi="Gill Sans" w:cs="Gill Sans"/>
                <w:color w:val="000000"/>
                <w:szCs w:val="22"/>
                <w:lang w:val="en-AU"/>
              </w:rPr>
              <w:t xml:space="preserve"> studies context. Identifies</w:t>
            </w:r>
            <w:r w:rsidR="00961FFC" w:rsidRPr="00076E76">
              <w:rPr>
                <w:rFonts w:ascii="Gill Sans" w:hAnsi="Gill Sans" w:cs="Gill Sans"/>
                <w:color w:val="000000"/>
                <w:szCs w:val="22"/>
                <w:lang w:val="en-AU"/>
              </w:rPr>
              <w:t xml:space="preserve"> first year of UG study as ‘critical time’ [who doesn’t??] – examines academic socialisation and academic literacies</w:t>
            </w:r>
            <w:r w:rsidR="00D95C81" w:rsidRPr="00076E76">
              <w:rPr>
                <w:rFonts w:ascii="Gill Sans" w:hAnsi="Gill Sans" w:cs="Gill Sans"/>
                <w:color w:val="000000"/>
                <w:szCs w:val="22"/>
                <w:lang w:val="en-AU"/>
              </w:rPr>
              <w:t>. Scopes UK literature on transition into university in</w:t>
            </w:r>
            <w:r w:rsidR="00712970" w:rsidRPr="00076E76">
              <w:rPr>
                <w:rFonts w:ascii="Gill Sans" w:hAnsi="Gill Sans" w:cs="Gill Sans"/>
                <w:color w:val="000000"/>
                <w:szCs w:val="22"/>
                <w:lang w:val="en-AU"/>
              </w:rPr>
              <w:t xml:space="preserve"> discipline area of</w:t>
            </w:r>
            <w:r w:rsidR="00D95C81" w:rsidRPr="00076E76">
              <w:rPr>
                <w:rFonts w:ascii="Gill Sans" w:hAnsi="Gill Sans" w:cs="Gill Sans"/>
                <w:color w:val="000000"/>
                <w:szCs w:val="22"/>
                <w:lang w:val="en-AU"/>
              </w:rPr>
              <w:t xml:space="preserve"> English </w:t>
            </w:r>
          </w:p>
          <w:p w14:paraId="02444042" w14:textId="4041EB21" w:rsidR="00FA514E" w:rsidRPr="00076E76" w:rsidRDefault="00FA514E" w:rsidP="00712970">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sidR="00D95C81" w:rsidRPr="00076E76">
              <w:rPr>
                <w:rFonts w:ascii="Gill Sans" w:hAnsi="Gill Sans" w:cs="Gill Sans"/>
                <w:color w:val="000000"/>
                <w:szCs w:val="22"/>
                <w:lang w:val="en-AU"/>
              </w:rPr>
              <w:t xml:space="preserve">To discuss investigation of </w:t>
            </w:r>
            <w:r w:rsidR="00D95C81" w:rsidRPr="00076E76">
              <w:rPr>
                <w:rFonts w:ascii="Gill Sans" w:hAnsi="Gill Sans" w:cs="Gill Sans"/>
                <w:color w:val="000000"/>
                <w:szCs w:val="22"/>
              </w:rPr>
              <w:t>students’ experience of transition into an English literature degree and their formation of student identities</w:t>
            </w:r>
            <w:r w:rsidR="00712970" w:rsidRPr="00076E76">
              <w:rPr>
                <w:rFonts w:ascii="Gill Sans" w:hAnsi="Gill Sans" w:cs="Gill Sans"/>
                <w:color w:val="000000"/>
                <w:szCs w:val="22"/>
              </w:rPr>
              <w:t>; “to understand more about some of the factors affecting English literature students’ successful transitions” (p.6)</w:t>
            </w:r>
          </w:p>
          <w:p w14:paraId="0F61DF79" w14:textId="77777777" w:rsidR="00FA514E" w:rsidRPr="00076E76" w:rsidRDefault="00FA514E" w:rsidP="00FA514E">
            <w:pPr>
              <w:rPr>
                <w:rFonts w:ascii="Gill Sans" w:hAnsi="Gill Sans" w:cs="Gill Sans"/>
                <w:b/>
                <w:color w:val="000000"/>
                <w:szCs w:val="22"/>
                <w:lang w:val="en-AU"/>
              </w:rPr>
            </w:pPr>
            <w:r w:rsidRPr="00076E76">
              <w:rPr>
                <w:rFonts w:ascii="Gill Sans" w:hAnsi="Gill Sans" w:cs="Gill Sans"/>
                <w:b/>
                <w:color w:val="000000"/>
                <w:szCs w:val="22"/>
                <w:lang w:val="en-AU"/>
              </w:rPr>
              <w:t>Theoretical frame:</w:t>
            </w:r>
          </w:p>
          <w:p w14:paraId="38C6E0FA" w14:textId="6302258B" w:rsidR="00FA514E" w:rsidRPr="00076E76" w:rsidRDefault="00FA514E" w:rsidP="00FA514E">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00712970" w:rsidRPr="00076E76">
              <w:rPr>
                <w:rFonts w:ascii="Gill Sans" w:hAnsi="Gill Sans" w:cs="Gill Sans"/>
                <w:color w:val="000000"/>
                <w:szCs w:val="22"/>
                <w:lang w:val="en-AU"/>
              </w:rPr>
              <w:t>Phenomenographic approach: series of (two) interviews with Year 1 students (n=8) and Year 2 students (n=4)</w:t>
            </w:r>
          </w:p>
          <w:p w14:paraId="32245785" w14:textId="77777777" w:rsidR="00712970" w:rsidRPr="00076E76" w:rsidRDefault="00FA514E" w:rsidP="00712970">
            <w:pPr>
              <w:rPr>
                <w:rFonts w:ascii="Gill Sans" w:hAnsi="Gill Sans" w:cs="Gill Sans"/>
                <w:color w:val="000000"/>
                <w:szCs w:val="22"/>
              </w:rPr>
            </w:pPr>
            <w:r w:rsidRPr="00076E76">
              <w:rPr>
                <w:rFonts w:ascii="Gill Sans" w:hAnsi="Gill Sans" w:cs="Gill Sans"/>
                <w:b/>
                <w:color w:val="000000"/>
                <w:szCs w:val="22"/>
                <w:lang w:val="en-AU"/>
              </w:rPr>
              <w:t xml:space="preserve">Findings: </w:t>
            </w:r>
            <w:r w:rsidR="00712970" w:rsidRPr="00076E76">
              <w:rPr>
                <w:rFonts w:ascii="Gill Sans" w:hAnsi="Gill Sans" w:cs="Gill Sans"/>
                <w:color w:val="000000"/>
                <w:szCs w:val="22"/>
                <w:lang w:val="en-AU"/>
              </w:rPr>
              <w:t>Similarities with data reported in other studies: students = negotiating “</w:t>
            </w:r>
            <w:r w:rsidR="00712970" w:rsidRPr="00076E76">
              <w:rPr>
                <w:rFonts w:ascii="Gill Sans" w:hAnsi="Gill Sans" w:cs="Gill Sans"/>
                <w:color w:val="000000"/>
                <w:szCs w:val="22"/>
              </w:rPr>
              <w:t xml:space="preserve">new circumstances relating to their subject, institution, peers, and tutors to form their student identity” (p.8). Challenges </w:t>
            </w:r>
            <w:proofErr w:type="gramStart"/>
            <w:r w:rsidR="00712970" w:rsidRPr="00076E76">
              <w:rPr>
                <w:rFonts w:ascii="Gill Sans" w:hAnsi="Gill Sans" w:cs="Gill Sans"/>
                <w:color w:val="000000"/>
                <w:szCs w:val="22"/>
              </w:rPr>
              <w:t>=  written</w:t>
            </w:r>
            <w:proofErr w:type="gramEnd"/>
            <w:r w:rsidR="00712970" w:rsidRPr="00076E76">
              <w:rPr>
                <w:rFonts w:ascii="Gill Sans" w:hAnsi="Gill Sans" w:cs="Gill Sans"/>
                <w:color w:val="000000"/>
                <w:szCs w:val="22"/>
              </w:rPr>
              <w:t xml:space="preserve"> assessments, note taking, reading, volume/ difficulty of work</w:t>
            </w:r>
          </w:p>
          <w:p w14:paraId="173FDDC1" w14:textId="26B03358" w:rsidR="00712970" w:rsidRPr="00076E76" w:rsidRDefault="00712970" w:rsidP="00712970">
            <w:pPr>
              <w:rPr>
                <w:rFonts w:ascii="Gill Sans" w:hAnsi="Gill Sans" w:cs="Gill Sans"/>
                <w:color w:val="000000"/>
                <w:szCs w:val="22"/>
              </w:rPr>
            </w:pPr>
            <w:r w:rsidRPr="00076E76">
              <w:rPr>
                <w:rFonts w:ascii="Gill Sans" w:hAnsi="Gill Sans" w:cs="Gill Sans"/>
                <w:color w:val="000000"/>
                <w:szCs w:val="22"/>
              </w:rPr>
              <w:t>‘Pull factors’ = enjoyment of subject, sometimes related to feelings of pleasure at school and sometimes with long-term connection to subject</w:t>
            </w:r>
          </w:p>
          <w:p w14:paraId="50AE8EC9" w14:textId="704316F6" w:rsidR="00712970" w:rsidRPr="00076E76" w:rsidRDefault="00712970" w:rsidP="00712970">
            <w:pPr>
              <w:rPr>
                <w:rFonts w:ascii="Gill Sans" w:hAnsi="Gill Sans" w:cs="Gill Sans"/>
                <w:color w:val="000000"/>
                <w:szCs w:val="22"/>
              </w:rPr>
            </w:pPr>
            <w:r w:rsidRPr="00076E76">
              <w:rPr>
                <w:rFonts w:ascii="Gill Sans" w:hAnsi="Gill Sans" w:cs="Gill Sans"/>
                <w:color w:val="000000"/>
                <w:szCs w:val="22"/>
              </w:rPr>
              <w:t>Academic socialisation (students changing to meet demands of university) = discussion of shifting academic identities</w:t>
            </w:r>
          </w:p>
          <w:p w14:paraId="16599569" w14:textId="35DE4F11" w:rsidR="00D47873" w:rsidRPr="00076E76" w:rsidRDefault="00D47873" w:rsidP="00712970">
            <w:pPr>
              <w:rPr>
                <w:rFonts w:ascii="Gill Sans" w:hAnsi="Gill Sans" w:cs="Gill Sans"/>
                <w:b/>
                <w:color w:val="000000"/>
                <w:szCs w:val="22"/>
                <w:lang w:val="en-AU"/>
              </w:rPr>
            </w:pPr>
            <w:r w:rsidRPr="00076E76">
              <w:rPr>
                <w:rFonts w:ascii="Gill Sans" w:hAnsi="Gill Sans" w:cs="Gill Sans"/>
                <w:color w:val="000000"/>
                <w:szCs w:val="22"/>
              </w:rPr>
              <w:t xml:space="preserve">Academic literacies (ref to Lillis &amp; Scott, 2008) = potential transformative effects of contextual approaches to studying literature and film – connected to sense of confidence, shifting notions of what English literature ‘is’ (a ‘threshold revelation’: </w:t>
            </w:r>
            <w:proofErr w:type="spellStart"/>
            <w:r w:rsidRPr="00076E76">
              <w:rPr>
                <w:rFonts w:ascii="Gill Sans" w:hAnsi="Gill Sans" w:cs="Gill Sans"/>
                <w:color w:val="000000"/>
                <w:szCs w:val="22"/>
              </w:rPr>
              <w:t>Gourlay</w:t>
            </w:r>
            <w:proofErr w:type="spellEnd"/>
            <w:r w:rsidRPr="00076E76">
              <w:rPr>
                <w:rFonts w:ascii="Gill Sans" w:hAnsi="Gill Sans" w:cs="Gill Sans"/>
                <w:color w:val="000000"/>
                <w:szCs w:val="22"/>
              </w:rPr>
              <w:t>, 2009)</w:t>
            </w:r>
          </w:p>
          <w:p w14:paraId="50E23279" w14:textId="6B2EA771" w:rsidR="00FA514E" w:rsidRPr="00076E76" w:rsidRDefault="00FA514E" w:rsidP="00D47873">
            <w:pPr>
              <w:rPr>
                <w:rFonts w:ascii="Gill Sans" w:hAnsi="Gill Sans" w:cs="Gill Sans"/>
                <w:color w:val="000000"/>
                <w:szCs w:val="22"/>
              </w:rPr>
            </w:pPr>
            <w:r w:rsidRPr="00076E76">
              <w:rPr>
                <w:rFonts w:ascii="Gill Sans" w:hAnsi="Gill Sans" w:cs="Gill Sans"/>
                <w:b/>
                <w:color w:val="000000"/>
                <w:szCs w:val="22"/>
                <w:lang w:val="en-AU"/>
              </w:rPr>
              <w:t>Core argument:</w:t>
            </w:r>
            <w:r w:rsidR="00D47873" w:rsidRPr="00076E76">
              <w:rPr>
                <w:rFonts w:ascii="Gill Sans" w:hAnsi="Gill Sans" w:cs="Gill Sans"/>
                <w:b/>
                <w:color w:val="000000"/>
                <w:szCs w:val="22"/>
                <w:lang w:val="en-AU"/>
              </w:rPr>
              <w:t xml:space="preserve"> </w:t>
            </w:r>
            <w:r w:rsidR="00D47873" w:rsidRPr="00076E76">
              <w:rPr>
                <w:rFonts w:ascii="Gill Sans" w:hAnsi="Gill Sans" w:cs="Gill Sans"/>
                <w:color w:val="000000"/>
                <w:szCs w:val="22"/>
                <w:lang w:val="en-AU"/>
              </w:rPr>
              <w:t>Need to develop pedagogies to support academic socialisation and academic literacies: “</w:t>
            </w:r>
            <w:r w:rsidR="00D47873" w:rsidRPr="00076E76">
              <w:rPr>
                <w:rFonts w:ascii="Gill Sans" w:hAnsi="Gill Sans" w:cs="Gill Sans"/>
                <w:color w:val="000000"/>
                <w:szCs w:val="22"/>
              </w:rPr>
              <w:t xml:space="preserve">Both the struggles and positive experiences of these participants support adopting academic literacies approaches to pedagogy: that respect individual student agency and identity formation; in which academic practices and discourses are made explicit (rather than demanding a passive learning and following of the rules), creating a learning space in which students can actively form and articulate their own identity as </w:t>
            </w:r>
            <w:r w:rsidR="00D47873" w:rsidRPr="00076E76">
              <w:rPr>
                <w:rFonts w:ascii="Gill Sans" w:hAnsi="Gill Sans" w:cs="Gill Sans"/>
                <w:color w:val="000000"/>
                <w:szCs w:val="22"/>
              </w:rPr>
              <w:lastRenderedPageBreak/>
              <w:t>academic; and in which as autonomous carriers of practices they have the potential to transform both outwardly and inwardly (the constitution of their academic world as well as their self)” p.15.</w:t>
            </w:r>
          </w:p>
        </w:tc>
      </w:tr>
      <w:tr w:rsidR="00C21C8D" w:rsidRPr="00076E76" w14:paraId="51C7BB92" w14:textId="77777777" w:rsidTr="002E557C">
        <w:tc>
          <w:tcPr>
            <w:tcW w:w="5529" w:type="dxa"/>
          </w:tcPr>
          <w:p w14:paraId="3E9C69CC" w14:textId="45888595" w:rsidR="00C21C8D" w:rsidRPr="00076E76" w:rsidRDefault="00C21C8D" w:rsidP="00C21C8D">
            <w:pPr>
              <w:rPr>
                <w:rFonts w:ascii="Gill Sans" w:hAnsi="Gill Sans" w:cs="Gill Sans"/>
                <w:szCs w:val="22"/>
              </w:rPr>
            </w:pPr>
            <w:r w:rsidRPr="00076E76">
              <w:rPr>
                <w:rFonts w:ascii="Gill Sans" w:hAnsi="Gill Sans" w:cs="Gill Sans"/>
                <w:szCs w:val="22"/>
              </w:rPr>
              <w:lastRenderedPageBreak/>
              <w:t>Anderson, M.; Goodman, J. &amp; Schlossberg, N. (201</w:t>
            </w:r>
            <w:r w:rsidR="002F76F8">
              <w:rPr>
                <w:rFonts w:ascii="Gill Sans" w:hAnsi="Gill Sans" w:cs="Gill Sans"/>
                <w:szCs w:val="22"/>
              </w:rPr>
              <w:t>2</w:t>
            </w:r>
            <w:r w:rsidRPr="00076E76">
              <w:rPr>
                <w:rFonts w:ascii="Gill Sans" w:hAnsi="Gill Sans" w:cs="Gill Sans"/>
                <w:szCs w:val="22"/>
              </w:rPr>
              <w:t xml:space="preserve">). </w:t>
            </w:r>
            <w:hyperlink r:id="rId10" w:history="1">
              <w:r w:rsidRPr="002F76F8">
                <w:rPr>
                  <w:rStyle w:val="Hyperlink"/>
                  <w:rFonts w:ascii="Gill Sans" w:hAnsi="Gill Sans" w:cs="Gill Sans"/>
                  <w:i/>
                  <w:szCs w:val="22"/>
                </w:rPr>
                <w:t>Counseling Adults in Transition</w:t>
              </w:r>
              <w:r w:rsidR="00A7704B" w:rsidRPr="002F76F8">
                <w:rPr>
                  <w:rStyle w:val="Hyperlink"/>
                  <w:rFonts w:ascii="Gill Sans" w:hAnsi="Gill Sans" w:cs="Gill Sans"/>
                  <w:i/>
                  <w:szCs w:val="22"/>
                </w:rPr>
                <w:t>: Linking Schlossberg’s Theory with Practice in a Diverse World</w:t>
              </w:r>
              <w:r w:rsidR="00A7704B" w:rsidRPr="002F76F8">
                <w:rPr>
                  <w:rStyle w:val="Hyperlink"/>
                  <w:rFonts w:ascii="Gill Sans" w:hAnsi="Gill Sans" w:cs="Gill Sans"/>
                  <w:szCs w:val="22"/>
                </w:rPr>
                <w:t xml:space="preserve"> (4</w:t>
              </w:r>
              <w:r w:rsidR="00A7704B" w:rsidRPr="002F76F8">
                <w:rPr>
                  <w:rStyle w:val="Hyperlink"/>
                  <w:rFonts w:ascii="Gill Sans" w:hAnsi="Gill Sans" w:cs="Gill Sans"/>
                  <w:szCs w:val="22"/>
                  <w:vertAlign w:val="superscript"/>
                </w:rPr>
                <w:t>th</w:t>
              </w:r>
              <w:r w:rsidR="00A7704B" w:rsidRPr="002F76F8">
                <w:rPr>
                  <w:rStyle w:val="Hyperlink"/>
                  <w:rFonts w:ascii="Gill Sans" w:hAnsi="Gill Sans" w:cs="Gill Sans"/>
                  <w:szCs w:val="22"/>
                </w:rPr>
                <w:t xml:space="preserve"> ed.).</w:t>
              </w:r>
            </w:hyperlink>
            <w:r w:rsidR="00A7704B" w:rsidRPr="00076E76">
              <w:rPr>
                <w:rFonts w:ascii="Gill Sans" w:hAnsi="Gill Sans" w:cs="Gill Sans"/>
                <w:szCs w:val="22"/>
              </w:rPr>
              <w:t xml:space="preserve"> Springer: </w:t>
            </w:r>
            <w:r w:rsidR="002F76F8">
              <w:rPr>
                <w:rFonts w:ascii="Gill Sans" w:hAnsi="Gill Sans" w:cs="Gill Sans"/>
                <w:szCs w:val="22"/>
              </w:rPr>
              <w:t xml:space="preserve">New York. </w:t>
            </w:r>
          </w:p>
          <w:p w14:paraId="119386D6" w14:textId="77777777" w:rsidR="00AF320A" w:rsidRPr="00076E76" w:rsidRDefault="00AF320A" w:rsidP="00C21C8D">
            <w:pPr>
              <w:rPr>
                <w:rFonts w:ascii="Gill Sans" w:hAnsi="Gill Sans" w:cs="Gill Sans"/>
                <w:szCs w:val="22"/>
              </w:rPr>
            </w:pPr>
          </w:p>
          <w:p w14:paraId="40B35EF7" w14:textId="4FEE04CF" w:rsidR="000F60CF" w:rsidRPr="002F76F8" w:rsidRDefault="002F76F8" w:rsidP="00C21C8D">
            <w:pPr>
              <w:rPr>
                <w:rFonts w:ascii="Gill Sans" w:hAnsi="Gill Sans" w:cs="Gill Sans"/>
                <w:szCs w:val="22"/>
              </w:rPr>
            </w:pPr>
            <w:r>
              <w:rPr>
                <w:rFonts w:ascii="Gill Sans" w:hAnsi="Gill Sans" w:cs="Gill Sans"/>
                <w:szCs w:val="22"/>
              </w:rPr>
              <w:t>US</w:t>
            </w:r>
          </w:p>
          <w:p w14:paraId="3C4F0392" w14:textId="77777777" w:rsidR="000F60CF" w:rsidRPr="00076E76" w:rsidRDefault="000F60CF" w:rsidP="000F60CF">
            <w:pPr>
              <w:rPr>
                <w:rFonts w:ascii="Gill Sans" w:hAnsi="Gill Sans" w:cs="Gill Sans"/>
                <w:szCs w:val="22"/>
              </w:rPr>
            </w:pPr>
            <w:r w:rsidRPr="00076E76">
              <w:rPr>
                <w:rFonts w:ascii="Gill Sans" w:hAnsi="Gill Sans" w:cs="Gill Sans"/>
                <w:szCs w:val="22"/>
              </w:rPr>
              <w:t>Annotation by Sally Baker</w:t>
            </w:r>
          </w:p>
          <w:p w14:paraId="7F4A5EB1" w14:textId="63A87D68" w:rsidR="000F60CF" w:rsidRPr="00076E76" w:rsidRDefault="000F60CF" w:rsidP="00C21C8D">
            <w:pPr>
              <w:rPr>
                <w:rFonts w:ascii="Gill Sans" w:hAnsi="Gill Sans" w:cs="Gill Sans"/>
                <w:b/>
                <w:szCs w:val="22"/>
              </w:rPr>
            </w:pPr>
          </w:p>
        </w:tc>
        <w:tc>
          <w:tcPr>
            <w:tcW w:w="10064" w:type="dxa"/>
          </w:tcPr>
          <w:p w14:paraId="1985B3F0" w14:textId="77777777" w:rsidR="00C21C8D" w:rsidRPr="00076E76" w:rsidRDefault="009E6CE3" w:rsidP="00FA514E">
            <w:pPr>
              <w:rPr>
                <w:rFonts w:ascii="Gill Sans" w:hAnsi="Gill Sans" w:cs="Gill Sans"/>
                <w:color w:val="000000"/>
                <w:szCs w:val="22"/>
                <w:lang w:val="en-AU"/>
              </w:rPr>
            </w:pPr>
            <w:r w:rsidRPr="00076E76">
              <w:rPr>
                <w:rFonts w:ascii="Gill Sans" w:hAnsi="Gill Sans" w:cs="Gill Sans"/>
                <w:b/>
                <w:color w:val="000000"/>
                <w:szCs w:val="22"/>
                <w:lang w:val="en-AU"/>
              </w:rPr>
              <w:t>Schlo</w:t>
            </w:r>
            <w:r w:rsidR="00A7704B" w:rsidRPr="00076E76">
              <w:rPr>
                <w:rFonts w:ascii="Gill Sans" w:hAnsi="Gill Sans" w:cs="Gill Sans"/>
                <w:b/>
                <w:color w:val="000000"/>
                <w:szCs w:val="22"/>
                <w:lang w:val="en-AU"/>
              </w:rPr>
              <w:t>ssberg’s</w:t>
            </w:r>
            <w:r w:rsidRPr="00076E76">
              <w:rPr>
                <w:rFonts w:ascii="Gill Sans" w:hAnsi="Gill Sans" w:cs="Gill Sans"/>
                <w:b/>
                <w:color w:val="000000"/>
                <w:szCs w:val="22"/>
                <w:lang w:val="en-AU"/>
              </w:rPr>
              <w:t xml:space="preserve"> theory of transition/ transition model: </w:t>
            </w:r>
            <w:r w:rsidRPr="00076E76">
              <w:rPr>
                <w:rFonts w:ascii="Gill Sans" w:hAnsi="Gill Sans" w:cs="Gill Sans"/>
                <w:color w:val="000000"/>
                <w:szCs w:val="22"/>
                <w:lang w:val="en-AU"/>
              </w:rPr>
              <w:t>= systematic framework for counsellors, social workers etc.</w:t>
            </w:r>
            <w:r w:rsidR="00F61DA4" w:rsidRPr="00076E76">
              <w:rPr>
                <w:rFonts w:ascii="Gill Sans" w:hAnsi="Gill Sans" w:cs="Gill Sans"/>
                <w:color w:val="000000"/>
                <w:szCs w:val="22"/>
                <w:lang w:val="en-AU"/>
              </w:rPr>
              <w:t xml:space="preserve"> Opens view of individual difference, but offers stable structure. Three major parts:</w:t>
            </w:r>
          </w:p>
          <w:p w14:paraId="603B04AC" w14:textId="1DEB5493" w:rsidR="00F61DA4" w:rsidRPr="00076E76" w:rsidRDefault="00F61DA4" w:rsidP="00F61DA4">
            <w:pPr>
              <w:pStyle w:val="ListParagraph"/>
              <w:numPr>
                <w:ilvl w:val="0"/>
                <w:numId w:val="18"/>
              </w:numPr>
              <w:rPr>
                <w:rFonts w:ascii="Gill Sans" w:hAnsi="Gill Sans" w:cs="Gill Sans"/>
                <w:color w:val="000000"/>
                <w:szCs w:val="22"/>
                <w:lang w:val="en-AU"/>
              </w:rPr>
            </w:pPr>
            <w:r w:rsidRPr="00076E76">
              <w:rPr>
                <w:rFonts w:ascii="Gill Sans" w:hAnsi="Gill Sans" w:cs="Gill Sans"/>
                <w:color w:val="000000"/>
                <w:szCs w:val="22"/>
                <w:lang w:val="en-AU"/>
              </w:rPr>
              <w:t xml:space="preserve">Approaching transitions: identification </w:t>
            </w:r>
            <w:r w:rsidR="00C76922" w:rsidRPr="00076E76">
              <w:rPr>
                <w:rFonts w:ascii="Gill Sans" w:hAnsi="Gill Sans" w:cs="Gill Sans"/>
                <w:color w:val="000000"/>
                <w:szCs w:val="22"/>
                <w:lang w:val="en-AU"/>
              </w:rPr>
              <w:t xml:space="preserve">(what kind of transition/ how much change is anticipated) </w:t>
            </w:r>
            <w:r w:rsidRPr="00076E76">
              <w:rPr>
                <w:rFonts w:ascii="Gill Sans" w:hAnsi="Gill Sans" w:cs="Gill Sans"/>
                <w:color w:val="000000"/>
                <w:szCs w:val="22"/>
                <w:lang w:val="en-AU"/>
              </w:rPr>
              <w:t>and processes</w:t>
            </w:r>
            <w:r w:rsidR="00C76922" w:rsidRPr="00076E76">
              <w:rPr>
                <w:rFonts w:ascii="Gill Sans" w:hAnsi="Gill Sans" w:cs="Gill Sans"/>
                <w:color w:val="000000"/>
                <w:szCs w:val="22"/>
                <w:lang w:val="en-AU"/>
              </w:rPr>
              <w:t xml:space="preserve"> (locates where person is in transition)</w:t>
            </w:r>
          </w:p>
          <w:p w14:paraId="71DB6C36" w14:textId="7B8A1313" w:rsidR="00F61DA4" w:rsidRPr="00076E76" w:rsidRDefault="00F61DA4" w:rsidP="00F61DA4">
            <w:pPr>
              <w:pStyle w:val="ListParagraph"/>
              <w:numPr>
                <w:ilvl w:val="0"/>
                <w:numId w:val="18"/>
              </w:numPr>
              <w:rPr>
                <w:rFonts w:ascii="Gill Sans" w:hAnsi="Gill Sans" w:cs="Gill Sans"/>
                <w:color w:val="000000"/>
                <w:szCs w:val="22"/>
                <w:lang w:val="en-AU"/>
              </w:rPr>
            </w:pPr>
            <w:r w:rsidRPr="00076E76">
              <w:rPr>
                <w:rFonts w:ascii="Gill Sans" w:hAnsi="Gill Sans" w:cs="Gill Sans"/>
                <w:color w:val="000000"/>
                <w:szCs w:val="22"/>
                <w:lang w:val="en-AU"/>
              </w:rPr>
              <w:t>The 4 S system</w:t>
            </w:r>
            <w:r w:rsidR="00C76922" w:rsidRPr="00076E76">
              <w:rPr>
                <w:rFonts w:ascii="Gill Sans" w:hAnsi="Gill Sans" w:cs="Gill Sans"/>
                <w:color w:val="000000"/>
                <w:szCs w:val="22"/>
                <w:lang w:val="en-AU"/>
              </w:rPr>
              <w:t>: situation, self, support, strategies</w:t>
            </w:r>
          </w:p>
          <w:p w14:paraId="29817E42" w14:textId="77777777" w:rsidR="00F61DA4" w:rsidRPr="00076E76" w:rsidRDefault="00F61DA4" w:rsidP="00F61DA4">
            <w:pPr>
              <w:pStyle w:val="ListParagraph"/>
              <w:numPr>
                <w:ilvl w:val="0"/>
                <w:numId w:val="18"/>
              </w:numPr>
              <w:rPr>
                <w:rFonts w:ascii="Gill Sans" w:hAnsi="Gill Sans" w:cs="Gill Sans"/>
                <w:color w:val="000000"/>
                <w:szCs w:val="22"/>
                <w:lang w:val="en-AU"/>
              </w:rPr>
            </w:pPr>
            <w:r w:rsidRPr="00076E76">
              <w:rPr>
                <w:rFonts w:ascii="Gill Sans" w:hAnsi="Gill Sans" w:cs="Gill Sans"/>
                <w:color w:val="000000"/>
                <w:szCs w:val="22"/>
                <w:lang w:val="en-AU"/>
              </w:rPr>
              <w:t>Taking charge/ strengthening resources</w:t>
            </w:r>
            <w:r w:rsidR="00C76922" w:rsidRPr="00076E76">
              <w:rPr>
                <w:rFonts w:ascii="Gill Sans" w:hAnsi="Gill Sans" w:cs="Gill Sans"/>
                <w:color w:val="000000"/>
                <w:szCs w:val="22"/>
                <w:lang w:val="en-AU"/>
              </w:rPr>
              <w:t xml:space="preserve"> (use of strategies)</w:t>
            </w:r>
          </w:p>
          <w:p w14:paraId="3F5008C1" w14:textId="77777777" w:rsidR="00B70958" w:rsidRPr="00076E76" w:rsidRDefault="00B70958" w:rsidP="00B70958">
            <w:pPr>
              <w:rPr>
                <w:rFonts w:ascii="Gill Sans" w:hAnsi="Gill Sans" w:cs="Gill Sans"/>
                <w:color w:val="000000"/>
                <w:szCs w:val="22"/>
                <w:lang w:val="en-AU"/>
              </w:rPr>
            </w:pPr>
            <w:r w:rsidRPr="00076E76">
              <w:rPr>
                <w:rFonts w:ascii="Gill Sans" w:hAnsi="Gill Sans" w:cs="Gill Sans"/>
                <w:color w:val="000000"/>
                <w:szCs w:val="22"/>
                <w:lang w:val="en-AU"/>
              </w:rPr>
              <w:t xml:space="preserve">Definition of transition: “a transition is an event or </w:t>
            </w:r>
            <w:proofErr w:type="spellStart"/>
            <w:r w:rsidRPr="00076E76">
              <w:rPr>
                <w:rFonts w:ascii="Gill Sans" w:hAnsi="Gill Sans" w:cs="Gill Sans"/>
                <w:color w:val="000000"/>
                <w:szCs w:val="22"/>
                <w:lang w:val="en-AU"/>
              </w:rPr>
              <w:t>nonevent</w:t>
            </w:r>
            <w:proofErr w:type="spellEnd"/>
            <w:r w:rsidRPr="00076E76">
              <w:rPr>
                <w:rFonts w:ascii="Gill Sans" w:hAnsi="Gill Sans" w:cs="Gill Sans"/>
                <w:color w:val="000000"/>
                <w:szCs w:val="22"/>
                <w:lang w:val="en-AU"/>
              </w:rPr>
              <w:t xml:space="preserve"> that results in changed relationships, routines, assumptions, and roles. Transitions have been placed conceptually within a developmental framework, described as </w:t>
            </w:r>
            <w:r w:rsidRPr="00076E76">
              <w:rPr>
                <w:rFonts w:ascii="Gill Sans" w:hAnsi="Gill Sans" w:cs="Gill Sans"/>
                <w:i/>
                <w:color w:val="000000"/>
                <w:szCs w:val="22"/>
                <w:lang w:val="en-AU"/>
              </w:rPr>
              <w:t xml:space="preserve">turning </w:t>
            </w:r>
            <w:r w:rsidR="004D12DD" w:rsidRPr="00076E76">
              <w:rPr>
                <w:rFonts w:ascii="Gill Sans" w:hAnsi="Gill Sans" w:cs="Gill Sans"/>
                <w:color w:val="000000"/>
                <w:szCs w:val="22"/>
                <w:lang w:val="en-AU"/>
              </w:rPr>
              <w:t>points or as a period between two periods of stability” (p.39).</w:t>
            </w:r>
          </w:p>
          <w:p w14:paraId="59DF8251" w14:textId="77777777" w:rsidR="004D12DD" w:rsidRPr="00076E76" w:rsidRDefault="004D12DD" w:rsidP="00B70958">
            <w:pPr>
              <w:rPr>
                <w:rFonts w:ascii="Gill Sans" w:hAnsi="Gill Sans" w:cs="Gill Sans"/>
                <w:color w:val="000000"/>
                <w:szCs w:val="22"/>
                <w:lang w:val="en-AU"/>
              </w:rPr>
            </w:pPr>
            <w:r w:rsidRPr="00076E76">
              <w:rPr>
                <w:rFonts w:ascii="Gill Sans" w:hAnsi="Gill Sans" w:cs="Gill Sans"/>
                <w:color w:val="000000"/>
                <w:szCs w:val="22"/>
                <w:lang w:val="en-AU"/>
              </w:rPr>
              <w:t>For some people, transition = crisis</w:t>
            </w:r>
            <w:r w:rsidR="00105A3E" w:rsidRPr="00076E76">
              <w:rPr>
                <w:rFonts w:ascii="Gill Sans" w:hAnsi="Gill Sans" w:cs="Gill Sans"/>
                <w:color w:val="000000"/>
                <w:szCs w:val="22"/>
                <w:lang w:val="en-AU"/>
              </w:rPr>
              <w:t xml:space="preserve"> (makes reference to Chinese word for crisis (literal translation = </w:t>
            </w:r>
            <w:r w:rsidR="00105A3E" w:rsidRPr="00076E76">
              <w:rPr>
                <w:rFonts w:ascii="Gill Sans" w:hAnsi="Gill Sans" w:cs="Gill Sans"/>
                <w:i/>
                <w:color w:val="000000"/>
                <w:szCs w:val="22"/>
                <w:lang w:val="en-AU"/>
              </w:rPr>
              <w:t>opportunity riding a dangerous wind</w:t>
            </w:r>
            <w:r w:rsidR="00146B6A" w:rsidRPr="00076E76">
              <w:rPr>
                <w:rFonts w:ascii="Gill Sans" w:hAnsi="Gill Sans" w:cs="Gill Sans"/>
                <w:color w:val="000000"/>
                <w:szCs w:val="22"/>
                <w:lang w:val="en-AU"/>
              </w:rPr>
              <w:t>, p.39</w:t>
            </w:r>
            <w:r w:rsidR="00105A3E" w:rsidRPr="00076E76">
              <w:rPr>
                <w:rFonts w:ascii="Gill Sans" w:hAnsi="Gill Sans" w:cs="Gill Sans"/>
                <w:color w:val="000000"/>
                <w:szCs w:val="22"/>
                <w:lang w:val="en-AU"/>
              </w:rPr>
              <w:t>) = metaphor “for the unsettled yet perhaps excited feelings clients may be experiencing when they approach a transition” (p.</w:t>
            </w:r>
            <w:r w:rsidR="00146B6A" w:rsidRPr="00076E76">
              <w:rPr>
                <w:rFonts w:ascii="Gill Sans" w:hAnsi="Gill Sans" w:cs="Gill Sans"/>
                <w:color w:val="000000"/>
                <w:szCs w:val="22"/>
                <w:lang w:val="en-AU"/>
              </w:rPr>
              <w:t>39-40).</w:t>
            </w:r>
          </w:p>
          <w:p w14:paraId="614761B8" w14:textId="77777777" w:rsidR="00146B6A" w:rsidRPr="00076E76" w:rsidRDefault="00146B6A" w:rsidP="00B70958">
            <w:pPr>
              <w:rPr>
                <w:rFonts w:ascii="Gill Sans" w:hAnsi="Gill Sans" w:cs="Gill Sans"/>
                <w:color w:val="000000"/>
                <w:szCs w:val="22"/>
                <w:lang w:val="en-AU"/>
              </w:rPr>
            </w:pPr>
            <w:r w:rsidRPr="00076E76">
              <w:rPr>
                <w:rFonts w:ascii="Gill Sans" w:hAnsi="Gill Sans" w:cs="Gill Sans"/>
                <w:color w:val="000000"/>
                <w:szCs w:val="22"/>
                <w:lang w:val="en-AU"/>
              </w:rPr>
              <w:t>Transition requires coping: letting go of aspects of the self; letting go of former roles and learning new ones (p.40)</w:t>
            </w:r>
          </w:p>
          <w:p w14:paraId="1AEEA803" w14:textId="5D0B8DD0" w:rsidR="007A3FC6" w:rsidRPr="00076E76" w:rsidRDefault="004A6AFB" w:rsidP="00B70958">
            <w:pPr>
              <w:rPr>
                <w:rFonts w:ascii="Gill Sans" w:hAnsi="Gill Sans" w:cs="Gill Sans"/>
                <w:color w:val="000000"/>
                <w:szCs w:val="22"/>
                <w:lang w:val="en-AU"/>
              </w:rPr>
            </w:pPr>
            <w:r w:rsidRPr="00076E76">
              <w:rPr>
                <w:rFonts w:ascii="Gill Sans" w:hAnsi="Gill Sans" w:cs="Gill Sans"/>
                <w:color w:val="000000"/>
                <w:szCs w:val="22"/>
                <w:lang w:val="en-AU"/>
              </w:rPr>
              <w:t xml:space="preserve">Cites </w:t>
            </w:r>
            <w:r w:rsidR="007A3FC6" w:rsidRPr="00076E76">
              <w:rPr>
                <w:rFonts w:ascii="Gill Sans" w:hAnsi="Gill Sans" w:cs="Gill Sans"/>
                <w:color w:val="000000"/>
                <w:szCs w:val="22"/>
                <w:lang w:val="en-AU"/>
              </w:rPr>
              <w:t>Parkes (1971) = ‘psychosocial transition” = a change that necessitates abandoning one set of assumptions and development of fresh set (see p.40)</w:t>
            </w:r>
          </w:p>
          <w:p w14:paraId="5C491342" w14:textId="4518C6CC" w:rsidR="004A6AFB" w:rsidRPr="00076E76" w:rsidRDefault="007A3FC6" w:rsidP="00B70958">
            <w:pPr>
              <w:rPr>
                <w:rFonts w:ascii="Gill Sans" w:hAnsi="Gill Sans" w:cs="Gill Sans"/>
                <w:color w:val="000000"/>
                <w:szCs w:val="22"/>
                <w:lang w:val="en-AU"/>
              </w:rPr>
            </w:pPr>
            <w:r w:rsidRPr="00076E76">
              <w:rPr>
                <w:rFonts w:ascii="Gill Sans" w:hAnsi="Gill Sans" w:cs="Gill Sans"/>
                <w:color w:val="000000"/>
                <w:szCs w:val="22"/>
                <w:lang w:val="en-AU"/>
              </w:rPr>
              <w:t>“A transition is not so much a matter of change as of the individual’s</w:t>
            </w:r>
            <w:r w:rsidR="004A6AFB" w:rsidRPr="00076E76">
              <w:rPr>
                <w:rFonts w:ascii="Gill Sans" w:hAnsi="Gill Sans" w:cs="Gill Sans"/>
                <w:color w:val="000000"/>
                <w:szCs w:val="22"/>
                <w:lang w:val="en-AU"/>
              </w:rPr>
              <w:t xml:space="preserve"> own perception of the change” (p.40).</w:t>
            </w:r>
          </w:p>
          <w:p w14:paraId="7A74B6F2" w14:textId="77777777" w:rsidR="004A6AFB" w:rsidRPr="00076E76" w:rsidRDefault="004A6AFB" w:rsidP="00B70958">
            <w:pPr>
              <w:rPr>
                <w:rFonts w:ascii="Gill Sans" w:hAnsi="Gill Sans" w:cs="Gill Sans"/>
                <w:b/>
                <w:color w:val="000000"/>
                <w:szCs w:val="22"/>
                <w:lang w:val="en-AU"/>
              </w:rPr>
            </w:pPr>
            <w:r w:rsidRPr="00076E76">
              <w:rPr>
                <w:rFonts w:ascii="Gill Sans" w:hAnsi="Gill Sans" w:cs="Gill Sans"/>
                <w:b/>
                <w:color w:val="000000"/>
                <w:szCs w:val="22"/>
                <w:lang w:val="en-AU"/>
              </w:rPr>
              <w:t>Typology of transitions:</w:t>
            </w:r>
          </w:p>
          <w:p w14:paraId="1D9E8CC1" w14:textId="7FF3DEE2" w:rsidR="004A6AFB" w:rsidRPr="00076E76" w:rsidRDefault="004A6AFB" w:rsidP="00B70958">
            <w:pPr>
              <w:rPr>
                <w:rFonts w:ascii="Gill Sans" w:hAnsi="Gill Sans" w:cs="Gill Sans"/>
                <w:color w:val="000000"/>
                <w:szCs w:val="22"/>
                <w:lang w:val="en-AU"/>
              </w:rPr>
            </w:pPr>
            <w:r w:rsidRPr="00076E76">
              <w:rPr>
                <w:rFonts w:ascii="Gill Sans" w:hAnsi="Gill Sans" w:cs="Gill Sans"/>
                <w:color w:val="000000"/>
                <w:szCs w:val="22"/>
                <w:lang w:val="en-AU"/>
              </w:rPr>
              <w:t>Anticipated transitions (e.g. birth of first child, getting married, child leaving home)</w:t>
            </w:r>
          </w:p>
          <w:p w14:paraId="49BAD3E6" w14:textId="77777777" w:rsidR="004A6AFB" w:rsidRPr="00076E76" w:rsidRDefault="004A6AFB" w:rsidP="00B70958">
            <w:pPr>
              <w:rPr>
                <w:rFonts w:ascii="Gill Sans" w:hAnsi="Gill Sans" w:cs="Gill Sans"/>
                <w:color w:val="000000"/>
                <w:szCs w:val="22"/>
                <w:lang w:val="en-AU"/>
              </w:rPr>
            </w:pPr>
            <w:r w:rsidRPr="00076E76">
              <w:rPr>
                <w:rFonts w:ascii="Gill Sans" w:hAnsi="Gill Sans" w:cs="Gill Sans"/>
                <w:color w:val="000000"/>
                <w:szCs w:val="22"/>
                <w:lang w:val="en-AU"/>
              </w:rPr>
              <w:t>Unanticipated transitions (</w:t>
            </w:r>
            <w:r w:rsidR="002242FC" w:rsidRPr="00076E76">
              <w:rPr>
                <w:rFonts w:ascii="Gill Sans" w:hAnsi="Gill Sans" w:cs="Gill Sans"/>
                <w:color w:val="000000"/>
                <w:szCs w:val="22"/>
                <w:lang w:val="en-AU"/>
              </w:rPr>
              <w:t>death of family member, divorce)</w:t>
            </w:r>
          </w:p>
          <w:p w14:paraId="4B39517D" w14:textId="3FC08359" w:rsidR="00A0041D" w:rsidRPr="00076E76" w:rsidRDefault="00A0041D" w:rsidP="00B70958">
            <w:pPr>
              <w:rPr>
                <w:rFonts w:ascii="Gill Sans" w:hAnsi="Gill Sans" w:cs="Gill Sans"/>
                <w:color w:val="000000"/>
                <w:szCs w:val="22"/>
                <w:lang w:val="en-AU"/>
              </w:rPr>
            </w:pPr>
            <w:proofErr w:type="spellStart"/>
            <w:r w:rsidRPr="00076E76">
              <w:rPr>
                <w:rFonts w:ascii="Gill Sans" w:hAnsi="Gill Sans" w:cs="Gill Sans"/>
                <w:color w:val="000000"/>
                <w:szCs w:val="22"/>
                <w:lang w:val="en-AU"/>
              </w:rPr>
              <w:t>Nonevent</w:t>
            </w:r>
            <w:proofErr w:type="spellEnd"/>
            <w:r w:rsidRPr="00076E76">
              <w:rPr>
                <w:rFonts w:ascii="Gill Sans" w:hAnsi="Gill Sans" w:cs="Gill Sans"/>
                <w:color w:val="000000"/>
                <w:szCs w:val="22"/>
                <w:lang w:val="en-AU"/>
              </w:rPr>
              <w:t xml:space="preserve"> transitions – when transition = anticipated but does not occur: “the realisation that the expected transition did not and will likely never occur alters the way they see themselves and might also alter the way they behave” (p.43)</w:t>
            </w:r>
          </w:p>
          <w:p w14:paraId="0952B953" w14:textId="77777777" w:rsidR="002242FC" w:rsidRPr="00076E76" w:rsidRDefault="002242FC" w:rsidP="00B70958">
            <w:pPr>
              <w:rPr>
                <w:rFonts w:ascii="Gill Sans" w:hAnsi="Gill Sans" w:cs="Gill Sans"/>
                <w:color w:val="000000"/>
                <w:szCs w:val="22"/>
                <w:lang w:val="en-AU"/>
              </w:rPr>
            </w:pPr>
            <w:r w:rsidRPr="00076E76">
              <w:rPr>
                <w:rFonts w:ascii="Gill Sans" w:hAnsi="Gill Sans" w:cs="Gill Sans"/>
                <w:color w:val="000000"/>
                <w:szCs w:val="22"/>
                <w:lang w:val="en-AU"/>
              </w:rPr>
              <w:t>“Many theoretical perspectives about transitions make assumptions that individuals are making transitions in optimal circumstances and that people have the capabilities and resources to make the transition</w:t>
            </w:r>
            <w:r w:rsidR="00A0041D" w:rsidRPr="00076E76">
              <w:rPr>
                <w:rFonts w:ascii="Gill Sans" w:hAnsi="Gill Sans" w:cs="Gill Sans"/>
                <w:color w:val="000000"/>
                <w:szCs w:val="22"/>
                <w:lang w:val="en-AU"/>
              </w:rPr>
              <w:t>” (p.42), but not always the case.</w:t>
            </w:r>
          </w:p>
          <w:p w14:paraId="0F6BC2D0" w14:textId="0992E72B" w:rsidR="00A22A62" w:rsidRPr="00076E76" w:rsidRDefault="00DA7447" w:rsidP="00B70958">
            <w:pPr>
              <w:rPr>
                <w:rFonts w:ascii="Gill Sans" w:hAnsi="Gill Sans" w:cs="Gill Sans"/>
                <w:color w:val="000000"/>
                <w:szCs w:val="22"/>
                <w:lang w:val="en-AU"/>
              </w:rPr>
            </w:pPr>
            <w:r w:rsidRPr="00076E76">
              <w:rPr>
                <w:rFonts w:ascii="Gill Sans" w:hAnsi="Gill Sans" w:cs="Gill Sans"/>
                <w:color w:val="000000"/>
                <w:szCs w:val="22"/>
                <w:lang w:val="en-AU"/>
              </w:rPr>
              <w:t>Perspective, context and impact</w:t>
            </w:r>
            <w:r w:rsidR="00422B80" w:rsidRPr="00076E76">
              <w:rPr>
                <w:rFonts w:ascii="Gill Sans" w:hAnsi="Gill Sans" w:cs="Gill Sans"/>
                <w:color w:val="000000"/>
                <w:szCs w:val="22"/>
                <w:lang w:val="en-AU"/>
              </w:rPr>
              <w:t xml:space="preserve"> (to everyday life)</w:t>
            </w:r>
            <w:r w:rsidRPr="00076E76">
              <w:rPr>
                <w:rFonts w:ascii="Gill Sans" w:hAnsi="Gill Sans" w:cs="Gill Sans"/>
                <w:color w:val="000000"/>
                <w:szCs w:val="22"/>
                <w:lang w:val="en-AU"/>
              </w:rPr>
              <w:t xml:space="preserve"> = significant factors</w:t>
            </w:r>
            <w:r w:rsidR="008E2F60" w:rsidRPr="00076E76">
              <w:rPr>
                <w:rFonts w:ascii="Gill Sans" w:hAnsi="Gill Sans" w:cs="Gill Sans"/>
                <w:color w:val="000000"/>
                <w:szCs w:val="22"/>
                <w:lang w:val="en-AU"/>
              </w:rPr>
              <w:t>; need to remember that difference is norm: “There is differentiation in the opportunities and obstacles that shape people’s potentia</w:t>
            </w:r>
            <w:r w:rsidR="00422B80" w:rsidRPr="00076E76">
              <w:rPr>
                <w:rFonts w:ascii="Gill Sans" w:hAnsi="Gill Sans" w:cs="Gill Sans"/>
                <w:color w:val="000000"/>
                <w:szCs w:val="22"/>
                <w:lang w:val="en-AU"/>
              </w:rPr>
              <w:t>l, across backgrounds, locations, birth eras, and countries” (p.44)</w:t>
            </w:r>
            <w:r w:rsidR="00A22A62" w:rsidRPr="00076E76">
              <w:rPr>
                <w:rFonts w:ascii="Gill Sans" w:hAnsi="Gill Sans" w:cs="Gill Sans"/>
                <w:color w:val="000000"/>
                <w:szCs w:val="22"/>
                <w:lang w:val="en-AU"/>
              </w:rPr>
              <w:t>.</w:t>
            </w:r>
          </w:p>
          <w:p w14:paraId="341D6AA6" w14:textId="77777777" w:rsidR="00A22A62" w:rsidRPr="00076E76" w:rsidRDefault="00A22A62" w:rsidP="00B70958">
            <w:pPr>
              <w:rPr>
                <w:rFonts w:ascii="Gill Sans" w:hAnsi="Gill Sans" w:cs="Gill Sans"/>
                <w:b/>
                <w:color w:val="000000"/>
                <w:szCs w:val="22"/>
                <w:lang w:val="en-AU"/>
              </w:rPr>
            </w:pPr>
            <w:r w:rsidRPr="00076E76">
              <w:rPr>
                <w:rFonts w:ascii="Gill Sans" w:hAnsi="Gill Sans" w:cs="Gill Sans"/>
                <w:b/>
                <w:color w:val="000000"/>
                <w:szCs w:val="22"/>
                <w:lang w:val="en-AU"/>
              </w:rPr>
              <w:t>Transition as process</w:t>
            </w:r>
          </w:p>
          <w:p w14:paraId="7A3B67A0" w14:textId="77777777" w:rsidR="00A22A62" w:rsidRPr="00076E76" w:rsidRDefault="00A22A62" w:rsidP="00B70958">
            <w:pPr>
              <w:rPr>
                <w:rFonts w:ascii="Gill Sans" w:hAnsi="Gill Sans" w:cs="Gill Sans"/>
                <w:color w:val="000000"/>
                <w:szCs w:val="22"/>
                <w:lang w:val="en-AU"/>
              </w:rPr>
            </w:pPr>
            <w:r w:rsidRPr="00076E76">
              <w:rPr>
                <w:rFonts w:ascii="Gill Sans" w:hAnsi="Gill Sans" w:cs="Gill Sans"/>
                <w:color w:val="000000"/>
                <w:szCs w:val="22"/>
                <w:lang w:val="en-AU"/>
              </w:rPr>
              <w:lastRenderedPageBreak/>
              <w:t>Developmental approach = series of stages</w:t>
            </w:r>
            <w:r w:rsidR="009B2702" w:rsidRPr="00076E76">
              <w:rPr>
                <w:rFonts w:ascii="Gill Sans" w:hAnsi="Gill Sans" w:cs="Gill Sans"/>
                <w:color w:val="000000"/>
                <w:szCs w:val="22"/>
                <w:lang w:val="en-AU"/>
              </w:rPr>
              <w:t>, “with each stage</w:t>
            </w:r>
            <w:r w:rsidR="00021843" w:rsidRPr="00076E76">
              <w:rPr>
                <w:rFonts w:ascii="Gill Sans" w:hAnsi="Gill Sans" w:cs="Gill Sans"/>
                <w:color w:val="000000"/>
                <w:szCs w:val="22"/>
                <w:lang w:val="en-AU"/>
              </w:rPr>
              <w:t xml:space="preserve"> relating to the next for adaptation and successful adjustment” (p.48)</w:t>
            </w:r>
            <w:r w:rsidR="00B63791" w:rsidRPr="00076E76">
              <w:rPr>
                <w:rFonts w:ascii="Gill Sans" w:hAnsi="Gill Sans" w:cs="Gill Sans"/>
                <w:color w:val="000000"/>
                <w:szCs w:val="22"/>
                <w:lang w:val="en-AU"/>
              </w:rPr>
              <w:t>.</w:t>
            </w:r>
          </w:p>
          <w:p w14:paraId="6557C3EA" w14:textId="7201F636" w:rsidR="009A296A" w:rsidRPr="00076E76" w:rsidRDefault="00B63791" w:rsidP="00B70958">
            <w:pPr>
              <w:rPr>
                <w:rFonts w:ascii="Gill Sans" w:hAnsi="Gill Sans" w:cs="Gill Sans"/>
                <w:color w:val="000000"/>
                <w:szCs w:val="22"/>
                <w:lang w:val="en-AU"/>
              </w:rPr>
            </w:pPr>
            <w:r w:rsidRPr="00076E76">
              <w:rPr>
                <w:rFonts w:ascii="Gill Sans" w:hAnsi="Gill Sans" w:cs="Gill Sans"/>
                <w:color w:val="000000"/>
                <w:szCs w:val="22"/>
                <w:lang w:val="en-AU"/>
              </w:rPr>
              <w:t xml:space="preserve">Note Brammer’s (1991) </w:t>
            </w:r>
            <w:r w:rsidR="009A296A" w:rsidRPr="00076E76">
              <w:rPr>
                <w:rFonts w:ascii="Gill Sans" w:hAnsi="Gill Sans" w:cs="Gill Sans"/>
                <w:color w:val="000000"/>
                <w:szCs w:val="22"/>
                <w:lang w:val="en-AU"/>
              </w:rPr>
              <w:t>offers stages of transition (defined as ‘</w:t>
            </w:r>
            <w:r w:rsidRPr="00076E76">
              <w:rPr>
                <w:rFonts w:ascii="Gill Sans" w:hAnsi="Gill Sans" w:cs="Gill Sans"/>
                <w:color w:val="000000"/>
                <w:szCs w:val="22"/>
                <w:lang w:val="en-AU"/>
              </w:rPr>
              <w:t>journey through</w:t>
            </w:r>
            <w:r w:rsidR="009A296A" w:rsidRPr="00076E76">
              <w:rPr>
                <w:rFonts w:ascii="Gill Sans" w:hAnsi="Gill Sans" w:cs="Gill Sans"/>
                <w:color w:val="000000"/>
                <w:szCs w:val="22"/>
                <w:lang w:val="en-AU"/>
              </w:rPr>
              <w:t xml:space="preserve">’): </w:t>
            </w:r>
            <w:r w:rsidR="009A296A" w:rsidRPr="00076E76">
              <w:rPr>
                <w:rFonts w:ascii="Gill Sans" w:hAnsi="Gill Sans" w:cs="Gill Sans"/>
                <w:i/>
                <w:color w:val="000000"/>
                <w:szCs w:val="22"/>
                <w:lang w:val="en-AU"/>
              </w:rPr>
              <w:t xml:space="preserve">adaptation, renewal, transformation, transcendence </w:t>
            </w:r>
            <w:r w:rsidR="009A296A" w:rsidRPr="00076E76">
              <w:rPr>
                <w:rFonts w:ascii="Gill Sans" w:hAnsi="Gill Sans" w:cs="Gill Sans"/>
                <w:color w:val="000000"/>
                <w:szCs w:val="22"/>
                <w:lang w:val="en-AU"/>
              </w:rPr>
              <w:t>(see p.50)</w:t>
            </w:r>
          </w:p>
          <w:p w14:paraId="0A6E86A7" w14:textId="5CFEACD4" w:rsidR="004E10BB" w:rsidRPr="00076E76" w:rsidRDefault="004E10BB" w:rsidP="00B70958">
            <w:pPr>
              <w:rPr>
                <w:rFonts w:ascii="Gill Sans" w:hAnsi="Gill Sans" w:cs="Gill Sans"/>
                <w:color w:val="000000"/>
                <w:szCs w:val="22"/>
                <w:lang w:val="en-AU"/>
              </w:rPr>
            </w:pPr>
            <w:r w:rsidRPr="00076E76">
              <w:rPr>
                <w:rFonts w:ascii="Gill Sans" w:hAnsi="Gill Sans" w:cs="Gill Sans"/>
                <w:color w:val="000000"/>
                <w:szCs w:val="22"/>
                <w:lang w:val="en-AU"/>
              </w:rPr>
              <w:t>Bridges (2004) describes transitions as ‘endings, neutral zones, beginnings</w:t>
            </w:r>
          </w:p>
          <w:p w14:paraId="39C8D0A5" w14:textId="72AC33AF" w:rsidR="00E942E4" w:rsidRPr="00076E76" w:rsidRDefault="003877FA" w:rsidP="00B70958">
            <w:pPr>
              <w:rPr>
                <w:rFonts w:ascii="Gill Sans" w:hAnsi="Gill Sans" w:cs="Gill Sans"/>
                <w:i/>
                <w:color w:val="000000"/>
                <w:szCs w:val="22"/>
                <w:lang w:val="en-AU"/>
              </w:rPr>
            </w:pPr>
            <w:r w:rsidRPr="00076E76">
              <w:rPr>
                <w:rFonts w:ascii="Gill Sans" w:hAnsi="Gill Sans" w:cs="Gill Sans"/>
                <w:color w:val="000000"/>
                <w:szCs w:val="22"/>
                <w:lang w:val="en-AU"/>
              </w:rPr>
              <w:t>Hudson (</w:t>
            </w:r>
            <w:r w:rsidR="00E942E4" w:rsidRPr="00076E76">
              <w:rPr>
                <w:rFonts w:ascii="Gill Sans" w:hAnsi="Gill Sans" w:cs="Gill Sans"/>
                <w:color w:val="000000"/>
                <w:szCs w:val="22"/>
                <w:lang w:val="en-AU"/>
              </w:rPr>
              <w:t xml:space="preserve">1991, </w:t>
            </w:r>
            <w:r w:rsidRPr="00076E76">
              <w:rPr>
                <w:rFonts w:ascii="Gill Sans" w:hAnsi="Gill Sans" w:cs="Gill Sans"/>
                <w:color w:val="000000"/>
                <w:szCs w:val="22"/>
                <w:lang w:val="en-AU"/>
              </w:rPr>
              <w:t>1999) viewed transitions as normal and inevitable</w:t>
            </w:r>
            <w:r w:rsidR="00E942E4" w:rsidRPr="00076E76">
              <w:rPr>
                <w:rFonts w:ascii="Gill Sans" w:hAnsi="Gill Sans" w:cs="Gill Sans"/>
                <w:color w:val="000000"/>
                <w:szCs w:val="22"/>
                <w:lang w:val="en-AU"/>
              </w:rPr>
              <w:t>; a “natural process of disorientation and reorientation that alters the perception of self and world and demands changes in assumptions and behaviour” (1991: 96). In later work, he describe</w:t>
            </w:r>
            <w:r w:rsidR="00004FB1" w:rsidRPr="00076E76">
              <w:rPr>
                <w:rFonts w:ascii="Gill Sans" w:hAnsi="Gill Sans" w:cs="Gill Sans"/>
                <w:color w:val="000000"/>
                <w:szCs w:val="22"/>
                <w:lang w:val="en-AU"/>
              </w:rPr>
              <w:t>s</w:t>
            </w:r>
            <w:r w:rsidR="00E942E4" w:rsidRPr="00076E76">
              <w:rPr>
                <w:rFonts w:ascii="Gill Sans" w:hAnsi="Gill Sans" w:cs="Gill Sans"/>
                <w:color w:val="000000"/>
                <w:szCs w:val="22"/>
                <w:lang w:val="en-AU"/>
              </w:rPr>
              <w:t xml:space="preserve"> transitions as ‘cycles of renewal’</w:t>
            </w:r>
            <w:r w:rsidR="00C71E15" w:rsidRPr="00076E76">
              <w:rPr>
                <w:rFonts w:ascii="Gill Sans" w:hAnsi="Gill Sans" w:cs="Gill Sans"/>
                <w:color w:val="000000"/>
                <w:szCs w:val="22"/>
                <w:lang w:val="en-AU"/>
              </w:rPr>
              <w:t xml:space="preserve">, characterised by 4 phases: </w:t>
            </w:r>
            <w:r w:rsidR="00C71E15" w:rsidRPr="00076E76">
              <w:rPr>
                <w:rFonts w:ascii="Gill Sans" w:hAnsi="Gill Sans" w:cs="Gill Sans"/>
                <w:i/>
                <w:color w:val="000000"/>
                <w:szCs w:val="22"/>
                <w:lang w:val="en-AU"/>
              </w:rPr>
              <w:t>getting ready, launching, plateauing, sorting things out.</w:t>
            </w:r>
          </w:p>
          <w:p w14:paraId="64F24817" w14:textId="77777777" w:rsidR="00B63791" w:rsidRPr="00076E76" w:rsidRDefault="00C71E15" w:rsidP="00B70958">
            <w:pPr>
              <w:rPr>
                <w:rFonts w:ascii="Gill Sans" w:hAnsi="Gill Sans" w:cs="Gill Sans"/>
                <w:color w:val="000000"/>
                <w:szCs w:val="22"/>
              </w:rPr>
            </w:pPr>
            <w:r w:rsidRPr="00076E76">
              <w:rPr>
                <w:rFonts w:ascii="Gill Sans" w:hAnsi="Gill Sans" w:cs="Gill Sans"/>
                <w:color w:val="000000"/>
                <w:szCs w:val="22"/>
                <w:lang w:val="en-AU"/>
              </w:rPr>
              <w:t>Lorenz (1993):  chaos theory</w:t>
            </w:r>
            <w:r w:rsidR="00234335" w:rsidRPr="00076E76">
              <w:rPr>
                <w:rFonts w:ascii="Gill Sans" w:hAnsi="Gill Sans" w:cs="Gill Sans"/>
                <w:color w:val="000000"/>
                <w:szCs w:val="22"/>
                <w:lang w:val="en-AU"/>
              </w:rPr>
              <w:t xml:space="preserve"> – disorder, unpredictability and lack of control = normal parts of transition</w:t>
            </w:r>
            <w:r w:rsidR="00E548AE" w:rsidRPr="00076E76">
              <w:rPr>
                <w:rFonts w:ascii="Gill Sans" w:hAnsi="Gill Sans" w:cs="Gill Sans"/>
                <w:color w:val="000000"/>
                <w:szCs w:val="22"/>
                <w:lang w:val="en-AU"/>
              </w:rPr>
              <w:t xml:space="preserve"> [chaos theory = “</w:t>
            </w:r>
            <w:r w:rsidR="00E548AE" w:rsidRPr="00076E76">
              <w:rPr>
                <w:rFonts w:ascii="Gill Sans" w:hAnsi="Gill Sans" w:cs="Gill Sans"/>
                <w:color w:val="000000"/>
                <w:szCs w:val="22"/>
              </w:rPr>
              <w:t xml:space="preserve">is the fascinating idea that order and chaos are not always diametrically opposed. Chaotic systems are an intimate mix of the two: from the outside they display unpredictable and chaotic </w:t>
            </w:r>
            <w:proofErr w:type="spellStart"/>
            <w:r w:rsidR="00E548AE" w:rsidRPr="00076E76">
              <w:rPr>
                <w:rFonts w:ascii="Gill Sans" w:hAnsi="Gill Sans" w:cs="Gill Sans"/>
                <w:color w:val="000000"/>
                <w:szCs w:val="22"/>
              </w:rPr>
              <w:t>behaviour</w:t>
            </w:r>
            <w:proofErr w:type="spellEnd"/>
            <w:r w:rsidR="00E548AE" w:rsidRPr="00076E76">
              <w:rPr>
                <w:rFonts w:ascii="Gill Sans" w:hAnsi="Gill Sans" w:cs="Gill Sans"/>
                <w:color w:val="000000"/>
                <w:szCs w:val="22"/>
              </w:rPr>
              <w:t>, but expose the inner workings and you discover a perfectly deterministic set of equations ticking like clockwork</w:t>
            </w:r>
            <w:proofErr w:type="gramStart"/>
            <w:r w:rsidR="00E548AE" w:rsidRPr="00076E76">
              <w:rPr>
                <w:rFonts w:ascii="Gill Sans" w:hAnsi="Gill Sans" w:cs="Gill Sans"/>
                <w:color w:val="000000"/>
                <w:szCs w:val="22"/>
              </w:rPr>
              <w:t>” :</w:t>
            </w:r>
            <w:proofErr w:type="gramEnd"/>
            <w:r w:rsidR="00E548AE" w:rsidRPr="00076E76">
              <w:rPr>
                <w:rFonts w:ascii="Gill Sans" w:hAnsi="Gill Sans" w:cs="Gill Sans"/>
                <w:color w:val="000000"/>
                <w:szCs w:val="22"/>
              </w:rPr>
              <w:t xml:space="preserve"> http://theconversation.com/explainer-what-is-chaos-theory-10620] </w:t>
            </w:r>
            <w:r w:rsidR="00810D23" w:rsidRPr="00076E76">
              <w:rPr>
                <w:rFonts w:ascii="Gill Sans" w:hAnsi="Gill Sans" w:cs="Gill Sans"/>
                <w:color w:val="000000"/>
                <w:szCs w:val="22"/>
              </w:rPr>
              <w:t>= small differences have big effects</w:t>
            </w:r>
            <w:r w:rsidR="00E548AE" w:rsidRPr="00076E76">
              <w:rPr>
                <w:rFonts w:ascii="Gill Sans" w:hAnsi="Gill Sans" w:cs="Gill Sans"/>
                <w:color w:val="000000"/>
                <w:szCs w:val="22"/>
              </w:rPr>
              <w:t>.</w:t>
            </w:r>
            <w:r w:rsidR="002910CC" w:rsidRPr="00076E76">
              <w:rPr>
                <w:rFonts w:ascii="Gill Sans" w:hAnsi="Gill Sans" w:cs="Gill Sans"/>
                <w:color w:val="000000"/>
                <w:szCs w:val="22"/>
              </w:rPr>
              <w:t xml:space="preserve"> Bright &amp; Pryor (2008) built a theory of ‘shiftwork’ on chaos theory (all activities for individuals </w:t>
            </w:r>
            <w:r w:rsidR="00F60437" w:rsidRPr="00076E76">
              <w:rPr>
                <w:rFonts w:ascii="Gill Sans" w:hAnsi="Gill Sans" w:cs="Gill Sans"/>
                <w:color w:val="000000"/>
                <w:szCs w:val="22"/>
              </w:rPr>
              <w:t>to reinvent themselves continually, identify opportunities, recover from setbacks, find meaning, capitalize on chance opportunities) – in counseling context, clients = helped to see patterns</w:t>
            </w:r>
            <w:r w:rsidR="002F782E" w:rsidRPr="00076E76">
              <w:rPr>
                <w:rFonts w:ascii="Gill Sans" w:hAnsi="Gill Sans" w:cs="Gill Sans"/>
                <w:color w:val="000000"/>
                <w:szCs w:val="22"/>
              </w:rPr>
              <w:t xml:space="preserve"> in their complexity; important to be open and flexible as opposed to setting rigid/ fixed goals.</w:t>
            </w:r>
          </w:p>
          <w:p w14:paraId="3DC48C06" w14:textId="6C7883A0" w:rsidR="002915F4" w:rsidRPr="00076E76" w:rsidRDefault="002915F4" w:rsidP="00B70958">
            <w:pPr>
              <w:rPr>
                <w:rFonts w:ascii="Gill Sans" w:hAnsi="Gill Sans" w:cs="Gill Sans"/>
                <w:color w:val="000000"/>
                <w:szCs w:val="22"/>
              </w:rPr>
            </w:pPr>
            <w:r w:rsidRPr="00076E76">
              <w:rPr>
                <w:rFonts w:ascii="Gill Sans" w:hAnsi="Gill Sans" w:cs="Gill Sans"/>
                <w:color w:val="000000"/>
                <w:szCs w:val="22"/>
              </w:rPr>
              <w:t>Brought together, authors developed integrative model of transition process (see p.56)</w:t>
            </w:r>
          </w:p>
          <w:p w14:paraId="308BB7EF" w14:textId="77777777" w:rsidR="002915F4" w:rsidRPr="00076E76" w:rsidRDefault="005D51DA" w:rsidP="00B70958">
            <w:pPr>
              <w:rPr>
                <w:rFonts w:ascii="Gill Sans" w:hAnsi="Gill Sans" w:cs="Gill Sans"/>
                <w:color w:val="000000"/>
                <w:szCs w:val="22"/>
                <w:lang w:val="en-AU"/>
              </w:rPr>
            </w:pPr>
            <w:r w:rsidRPr="00076E76">
              <w:rPr>
                <w:rFonts w:ascii="Gill Sans" w:hAnsi="Gill Sans" w:cs="Gill Sans"/>
                <w:noProof/>
                <w:color w:val="000000"/>
                <w:szCs w:val="22"/>
              </w:rPr>
              <w:lastRenderedPageBreak/>
              <mc:AlternateContent>
                <mc:Choice Requires="wps">
                  <w:drawing>
                    <wp:anchor distT="0" distB="0" distL="114300" distR="114300" simplePos="0" relativeHeight="251659264" behindDoc="0" locked="0" layoutInCell="1" allowOverlap="1" wp14:anchorId="45242FE6" wp14:editId="36A37B78">
                      <wp:simplePos x="0" y="0"/>
                      <wp:positionH relativeFrom="column">
                        <wp:posOffset>4733290</wp:posOffset>
                      </wp:positionH>
                      <wp:positionV relativeFrom="paragraph">
                        <wp:posOffset>450850</wp:posOffset>
                      </wp:positionV>
                      <wp:extent cx="1485900" cy="10287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148590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852B62" w14:textId="05E705C3" w:rsidR="00C60612" w:rsidRDefault="00C60612">
                                  <w:r>
                                    <w:t>Moving out = “ending one series of transitions and beginning to ask what comes next” (p.57)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5242FE6" id="_x0000_t202" coordsize="21600,21600" o:spt="202" path="m,l,21600r21600,l21600,xe">
                      <v:stroke joinstyle="miter"/>
                      <v:path gradientshapeok="t" o:connecttype="rect"/>
                    </v:shapetype>
                    <v:shape id="Text Box 2" o:spid="_x0000_s1026" type="#_x0000_t202" style="position:absolute;margin-left:372.7pt;margin-top:35.5pt;width:117pt;height:8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" filled="f" stroked="f">
                      <v:textbox>
                        <w:txbxContent>
                          <w:p w14:paraId="22852B62" w14:textId="05E705C3" w:rsidR="00C60612" w:rsidRDefault="00C60612">
                            <w:r>
                              <w:t>Moving out = “ending one series of transitions and beginning to ask what comes next” (p.57)</w:t>
                            </w:r>
                          </w:p>
                        </w:txbxContent>
                      </v:textbox>
                      <w10:wrap type="square"/>
                    </v:shape>
                  </w:pict>
                </mc:Fallback>
              </mc:AlternateContent>
            </w:r>
            <w:r w:rsidR="002915F4" w:rsidRPr="00076E76">
              <w:rPr>
                <w:rFonts w:ascii="Gill Sans" w:hAnsi="Gill Sans" w:cs="Gill Sans"/>
                <w:noProof/>
                <w:color w:val="000000"/>
                <w:szCs w:val="22"/>
              </w:rPr>
              <w:drawing>
                <wp:inline distT="0" distB="0" distL="0" distR="0" wp14:anchorId="3BCC310F" wp14:editId="4AA2FA82">
                  <wp:extent cx="4727246" cy="4330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7246" cy="4330700"/>
                          </a:xfrm>
                          <a:prstGeom prst="rect">
                            <a:avLst/>
                          </a:prstGeom>
                          <a:noFill/>
                          <a:ln>
                            <a:noFill/>
                          </a:ln>
                        </pic:spPr>
                      </pic:pic>
                    </a:graphicData>
                  </a:graphic>
                </wp:inline>
              </w:drawing>
            </w:r>
          </w:p>
          <w:p w14:paraId="469072FE" w14:textId="77777777" w:rsidR="00D42001" w:rsidRPr="00076E76" w:rsidRDefault="00D42001" w:rsidP="00B70958">
            <w:pPr>
              <w:rPr>
                <w:rFonts w:ascii="Gill Sans" w:hAnsi="Gill Sans" w:cs="Gill Sans"/>
                <w:b/>
                <w:color w:val="000000"/>
                <w:szCs w:val="22"/>
                <w:lang w:val="en-AU"/>
              </w:rPr>
            </w:pPr>
            <w:r w:rsidRPr="00076E76">
              <w:rPr>
                <w:rFonts w:ascii="Gill Sans" w:hAnsi="Gill Sans" w:cs="Gill Sans"/>
                <w:b/>
                <w:color w:val="000000"/>
                <w:szCs w:val="22"/>
                <w:lang w:val="en-AU"/>
              </w:rPr>
              <w:t>Transition framework</w:t>
            </w:r>
          </w:p>
          <w:p w14:paraId="126BAB46" w14:textId="77777777" w:rsidR="00D42001" w:rsidRPr="00076E76" w:rsidRDefault="00D42001" w:rsidP="00B70958">
            <w:pPr>
              <w:rPr>
                <w:rFonts w:ascii="Gill Sans" w:hAnsi="Gill Sans" w:cs="Gill Sans"/>
                <w:color w:val="000000"/>
                <w:szCs w:val="22"/>
                <w:lang w:val="en-AU"/>
              </w:rPr>
            </w:pPr>
            <w:r w:rsidRPr="00076E76">
              <w:rPr>
                <w:rFonts w:ascii="Gill Sans" w:hAnsi="Gill Sans" w:cs="Gill Sans"/>
                <w:color w:val="000000"/>
                <w:szCs w:val="22"/>
                <w:lang w:val="en-AU"/>
              </w:rPr>
              <w:t>Adults = continuously experience transitions</w:t>
            </w:r>
          </w:p>
          <w:p w14:paraId="67EAC70A" w14:textId="77777777" w:rsidR="00D42001" w:rsidRPr="00076E76" w:rsidRDefault="00D42001" w:rsidP="00B70958">
            <w:pPr>
              <w:rPr>
                <w:rFonts w:ascii="Gill Sans" w:hAnsi="Gill Sans" w:cs="Gill Sans"/>
                <w:color w:val="000000"/>
                <w:szCs w:val="22"/>
                <w:lang w:val="en-AU"/>
              </w:rPr>
            </w:pPr>
            <w:r w:rsidRPr="00076E76">
              <w:rPr>
                <w:rFonts w:ascii="Gill Sans" w:hAnsi="Gill Sans" w:cs="Gill Sans"/>
                <w:color w:val="000000"/>
                <w:szCs w:val="22"/>
                <w:lang w:val="en-AU"/>
              </w:rPr>
              <w:t>Adults’ reactions depend on type of transition/ perceptions to/ context within which/ its impact</w:t>
            </w:r>
          </w:p>
          <w:p w14:paraId="631FB09F" w14:textId="31D53825" w:rsidR="00D42001" w:rsidRPr="00076E76" w:rsidRDefault="00D42001" w:rsidP="00B70958">
            <w:pPr>
              <w:rPr>
                <w:rFonts w:ascii="Gill Sans" w:hAnsi="Gill Sans" w:cs="Gill Sans"/>
                <w:color w:val="000000"/>
                <w:szCs w:val="22"/>
                <w:lang w:val="en-AU"/>
              </w:rPr>
            </w:pPr>
            <w:r w:rsidRPr="00076E76">
              <w:rPr>
                <w:rFonts w:ascii="Gill Sans" w:hAnsi="Gill Sans" w:cs="Gill Sans"/>
                <w:color w:val="000000"/>
                <w:szCs w:val="22"/>
                <w:lang w:val="en-AU"/>
              </w:rPr>
              <w:t>Transitions have no end point = “process over time that includes phases of assimilation and continuous appraisal as people move in, through and out of it” (p.59)</w:t>
            </w:r>
          </w:p>
        </w:tc>
      </w:tr>
      <w:tr w:rsidR="000710B5" w:rsidRPr="00076E76" w14:paraId="6B2B3A33" w14:textId="77777777" w:rsidTr="002E557C">
        <w:tc>
          <w:tcPr>
            <w:tcW w:w="5529" w:type="dxa"/>
          </w:tcPr>
          <w:p w14:paraId="27138910" w14:textId="20FA327F" w:rsidR="000710B5" w:rsidRPr="00076E76" w:rsidRDefault="000710B5" w:rsidP="00FA514E">
            <w:pPr>
              <w:rPr>
                <w:rFonts w:ascii="Gill Sans" w:hAnsi="Gill Sans" w:cs="Gill Sans"/>
                <w:szCs w:val="22"/>
              </w:rPr>
            </w:pPr>
            <w:r w:rsidRPr="00076E76">
              <w:rPr>
                <w:rFonts w:ascii="Gill Sans" w:hAnsi="Gill Sans" w:cs="Gill Sans"/>
                <w:szCs w:val="22"/>
              </w:rPr>
              <w:lastRenderedPageBreak/>
              <w:t xml:space="preserve">Anderson, C. &amp; McCune, V. (2013). </w:t>
            </w:r>
            <w:hyperlink r:id="rId12" w:history="1">
              <w:r w:rsidRPr="005424C4">
                <w:rPr>
                  <w:rStyle w:val="Hyperlink"/>
                  <w:rFonts w:ascii="Gill Sans" w:hAnsi="Gill Sans" w:cs="Gill Sans"/>
                  <w:szCs w:val="22"/>
                </w:rPr>
                <w:t>Fostering meaning: fostering community</w:t>
              </w:r>
            </w:hyperlink>
            <w:r w:rsidRPr="00076E76">
              <w:rPr>
                <w:rFonts w:ascii="Gill Sans" w:hAnsi="Gill Sans" w:cs="Gill Sans"/>
                <w:szCs w:val="22"/>
              </w:rPr>
              <w:t xml:space="preserve">, </w:t>
            </w:r>
            <w:r w:rsidRPr="00076E76">
              <w:rPr>
                <w:rFonts w:ascii="Gill Sans" w:hAnsi="Gill Sans" w:cs="Gill Sans"/>
                <w:i/>
                <w:szCs w:val="22"/>
              </w:rPr>
              <w:t>Higher Education,</w:t>
            </w:r>
            <w:r w:rsidR="00BA4B0B" w:rsidRPr="00076E76">
              <w:rPr>
                <w:rFonts w:ascii="Gill Sans" w:hAnsi="Gill Sans" w:cs="Gill Sans"/>
                <w:i/>
                <w:szCs w:val="22"/>
              </w:rPr>
              <w:t xml:space="preserve"> </w:t>
            </w:r>
            <w:r w:rsidR="00E40BB6" w:rsidRPr="00076E76">
              <w:rPr>
                <w:rFonts w:ascii="Gill Sans" w:hAnsi="Gill Sans" w:cs="Gill Sans"/>
                <w:szCs w:val="22"/>
              </w:rPr>
              <w:t>66(3</w:t>
            </w:r>
            <w:r w:rsidR="00404214">
              <w:rPr>
                <w:rFonts w:ascii="Gill Sans" w:hAnsi="Gill Sans" w:cs="Gill Sans"/>
                <w:szCs w:val="22"/>
              </w:rPr>
              <w:t>), 283–</w:t>
            </w:r>
            <w:r w:rsidRPr="00076E76">
              <w:rPr>
                <w:rFonts w:ascii="Gill Sans" w:hAnsi="Gill Sans" w:cs="Gill Sans"/>
                <w:szCs w:val="22"/>
              </w:rPr>
              <w:t>296.</w:t>
            </w:r>
          </w:p>
          <w:p w14:paraId="03DE93D8" w14:textId="77777777" w:rsidR="000710B5" w:rsidRPr="00076E76" w:rsidRDefault="000710B5" w:rsidP="00FA514E">
            <w:pPr>
              <w:rPr>
                <w:rFonts w:ascii="Gill Sans" w:hAnsi="Gill Sans" w:cs="Gill Sans"/>
                <w:szCs w:val="22"/>
              </w:rPr>
            </w:pPr>
          </w:p>
          <w:p w14:paraId="1559386A" w14:textId="77777777" w:rsidR="000710B5" w:rsidRPr="00076E76" w:rsidRDefault="000710B5" w:rsidP="00FA514E">
            <w:pPr>
              <w:rPr>
                <w:rFonts w:ascii="Gill Sans" w:hAnsi="Gill Sans" w:cs="Gill Sans"/>
                <w:szCs w:val="22"/>
              </w:rPr>
            </w:pPr>
            <w:r w:rsidRPr="00076E76">
              <w:rPr>
                <w:rFonts w:ascii="Gill Sans" w:hAnsi="Gill Sans" w:cs="Gill Sans"/>
                <w:szCs w:val="22"/>
              </w:rPr>
              <w:t>UK</w:t>
            </w:r>
          </w:p>
          <w:p w14:paraId="096F2483" w14:textId="77777777" w:rsidR="000F60CF" w:rsidRPr="00076E76" w:rsidRDefault="000F60CF" w:rsidP="000F60CF">
            <w:pPr>
              <w:rPr>
                <w:rFonts w:ascii="Gill Sans" w:hAnsi="Gill Sans" w:cs="Gill Sans"/>
                <w:szCs w:val="22"/>
              </w:rPr>
            </w:pPr>
            <w:r w:rsidRPr="00076E76">
              <w:rPr>
                <w:rFonts w:ascii="Gill Sans" w:hAnsi="Gill Sans" w:cs="Gill Sans"/>
                <w:szCs w:val="22"/>
              </w:rPr>
              <w:t>Annotation by Sally Baker</w:t>
            </w:r>
          </w:p>
          <w:p w14:paraId="3E48C9B6" w14:textId="77777777" w:rsidR="000F60CF" w:rsidRPr="00076E76" w:rsidRDefault="000F60CF" w:rsidP="00FA514E">
            <w:pPr>
              <w:rPr>
                <w:rFonts w:ascii="Gill Sans" w:hAnsi="Gill Sans" w:cs="Gill Sans"/>
                <w:szCs w:val="22"/>
              </w:rPr>
            </w:pPr>
          </w:p>
          <w:p w14:paraId="1AD5FDF2" w14:textId="77777777" w:rsidR="00A41A58" w:rsidRPr="00076E76" w:rsidRDefault="00A41A58" w:rsidP="00FA514E">
            <w:pPr>
              <w:rPr>
                <w:rFonts w:ascii="Gill Sans" w:hAnsi="Gill Sans" w:cs="Gill Sans"/>
                <w:szCs w:val="22"/>
              </w:rPr>
            </w:pPr>
          </w:p>
          <w:p w14:paraId="586D612D" w14:textId="77777777" w:rsidR="00A41A58" w:rsidRPr="00076E76" w:rsidRDefault="00A41A58" w:rsidP="00A41A58">
            <w:pPr>
              <w:rPr>
                <w:rFonts w:ascii="Gill Sans" w:hAnsi="Gill Sans" w:cs="Gill Sans"/>
                <w:i/>
                <w:szCs w:val="22"/>
              </w:rPr>
            </w:pPr>
            <w:r w:rsidRPr="00076E76">
              <w:rPr>
                <w:rFonts w:ascii="Gill Sans" w:hAnsi="Gill Sans" w:cs="Gill Sans"/>
                <w:szCs w:val="22"/>
              </w:rPr>
              <w:t xml:space="preserve">Keywords: </w:t>
            </w:r>
            <w:r w:rsidRPr="00076E76">
              <w:rPr>
                <w:rFonts w:ascii="Gill Sans" w:hAnsi="Gill Sans" w:cs="Gill Sans"/>
                <w:i/>
                <w:szCs w:val="22"/>
              </w:rPr>
              <w:t xml:space="preserve">Communities of practice; Undergraduate learning and teaching; Student trajectories; </w:t>
            </w:r>
            <w:proofErr w:type="spellStart"/>
            <w:r w:rsidRPr="00076E76">
              <w:rPr>
                <w:rFonts w:ascii="Gill Sans" w:hAnsi="Gill Sans" w:cs="Gill Sans"/>
                <w:i/>
                <w:szCs w:val="22"/>
              </w:rPr>
              <w:t>Theorising</w:t>
            </w:r>
            <w:proofErr w:type="spellEnd"/>
            <w:r w:rsidRPr="00076E76">
              <w:rPr>
                <w:rFonts w:ascii="Gill Sans" w:hAnsi="Gill Sans" w:cs="Gill Sans"/>
                <w:i/>
                <w:szCs w:val="22"/>
              </w:rPr>
              <w:t xml:space="preserve"> communication</w:t>
            </w:r>
          </w:p>
          <w:p w14:paraId="7735D436" w14:textId="77777777" w:rsidR="00D31686" w:rsidRPr="00076E76" w:rsidRDefault="00D31686" w:rsidP="00A41A58">
            <w:pPr>
              <w:rPr>
                <w:rFonts w:ascii="Gill Sans" w:hAnsi="Gill Sans" w:cs="Gill Sans"/>
                <w:i/>
                <w:szCs w:val="22"/>
              </w:rPr>
            </w:pPr>
          </w:p>
          <w:p w14:paraId="61F4E6EA" w14:textId="7ECF75A8" w:rsidR="00D31686" w:rsidRPr="00076E76" w:rsidRDefault="00D31686" w:rsidP="00A41A58">
            <w:pPr>
              <w:rPr>
                <w:rFonts w:ascii="Gill Sans" w:hAnsi="Gill Sans" w:cs="Gill Sans"/>
                <w:b/>
                <w:szCs w:val="22"/>
              </w:rPr>
            </w:pPr>
          </w:p>
        </w:tc>
        <w:tc>
          <w:tcPr>
            <w:tcW w:w="10064" w:type="dxa"/>
          </w:tcPr>
          <w:p w14:paraId="7B1686B0" w14:textId="79536FC9" w:rsidR="00066B5B" w:rsidRPr="00076E76" w:rsidRDefault="00066B5B" w:rsidP="00066B5B">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sidR="00EC655B" w:rsidRPr="00076E76">
              <w:rPr>
                <w:rFonts w:ascii="Gill Sans" w:hAnsi="Gill Sans" w:cs="Gill Sans"/>
                <w:color w:val="000000"/>
                <w:szCs w:val="22"/>
                <w:lang w:val="en-AU"/>
              </w:rPr>
              <w:t>Connects transitions/ trajectories and communities of practice</w:t>
            </w:r>
            <w:r w:rsidR="00837C47" w:rsidRPr="00076E76">
              <w:rPr>
                <w:rFonts w:ascii="Gill Sans" w:hAnsi="Gill Sans" w:cs="Gill Sans"/>
                <w:color w:val="000000"/>
                <w:szCs w:val="22"/>
                <w:lang w:val="en-AU"/>
              </w:rPr>
              <w:t>. Following Lea (2005), they argue that CoP = useful heuristic, but only if it is extended to account for particularities of higher education</w:t>
            </w:r>
            <w:r w:rsidR="00DC6011" w:rsidRPr="00076E76">
              <w:rPr>
                <w:rFonts w:ascii="Gill Sans" w:hAnsi="Gill Sans" w:cs="Gill Sans"/>
                <w:color w:val="000000"/>
                <w:szCs w:val="22"/>
                <w:lang w:val="en-AU"/>
              </w:rPr>
              <w:t xml:space="preserve"> teaching and learning communities.</w:t>
            </w:r>
            <w:r w:rsidR="00855159" w:rsidRPr="00076E76">
              <w:rPr>
                <w:rFonts w:ascii="Gill Sans" w:hAnsi="Gill Sans" w:cs="Gill Sans"/>
                <w:color w:val="000000"/>
                <w:szCs w:val="22"/>
                <w:lang w:val="en-AU"/>
              </w:rPr>
              <w:t xml:space="preserve"> Lave &amp; Wenger’s original work on CoP highlighted relational view of learning</w:t>
            </w:r>
            <w:r w:rsidR="00377D01" w:rsidRPr="00076E76">
              <w:rPr>
                <w:rFonts w:ascii="Gill Sans" w:hAnsi="Gill Sans" w:cs="Gill Sans"/>
                <w:color w:val="000000"/>
                <w:szCs w:val="22"/>
                <w:lang w:val="en-AU"/>
              </w:rPr>
              <w:t xml:space="preserve"> between learner and wider sociocultural environment</w:t>
            </w:r>
            <w:r w:rsidR="00F6237E" w:rsidRPr="00076E76">
              <w:rPr>
                <w:rFonts w:ascii="Gill Sans" w:hAnsi="Gill Sans" w:cs="Gill Sans"/>
                <w:color w:val="000000"/>
                <w:szCs w:val="22"/>
                <w:lang w:val="en-AU"/>
              </w:rPr>
              <w:t>, which avoids reification of knowledge and ‘its commodified exchange’. However, critiques have been levelled at CoP because of its tend</w:t>
            </w:r>
            <w:r w:rsidR="005E7E97">
              <w:rPr>
                <w:rFonts w:ascii="Gill Sans" w:hAnsi="Gill Sans" w:cs="Gill Sans"/>
                <w:color w:val="000000"/>
                <w:szCs w:val="22"/>
                <w:lang w:val="en-AU"/>
              </w:rPr>
              <w:t>e</w:t>
            </w:r>
            <w:r w:rsidR="00F6237E" w:rsidRPr="00076E76">
              <w:rPr>
                <w:rFonts w:ascii="Gill Sans" w:hAnsi="Gill Sans" w:cs="Gill Sans"/>
                <w:color w:val="000000"/>
                <w:szCs w:val="22"/>
                <w:lang w:val="en-AU"/>
              </w:rPr>
              <w:t>ncy to</w:t>
            </w:r>
            <w:r w:rsidR="001A1F0C" w:rsidRPr="00076E76">
              <w:rPr>
                <w:rFonts w:ascii="Gill Sans" w:hAnsi="Gill Sans" w:cs="Gill Sans"/>
                <w:color w:val="000000"/>
                <w:szCs w:val="22"/>
                <w:lang w:val="en-AU"/>
              </w:rPr>
              <w:t>wards homogeneity and consensus, and others have argued that more attention needs to be given to individual agency and life histories.</w:t>
            </w:r>
            <w:r w:rsidR="00E40BB6" w:rsidRPr="00076E76">
              <w:rPr>
                <w:rFonts w:ascii="Gill Sans" w:hAnsi="Gill Sans" w:cs="Gill Sans"/>
                <w:color w:val="000000"/>
                <w:szCs w:val="22"/>
                <w:lang w:val="en-AU"/>
              </w:rPr>
              <w:t xml:space="preserve"> </w:t>
            </w:r>
            <w:r w:rsidR="00821B89" w:rsidRPr="00076E76">
              <w:rPr>
                <w:rFonts w:ascii="Gill Sans" w:hAnsi="Gill Sans" w:cs="Gill Sans"/>
                <w:color w:val="000000"/>
                <w:szCs w:val="22"/>
                <w:lang w:val="en-AU"/>
              </w:rPr>
              <w:t xml:space="preserve">Others argue that there is a lack of attention to power dynamics (e.g. lecturers = assessors). </w:t>
            </w:r>
            <w:r w:rsidR="00E40BB6" w:rsidRPr="00076E76">
              <w:rPr>
                <w:rFonts w:ascii="Gill Sans" w:hAnsi="Gill Sans" w:cs="Gill Sans"/>
                <w:color w:val="000000"/>
                <w:szCs w:val="22"/>
                <w:lang w:val="en-AU"/>
              </w:rPr>
              <w:t>Wenger’s later (2009) work is more encompassing of ‘</w:t>
            </w:r>
            <w:proofErr w:type="spellStart"/>
            <w:r w:rsidR="00E40BB6" w:rsidRPr="00076E76">
              <w:rPr>
                <w:rFonts w:ascii="Gill Sans" w:hAnsi="Gill Sans" w:cs="Gill Sans"/>
                <w:color w:val="000000"/>
                <w:szCs w:val="22"/>
                <w:lang w:val="en-AU"/>
              </w:rPr>
              <w:t>multimembership</w:t>
            </w:r>
            <w:proofErr w:type="spellEnd"/>
            <w:r w:rsidR="00E40BB6" w:rsidRPr="00076E76">
              <w:rPr>
                <w:rFonts w:ascii="Gill Sans" w:hAnsi="Gill Sans" w:cs="Gill Sans"/>
                <w:color w:val="000000"/>
                <w:szCs w:val="22"/>
                <w:lang w:val="en-AU"/>
              </w:rPr>
              <w:t>’ and permeable boundaries.</w:t>
            </w:r>
            <w:r w:rsidR="005E3DB7" w:rsidRPr="00076E76">
              <w:rPr>
                <w:rFonts w:ascii="Gill Sans" w:hAnsi="Gill Sans" w:cs="Gill Sans"/>
                <w:color w:val="000000"/>
                <w:szCs w:val="22"/>
                <w:lang w:val="en-AU"/>
              </w:rPr>
              <w:t xml:space="preserve"> Authors argue that relationship with language and literacies is under-explored in CoP scholarship.</w:t>
            </w:r>
          </w:p>
          <w:p w14:paraId="359EC09B" w14:textId="77777777" w:rsidR="00DC6011" w:rsidRPr="00076E76" w:rsidRDefault="00066B5B" w:rsidP="00DC6011">
            <w:pPr>
              <w:rPr>
                <w:rFonts w:ascii="Gill Sans" w:hAnsi="Gill Sans" w:cs="Gill Sans"/>
                <w:color w:val="000000"/>
                <w:szCs w:val="22"/>
              </w:rPr>
            </w:pPr>
            <w:r w:rsidRPr="00076E76">
              <w:rPr>
                <w:rFonts w:ascii="Gill Sans" w:hAnsi="Gill Sans" w:cs="Gill Sans"/>
                <w:b/>
                <w:color w:val="000000"/>
                <w:szCs w:val="22"/>
                <w:lang w:val="en-AU"/>
              </w:rPr>
              <w:t xml:space="preserve">Aim: </w:t>
            </w:r>
            <w:r w:rsidR="00704F27" w:rsidRPr="00076E76">
              <w:rPr>
                <w:rFonts w:ascii="Gill Sans" w:hAnsi="Gill Sans" w:cs="Gill Sans"/>
                <w:color w:val="000000"/>
                <w:szCs w:val="22"/>
                <w:lang w:val="en-AU"/>
              </w:rPr>
              <w:t>To explore “</w:t>
            </w:r>
            <w:r w:rsidR="00704F27" w:rsidRPr="00076E76">
              <w:rPr>
                <w:rFonts w:ascii="Gill Sans" w:hAnsi="Gill Sans" w:cs="Gill Sans"/>
                <w:color w:val="000000"/>
                <w:szCs w:val="22"/>
              </w:rPr>
              <w:t>the particular kinds of trajectories, commitments and intentions displayed by the participants in undergraduate courses; the knowledge practices and distinctive stances in relation to knowledge around which these ‘communities’ centre and the conceptualisation of the nature of communication and the particular challenges for the creation of meaning within higher education learning communities” (abstract)</w:t>
            </w:r>
            <w:r w:rsidR="00DC6011" w:rsidRPr="00076E76">
              <w:rPr>
                <w:rFonts w:ascii="Gill Sans" w:hAnsi="Gill Sans" w:cs="Gill Sans"/>
                <w:color w:val="000000"/>
                <w:szCs w:val="22"/>
              </w:rPr>
              <w:t>; “to develop the heuristic value of the communities of practice framework for</w:t>
            </w:r>
          </w:p>
          <w:p w14:paraId="2A39FE7B" w14:textId="3BFFB7F9" w:rsidR="00066B5B" w:rsidRPr="00076E76" w:rsidRDefault="00DC6011" w:rsidP="00DC6011">
            <w:pPr>
              <w:rPr>
                <w:rFonts w:ascii="Gill Sans" w:hAnsi="Gill Sans" w:cs="Gill Sans"/>
                <w:color w:val="000000"/>
                <w:szCs w:val="22"/>
                <w:lang w:val="en-AU"/>
              </w:rPr>
            </w:pPr>
            <w:r w:rsidRPr="00076E76">
              <w:rPr>
                <w:rFonts w:ascii="Gill Sans" w:hAnsi="Gill Sans" w:cs="Gill Sans"/>
                <w:color w:val="000000"/>
                <w:szCs w:val="22"/>
              </w:rPr>
              <w:t xml:space="preserve">researching HE </w:t>
            </w:r>
            <w:proofErr w:type="gramStart"/>
            <w:r w:rsidRPr="00076E76">
              <w:rPr>
                <w:rFonts w:ascii="Gill Sans" w:hAnsi="Gill Sans" w:cs="Gill Sans"/>
                <w:color w:val="000000"/>
                <w:szCs w:val="22"/>
              </w:rPr>
              <w:t>learning</w:t>
            </w:r>
            <w:proofErr w:type="gramEnd"/>
            <w:r w:rsidRPr="00076E76">
              <w:rPr>
                <w:rFonts w:ascii="Gill Sans" w:hAnsi="Gill Sans" w:cs="Gill Sans"/>
                <w:color w:val="000000"/>
                <w:szCs w:val="22"/>
              </w:rPr>
              <w:t xml:space="preserve"> and teaching by closely examining these areas of trajectories, knowledge practices and the nature of communication in order to bring out key matters that need to be taken into account in </w:t>
            </w:r>
            <w:proofErr w:type="spellStart"/>
            <w:r w:rsidRPr="00076E76">
              <w:rPr>
                <w:rFonts w:ascii="Gill Sans" w:hAnsi="Gill Sans" w:cs="Gill Sans"/>
                <w:color w:val="000000"/>
                <w:szCs w:val="22"/>
              </w:rPr>
              <w:t>conceptualising</w:t>
            </w:r>
            <w:proofErr w:type="spellEnd"/>
            <w:r w:rsidRPr="00076E76">
              <w:rPr>
                <w:rFonts w:ascii="Gill Sans" w:hAnsi="Gill Sans" w:cs="Gill Sans"/>
                <w:color w:val="000000"/>
                <w:szCs w:val="22"/>
              </w:rPr>
              <w:t xml:space="preserve"> HE learning communities” (p.284)</w:t>
            </w:r>
            <w:r w:rsidR="00704F27" w:rsidRPr="00076E76">
              <w:rPr>
                <w:rFonts w:ascii="Gill Sans" w:hAnsi="Gill Sans" w:cs="Gill Sans"/>
                <w:color w:val="000000"/>
                <w:szCs w:val="22"/>
              </w:rPr>
              <w:t>.</w:t>
            </w:r>
            <w:r w:rsidRPr="00076E76">
              <w:rPr>
                <w:rFonts w:ascii="Gill Sans" w:hAnsi="Gill Sans" w:cs="Gill Sans"/>
                <w:color w:val="000000"/>
                <w:szCs w:val="22"/>
              </w:rPr>
              <w:t xml:space="preserve"> </w:t>
            </w:r>
          </w:p>
          <w:p w14:paraId="0DE487EF" w14:textId="33C7B6A1" w:rsidR="00066B5B" w:rsidRPr="00076E76" w:rsidRDefault="00066B5B" w:rsidP="00066B5B">
            <w:pPr>
              <w:rPr>
                <w:rFonts w:ascii="Gill Sans" w:hAnsi="Gill Sans" w:cs="Gill Sans"/>
                <w:color w:val="000000"/>
                <w:szCs w:val="22"/>
                <w:lang w:val="en-AU"/>
              </w:rPr>
            </w:pPr>
            <w:r w:rsidRPr="00076E76">
              <w:rPr>
                <w:rFonts w:ascii="Gill Sans" w:hAnsi="Gill Sans" w:cs="Gill Sans"/>
                <w:b/>
                <w:color w:val="000000"/>
                <w:szCs w:val="22"/>
                <w:lang w:val="en-AU"/>
              </w:rPr>
              <w:t>Theoretical frame:</w:t>
            </w:r>
            <w:r w:rsidR="00C67173" w:rsidRPr="00076E76">
              <w:rPr>
                <w:rFonts w:ascii="Gill Sans" w:hAnsi="Gill Sans" w:cs="Gill Sans"/>
                <w:b/>
                <w:color w:val="000000"/>
                <w:szCs w:val="22"/>
                <w:lang w:val="en-AU"/>
              </w:rPr>
              <w:t xml:space="preserve"> </w:t>
            </w:r>
            <w:r w:rsidR="00C67173" w:rsidRPr="00076E76">
              <w:rPr>
                <w:rFonts w:ascii="Gill Sans" w:hAnsi="Gill Sans" w:cs="Gill Sans"/>
                <w:color w:val="000000"/>
                <w:szCs w:val="22"/>
                <w:lang w:val="en-AU"/>
              </w:rPr>
              <w:t>CoP</w:t>
            </w:r>
          </w:p>
          <w:p w14:paraId="133F87BC" w14:textId="0FB60081" w:rsidR="00066B5B" w:rsidRPr="00076E76" w:rsidRDefault="00066B5B" w:rsidP="00066B5B">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00C67173" w:rsidRPr="00076E76">
              <w:rPr>
                <w:rFonts w:ascii="Gill Sans" w:hAnsi="Gill Sans" w:cs="Gill Sans"/>
                <w:color w:val="000000"/>
                <w:szCs w:val="22"/>
                <w:lang w:val="en-AU"/>
              </w:rPr>
              <w:t>Essay</w:t>
            </w:r>
          </w:p>
          <w:p w14:paraId="77B225A0" w14:textId="722924FA" w:rsidR="0083791E" w:rsidRPr="00076E76" w:rsidRDefault="00066B5B" w:rsidP="00C67173">
            <w:pPr>
              <w:rPr>
                <w:rFonts w:ascii="Gill Sans" w:hAnsi="Gill Sans" w:cs="Gill Sans"/>
                <w:color w:val="000000"/>
                <w:szCs w:val="22"/>
                <w:lang w:val="en-AU"/>
              </w:rPr>
            </w:pPr>
            <w:r w:rsidRPr="00076E76">
              <w:rPr>
                <w:rFonts w:ascii="Gill Sans" w:hAnsi="Gill Sans" w:cs="Gill Sans"/>
                <w:b/>
                <w:color w:val="000000"/>
                <w:szCs w:val="22"/>
                <w:lang w:val="en-AU"/>
              </w:rPr>
              <w:t xml:space="preserve">Findings: </w:t>
            </w:r>
            <w:r w:rsidR="0083791E" w:rsidRPr="00076E76">
              <w:rPr>
                <w:rFonts w:ascii="Gill Sans" w:hAnsi="Gill Sans" w:cs="Gill Sans"/>
                <w:color w:val="000000"/>
                <w:szCs w:val="22"/>
                <w:lang w:val="en-AU"/>
              </w:rPr>
              <w:t>Shape and positionality of HE (inc. purpose and orientation) = impede students’ participation in their disciplinary CoPs:</w:t>
            </w:r>
          </w:p>
          <w:p w14:paraId="32D72B91" w14:textId="2E61AC11" w:rsidR="00C863E6" w:rsidRPr="00076E76" w:rsidRDefault="00C67173" w:rsidP="00151D7D">
            <w:pPr>
              <w:rPr>
                <w:rFonts w:ascii="Gill Sans" w:hAnsi="Gill Sans" w:cs="Gill Sans"/>
                <w:color w:val="000000"/>
                <w:szCs w:val="22"/>
              </w:rPr>
            </w:pPr>
            <w:r w:rsidRPr="00076E76">
              <w:rPr>
                <w:rFonts w:ascii="Gill Sans" w:hAnsi="Gill Sans" w:cs="Gill Sans"/>
                <w:color w:val="000000"/>
                <w:szCs w:val="22"/>
                <w:lang w:val="en-AU"/>
              </w:rPr>
              <w:t>“</w:t>
            </w:r>
            <w:r w:rsidRPr="00076E76">
              <w:rPr>
                <w:rFonts w:ascii="Gill Sans" w:hAnsi="Gill Sans" w:cs="Gill Sans"/>
                <w:color w:val="000000"/>
                <w:szCs w:val="22"/>
              </w:rPr>
              <w:t>Rather than students developing trajectories in relation to a specific community within which they will remain, undergraduate programmes involve time-limited engagement in learning communities which overlap with, and/or serve as preparation for, participation in diverse future workplace communities. This is important as it renders more complex the interplay between what is learned through participation and the identification with the practices of a particular future workplace community which would make this learning meaningful. Fostering outward trajectories from undergraduate programmes can be problematic” (p.287).</w:t>
            </w:r>
          </w:p>
          <w:p w14:paraId="1F8B376D" w14:textId="77777777" w:rsidR="008D3024" w:rsidRPr="00076E76" w:rsidRDefault="00F31B3F" w:rsidP="00151D7D">
            <w:pPr>
              <w:rPr>
                <w:rFonts w:ascii="Gill Sans" w:hAnsi="Gill Sans" w:cs="Gill Sans"/>
                <w:color w:val="000000"/>
                <w:szCs w:val="22"/>
              </w:rPr>
            </w:pPr>
            <w:r w:rsidRPr="00076E76">
              <w:rPr>
                <w:rFonts w:ascii="Gill Sans" w:hAnsi="Gill Sans" w:cs="Gill Sans"/>
                <w:color w:val="000000"/>
                <w:szCs w:val="22"/>
              </w:rPr>
              <w:t>Authors no</w:t>
            </w:r>
            <w:r w:rsidR="00151D7D" w:rsidRPr="00076E76">
              <w:rPr>
                <w:rFonts w:ascii="Gill Sans" w:hAnsi="Gill Sans" w:cs="Gill Sans"/>
                <w:color w:val="000000"/>
                <w:szCs w:val="22"/>
              </w:rPr>
              <w:t>te arguments by Barnett (2007) on</w:t>
            </w:r>
            <w:r w:rsidRPr="00076E76">
              <w:rPr>
                <w:rFonts w:ascii="Gill Sans" w:hAnsi="Gill Sans" w:cs="Gill Sans"/>
                <w:color w:val="000000"/>
                <w:szCs w:val="22"/>
              </w:rPr>
              <w:t xml:space="preserve"> </w:t>
            </w:r>
            <w:r w:rsidR="00151D7D" w:rsidRPr="00076E76">
              <w:rPr>
                <w:rFonts w:ascii="Gill Sans" w:hAnsi="Gill Sans" w:cs="Gill Sans"/>
                <w:color w:val="000000"/>
                <w:szCs w:val="22"/>
              </w:rPr>
              <w:t xml:space="preserve"> “the value of students and staff working together to engage with the uncertainties and limitations of academic understanding in a spirit of humility, criticality and resilience” (p.287); Nussbaum (1997) on developing capacity to take reasoned stance and training students’ ‘narrative imagination’</w:t>
            </w:r>
            <w:r w:rsidR="003A74A2" w:rsidRPr="00076E76">
              <w:rPr>
                <w:rFonts w:ascii="Gill Sans" w:hAnsi="Gill Sans" w:cs="Gill Sans"/>
                <w:color w:val="000000"/>
                <w:szCs w:val="22"/>
              </w:rPr>
              <w:t>; Walker (2010) on developing discursive pedagogies that help to discuss issues of social justice; hooks (1994)</w:t>
            </w:r>
            <w:r w:rsidR="00CB6F35" w:rsidRPr="00076E76">
              <w:rPr>
                <w:rFonts w:ascii="Gill Sans" w:hAnsi="Gill Sans" w:cs="Gill Sans"/>
                <w:color w:val="000000"/>
                <w:szCs w:val="22"/>
              </w:rPr>
              <w:t xml:space="preserve"> on theorization beyond disciplinary boundaries and use of theorization for wider social </w:t>
            </w:r>
            <w:r w:rsidR="00CB6F35" w:rsidRPr="00076E76">
              <w:rPr>
                <w:rFonts w:ascii="Gill Sans" w:hAnsi="Gill Sans" w:cs="Gill Sans"/>
                <w:color w:val="000000"/>
                <w:szCs w:val="22"/>
              </w:rPr>
              <w:lastRenderedPageBreak/>
              <w:t>change</w:t>
            </w:r>
            <w:r w:rsidR="008D3024" w:rsidRPr="00076E76">
              <w:rPr>
                <w:rFonts w:ascii="Gill Sans" w:hAnsi="Gill Sans" w:cs="Gill Sans"/>
                <w:color w:val="000000"/>
                <w:szCs w:val="22"/>
              </w:rPr>
              <w:t>.</w:t>
            </w:r>
          </w:p>
          <w:p w14:paraId="1348E016" w14:textId="77777777" w:rsidR="00C440D6" w:rsidRPr="00076E76" w:rsidRDefault="00C440D6" w:rsidP="00151D7D">
            <w:pPr>
              <w:rPr>
                <w:rFonts w:ascii="Gill Sans" w:hAnsi="Gill Sans" w:cs="Gill Sans"/>
                <w:color w:val="000000"/>
                <w:szCs w:val="22"/>
              </w:rPr>
            </w:pPr>
          </w:p>
          <w:p w14:paraId="4F91A276" w14:textId="77777777" w:rsidR="000E3292" w:rsidRPr="00076E76" w:rsidRDefault="008D3024" w:rsidP="00884D29">
            <w:pPr>
              <w:rPr>
                <w:rFonts w:ascii="Gill Sans" w:hAnsi="Gill Sans" w:cs="Gill Sans"/>
                <w:color w:val="000000"/>
                <w:szCs w:val="22"/>
              </w:rPr>
            </w:pPr>
            <w:r w:rsidRPr="00076E76">
              <w:rPr>
                <w:rFonts w:ascii="Gill Sans" w:hAnsi="Gill Sans" w:cs="Gill Sans"/>
                <w:color w:val="000000"/>
                <w:szCs w:val="22"/>
              </w:rPr>
              <w:t xml:space="preserve">For students to become proficient in their disciplinary CoP, they need to participate effectively in ways of thinking and </w:t>
            </w:r>
            <w:proofErr w:type="spellStart"/>
            <w:r w:rsidRPr="00076E76">
              <w:rPr>
                <w:rFonts w:ascii="Gill Sans" w:hAnsi="Gill Sans" w:cs="Gill Sans"/>
                <w:color w:val="000000"/>
                <w:szCs w:val="22"/>
              </w:rPr>
              <w:t>practising</w:t>
            </w:r>
            <w:proofErr w:type="spellEnd"/>
            <w:r w:rsidRPr="00076E76">
              <w:rPr>
                <w:rFonts w:ascii="Gill Sans" w:hAnsi="Gill Sans" w:cs="Gill Sans"/>
                <w:color w:val="000000"/>
                <w:szCs w:val="22"/>
              </w:rPr>
              <w:t xml:space="preserve"> (WTP), which “encompass the tacit norms and practices of academic communities as well as their histories of debate and perspectives on knowledge” (p.289)</w:t>
            </w:r>
            <w:r w:rsidR="00804CA1" w:rsidRPr="00076E76">
              <w:rPr>
                <w:rFonts w:ascii="Gill Sans" w:hAnsi="Gill Sans" w:cs="Gill Sans"/>
                <w:color w:val="000000"/>
                <w:szCs w:val="22"/>
              </w:rPr>
              <w:t>. Students also need to be encouraged to take an epistemological</w:t>
            </w:r>
            <w:r w:rsidR="00884D29" w:rsidRPr="00076E76">
              <w:rPr>
                <w:rFonts w:ascii="Gill Sans" w:hAnsi="Gill Sans" w:cs="Gill Sans"/>
                <w:color w:val="000000"/>
                <w:szCs w:val="22"/>
              </w:rPr>
              <w:t xml:space="preserve"> orientation that views “knowledge [as] </w:t>
            </w:r>
            <w:proofErr w:type="spellStart"/>
            <w:r w:rsidR="00884D29" w:rsidRPr="00076E76">
              <w:rPr>
                <w:rFonts w:ascii="Gill Sans" w:hAnsi="Gill Sans" w:cs="Gill Sans"/>
                <w:color w:val="000000"/>
                <w:szCs w:val="22"/>
              </w:rPr>
              <w:t>problematised</w:t>
            </w:r>
            <w:proofErr w:type="spellEnd"/>
            <w:r w:rsidR="00884D29" w:rsidRPr="00076E76">
              <w:rPr>
                <w:rFonts w:ascii="Gill Sans" w:hAnsi="Gill Sans" w:cs="Gill Sans"/>
                <w:color w:val="000000"/>
                <w:szCs w:val="22"/>
              </w:rPr>
              <w:t xml:space="preserve"> rather than seen as reified and established content to be learned” (p.290) – therefore encouraging students to ask questions of, rather than reifying disciplinary knowledge</w:t>
            </w:r>
            <w:r w:rsidRPr="00076E76">
              <w:rPr>
                <w:rFonts w:ascii="Gill Sans" w:hAnsi="Gill Sans" w:cs="Gill Sans"/>
                <w:color w:val="000000"/>
                <w:szCs w:val="22"/>
              </w:rPr>
              <w:t>.</w:t>
            </w:r>
          </w:p>
          <w:p w14:paraId="5A0BD721" w14:textId="77777777" w:rsidR="00C440D6" w:rsidRPr="00076E76" w:rsidRDefault="00C440D6" w:rsidP="00884D29">
            <w:pPr>
              <w:rPr>
                <w:rFonts w:ascii="Gill Sans" w:hAnsi="Gill Sans" w:cs="Gill Sans"/>
                <w:color w:val="000000"/>
                <w:szCs w:val="22"/>
              </w:rPr>
            </w:pPr>
          </w:p>
          <w:p w14:paraId="03AF3671" w14:textId="77777777" w:rsidR="00C863E6" w:rsidRPr="00076E76" w:rsidRDefault="000E3292" w:rsidP="004872DD">
            <w:pPr>
              <w:rPr>
                <w:rFonts w:ascii="Gill Sans" w:hAnsi="Gill Sans" w:cs="Gill Sans"/>
                <w:color w:val="000000"/>
                <w:szCs w:val="22"/>
              </w:rPr>
            </w:pPr>
            <w:r w:rsidRPr="00076E76">
              <w:rPr>
                <w:rFonts w:ascii="Gill Sans" w:hAnsi="Gill Sans" w:cs="Gill Sans"/>
                <w:color w:val="000000"/>
                <w:szCs w:val="22"/>
              </w:rPr>
              <w:t>Critique of assumption of transparency of language in Wenger’s notion of spaces of negotiation of meaning</w:t>
            </w:r>
            <w:r w:rsidR="004872DD" w:rsidRPr="00076E76">
              <w:rPr>
                <w:rFonts w:ascii="Gill Sans" w:hAnsi="Gill Sans" w:cs="Gill Sans"/>
                <w:color w:val="000000"/>
                <w:szCs w:val="22"/>
              </w:rPr>
              <w:t>; the task = “to assist [students] to unpack these ‘situated decontextualizing practices’ and to participate to a degree in the discursive repertoires of particular academic domains” (p.291) by developing ‘hybrid discourses’ (taking expertise of lecturer</w:t>
            </w:r>
            <w:r w:rsidR="00C440D6" w:rsidRPr="00076E76">
              <w:rPr>
                <w:rFonts w:ascii="Gill Sans" w:hAnsi="Gill Sans" w:cs="Gill Sans"/>
                <w:color w:val="000000"/>
                <w:szCs w:val="22"/>
              </w:rPr>
              <w:t>, rephrasing in way students will understand with everyday lexis)</w:t>
            </w:r>
            <w:r w:rsidR="004872DD" w:rsidRPr="00076E76">
              <w:rPr>
                <w:rFonts w:ascii="Gill Sans" w:hAnsi="Gill Sans" w:cs="Gill Sans"/>
                <w:color w:val="000000"/>
                <w:szCs w:val="22"/>
              </w:rPr>
              <w:t>.</w:t>
            </w:r>
            <w:r w:rsidR="00C863E6" w:rsidRPr="00076E76">
              <w:rPr>
                <w:rFonts w:ascii="Gill Sans" w:hAnsi="Gill Sans" w:cs="Gill Sans"/>
                <w:color w:val="000000"/>
                <w:szCs w:val="22"/>
              </w:rPr>
              <w:t xml:space="preserve"> </w:t>
            </w:r>
          </w:p>
          <w:p w14:paraId="606F6323" w14:textId="259D1C93" w:rsidR="00EE5829" w:rsidRPr="00076E76" w:rsidRDefault="00C863E6" w:rsidP="00C863E6">
            <w:pPr>
              <w:rPr>
                <w:rFonts w:ascii="Gill Sans" w:hAnsi="Gill Sans" w:cs="Gill Sans"/>
                <w:color w:val="000000"/>
                <w:szCs w:val="22"/>
              </w:rPr>
            </w:pPr>
            <w:r w:rsidRPr="00076E76">
              <w:rPr>
                <w:rFonts w:ascii="Gill Sans" w:hAnsi="Gill Sans" w:cs="Gill Sans"/>
                <w:color w:val="000000"/>
                <w:szCs w:val="22"/>
              </w:rPr>
              <w:t>Need to develop space for shared meaning between lecturer and student: “Achieving a sufficient sharing of meaning between lecturers and students requires newcomers to a</w:t>
            </w:r>
            <w:r w:rsidR="008013C7" w:rsidRPr="00076E76">
              <w:rPr>
                <w:rFonts w:ascii="Gill Sans" w:hAnsi="Gill Sans" w:cs="Gill Sans"/>
                <w:color w:val="000000"/>
                <w:szCs w:val="22"/>
              </w:rPr>
              <w:t xml:space="preserve"> </w:t>
            </w:r>
            <w:r w:rsidRPr="00076E76">
              <w:rPr>
                <w:rFonts w:ascii="Gill Sans" w:hAnsi="Gill Sans" w:cs="Gill Sans"/>
                <w:color w:val="000000"/>
                <w:szCs w:val="22"/>
              </w:rPr>
              <w:t>domain to enter into the frames of knowledge within which topics are to be construed, to begin to gain a sense of the context of meaning-making within a particular disciplinary or professional community” (p.292)</w:t>
            </w:r>
            <w:r w:rsidR="00EE5829" w:rsidRPr="00076E76">
              <w:rPr>
                <w:rFonts w:ascii="Gill Sans" w:hAnsi="Gill Sans" w:cs="Gill Sans"/>
                <w:color w:val="000000"/>
                <w:szCs w:val="22"/>
              </w:rPr>
              <w:t>.</w:t>
            </w:r>
          </w:p>
          <w:p w14:paraId="0B4B849D" w14:textId="768F28B1" w:rsidR="000710B5" w:rsidRPr="00076E76" w:rsidRDefault="00EE5829" w:rsidP="00BA4B0B">
            <w:pPr>
              <w:rPr>
                <w:rFonts w:ascii="Gill Sans" w:hAnsi="Gill Sans" w:cs="Gill Sans"/>
                <w:color w:val="000000"/>
                <w:szCs w:val="22"/>
              </w:rPr>
            </w:pPr>
            <w:r w:rsidRPr="00076E76">
              <w:rPr>
                <w:rFonts w:ascii="Gill Sans" w:hAnsi="Gill Sans" w:cs="Gill Sans"/>
                <w:color w:val="000000"/>
                <w:szCs w:val="22"/>
              </w:rPr>
              <w:t>Law’s (2004) ‘ontology of the in-between’ (partial connections) = useful framing</w:t>
            </w:r>
          </w:p>
        </w:tc>
      </w:tr>
      <w:tr w:rsidR="00FA514E" w:rsidRPr="00076E76" w14:paraId="4F312B66" w14:textId="77777777" w:rsidTr="002E557C">
        <w:tc>
          <w:tcPr>
            <w:tcW w:w="5529" w:type="dxa"/>
          </w:tcPr>
          <w:p w14:paraId="3E21087C" w14:textId="68887478" w:rsidR="00FA514E" w:rsidRPr="00076E76" w:rsidRDefault="00FA514E" w:rsidP="00FA514E">
            <w:pPr>
              <w:rPr>
                <w:rFonts w:ascii="Gill Sans" w:hAnsi="Gill Sans" w:cs="Gill Sans"/>
                <w:szCs w:val="22"/>
              </w:rPr>
            </w:pPr>
            <w:r w:rsidRPr="00076E76">
              <w:rPr>
                <w:rFonts w:ascii="Gill Sans" w:hAnsi="Gill Sans" w:cs="Gill Sans"/>
                <w:szCs w:val="22"/>
              </w:rPr>
              <w:lastRenderedPageBreak/>
              <w:t xml:space="preserve">Anderson, D.; </w:t>
            </w:r>
            <w:proofErr w:type="spellStart"/>
            <w:r w:rsidRPr="00076E76">
              <w:rPr>
                <w:rFonts w:ascii="Gill Sans" w:hAnsi="Gill Sans" w:cs="Gill Sans"/>
                <w:szCs w:val="22"/>
              </w:rPr>
              <w:t>Wason</w:t>
            </w:r>
            <w:proofErr w:type="spellEnd"/>
            <w:r w:rsidRPr="00076E76">
              <w:rPr>
                <w:rFonts w:ascii="Gill Sans" w:hAnsi="Gill Sans" w:cs="Gill Sans"/>
                <w:szCs w:val="22"/>
              </w:rPr>
              <w:t xml:space="preserve">, H. &amp; </w:t>
            </w:r>
            <w:proofErr w:type="spellStart"/>
            <w:r w:rsidRPr="00076E76">
              <w:rPr>
                <w:rFonts w:ascii="Gill Sans" w:hAnsi="Gill Sans" w:cs="Gill Sans"/>
                <w:szCs w:val="22"/>
              </w:rPr>
              <w:t>Southall</w:t>
            </w:r>
            <w:proofErr w:type="spellEnd"/>
            <w:r w:rsidRPr="00076E76">
              <w:rPr>
                <w:rFonts w:ascii="Gill Sans" w:hAnsi="Gill Sans" w:cs="Gill Sans"/>
                <w:szCs w:val="22"/>
              </w:rPr>
              <w:t xml:space="preserve">, J. (2016). </w:t>
            </w:r>
            <w:hyperlink r:id="rId13" w:history="1">
              <w:r w:rsidRPr="005424C4">
                <w:rPr>
                  <w:rStyle w:val="Hyperlink"/>
                  <w:rFonts w:ascii="Gill Sans" w:hAnsi="Gill Sans" w:cs="Gill Sans"/>
                  <w:szCs w:val="22"/>
                </w:rPr>
                <w:t>Supporting business students’ transition into higher education: the case of marketing downloads</w:t>
              </w:r>
            </w:hyperlink>
            <w:r w:rsidRPr="00076E76">
              <w:rPr>
                <w:rFonts w:ascii="Gill Sans" w:hAnsi="Gill Sans" w:cs="Gill Sans"/>
                <w:szCs w:val="22"/>
              </w:rPr>
              <w:t xml:space="preserve">, </w:t>
            </w:r>
            <w:r w:rsidRPr="00076E76">
              <w:rPr>
                <w:rFonts w:ascii="Gill Sans" w:hAnsi="Gill Sans" w:cs="Gill Sans"/>
                <w:i/>
                <w:szCs w:val="22"/>
              </w:rPr>
              <w:t xml:space="preserve">Teaching in Higher Education, </w:t>
            </w:r>
            <w:r w:rsidR="005424C4">
              <w:rPr>
                <w:rFonts w:ascii="Gill Sans" w:hAnsi="Gill Sans" w:cs="Gill Sans"/>
                <w:szCs w:val="22"/>
              </w:rPr>
              <w:t>21(8), 978–989.</w:t>
            </w:r>
          </w:p>
          <w:p w14:paraId="4032DD37" w14:textId="77777777" w:rsidR="00FA514E" w:rsidRPr="00076E76" w:rsidRDefault="00FA514E" w:rsidP="00FA514E">
            <w:pPr>
              <w:rPr>
                <w:rFonts w:ascii="Gill Sans" w:hAnsi="Gill Sans" w:cs="Gill Sans"/>
                <w:szCs w:val="22"/>
              </w:rPr>
            </w:pPr>
          </w:p>
          <w:p w14:paraId="00226F0C" w14:textId="77777777" w:rsidR="00FA514E" w:rsidRPr="00076E76" w:rsidRDefault="00FA514E" w:rsidP="00FA514E">
            <w:pPr>
              <w:rPr>
                <w:rFonts w:ascii="Gill Sans" w:hAnsi="Gill Sans" w:cs="Gill Sans"/>
                <w:szCs w:val="22"/>
              </w:rPr>
            </w:pPr>
            <w:r w:rsidRPr="00076E76">
              <w:rPr>
                <w:rFonts w:ascii="Gill Sans" w:hAnsi="Gill Sans" w:cs="Gill Sans"/>
                <w:szCs w:val="22"/>
              </w:rPr>
              <w:t>UK</w:t>
            </w:r>
          </w:p>
          <w:p w14:paraId="1285F6E5" w14:textId="77777777" w:rsidR="000F60CF" w:rsidRPr="00076E76" w:rsidRDefault="000F60CF" w:rsidP="000F60CF">
            <w:pPr>
              <w:rPr>
                <w:rFonts w:ascii="Gill Sans" w:hAnsi="Gill Sans" w:cs="Gill Sans"/>
                <w:szCs w:val="22"/>
              </w:rPr>
            </w:pPr>
            <w:r w:rsidRPr="00076E76">
              <w:rPr>
                <w:rFonts w:ascii="Gill Sans" w:hAnsi="Gill Sans" w:cs="Gill Sans"/>
                <w:szCs w:val="22"/>
              </w:rPr>
              <w:t>Annotation by Sally Baker</w:t>
            </w:r>
          </w:p>
          <w:p w14:paraId="07D85D75" w14:textId="77777777" w:rsidR="000F60CF" w:rsidRPr="00076E76" w:rsidRDefault="000F60CF" w:rsidP="00FA514E">
            <w:pPr>
              <w:rPr>
                <w:rFonts w:ascii="Gill Sans" w:hAnsi="Gill Sans" w:cs="Gill Sans"/>
                <w:szCs w:val="22"/>
              </w:rPr>
            </w:pPr>
          </w:p>
          <w:p w14:paraId="440AD622" w14:textId="77777777" w:rsidR="00922FDA" w:rsidRPr="00076E76" w:rsidRDefault="00922FDA" w:rsidP="00FA514E">
            <w:pPr>
              <w:rPr>
                <w:rFonts w:ascii="Gill Sans" w:hAnsi="Gill Sans" w:cs="Gill Sans"/>
                <w:szCs w:val="22"/>
              </w:rPr>
            </w:pPr>
          </w:p>
          <w:p w14:paraId="056514EA" w14:textId="77777777" w:rsidR="00922FDA" w:rsidRPr="00076E76" w:rsidRDefault="00922FDA" w:rsidP="00922FDA">
            <w:pPr>
              <w:rPr>
                <w:rFonts w:ascii="Gill Sans" w:hAnsi="Gill Sans" w:cs="Gill Sans"/>
                <w:szCs w:val="22"/>
              </w:rPr>
            </w:pPr>
            <w:r w:rsidRPr="00076E76">
              <w:rPr>
                <w:rFonts w:ascii="Gill Sans" w:hAnsi="Gill Sans" w:cs="Gill Sans"/>
                <w:szCs w:val="22"/>
              </w:rPr>
              <w:t xml:space="preserve">Keywords: </w:t>
            </w:r>
            <w:r w:rsidRPr="00076E76">
              <w:rPr>
                <w:rFonts w:ascii="Gill Sans" w:hAnsi="Gill Sans" w:cs="Gill Sans"/>
                <w:i/>
                <w:szCs w:val="22"/>
              </w:rPr>
              <w:t>Transitions; teaching initiatives; student-centred learning</w:t>
            </w:r>
          </w:p>
          <w:p w14:paraId="11E008C9" w14:textId="77777777" w:rsidR="00AF320A" w:rsidRPr="00076E76" w:rsidRDefault="00AF320A" w:rsidP="00922FDA">
            <w:pPr>
              <w:rPr>
                <w:rFonts w:ascii="Gill Sans" w:hAnsi="Gill Sans" w:cs="Gill Sans"/>
                <w:szCs w:val="22"/>
              </w:rPr>
            </w:pPr>
          </w:p>
          <w:p w14:paraId="12219F66" w14:textId="3EBE90AA" w:rsidR="00AF320A" w:rsidRPr="00076E76" w:rsidRDefault="00AF320A" w:rsidP="00922FDA">
            <w:pPr>
              <w:rPr>
                <w:rFonts w:ascii="Gill Sans" w:hAnsi="Gill Sans" w:cs="Gill Sans"/>
                <w:b/>
                <w:szCs w:val="22"/>
              </w:rPr>
            </w:pPr>
          </w:p>
        </w:tc>
        <w:tc>
          <w:tcPr>
            <w:tcW w:w="10064" w:type="dxa"/>
          </w:tcPr>
          <w:p w14:paraId="7C5D0EDB" w14:textId="502FD517" w:rsidR="00FA514E" w:rsidRPr="00076E76" w:rsidRDefault="00FA514E" w:rsidP="00FA514E">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sidR="005B2A7D" w:rsidRPr="00076E76">
              <w:rPr>
                <w:rFonts w:ascii="Gill Sans" w:hAnsi="Gill Sans" w:cs="Gill Sans"/>
                <w:color w:val="000000"/>
                <w:szCs w:val="22"/>
                <w:lang w:val="en-AU"/>
              </w:rPr>
              <w:t>UK higher education/ business school and student-centred approach to facilitating transition via ‘Marketing Downloads’ initiative. Set in context of diversified student body (e.g. Archer 2007). Transition = challenging, especially for non-traditional and FinF students, with respect to learning (develop into autonomous learners/ independent learning skills), confidence and security in themselves, fear of isolation and need for belonging and ‘</w:t>
            </w:r>
            <w:proofErr w:type="spellStart"/>
            <w:r w:rsidR="005B2A7D" w:rsidRPr="00076E76">
              <w:rPr>
                <w:rFonts w:ascii="Gill Sans" w:hAnsi="Gill Sans" w:cs="Gill Sans"/>
                <w:color w:val="000000"/>
                <w:szCs w:val="22"/>
                <w:lang w:val="en-AU"/>
              </w:rPr>
              <w:t>friendsickness</w:t>
            </w:r>
            <w:proofErr w:type="spellEnd"/>
            <w:r w:rsidR="005B2A7D" w:rsidRPr="00076E76">
              <w:rPr>
                <w:rFonts w:ascii="Gill Sans" w:hAnsi="Gill Sans" w:cs="Gill Sans"/>
                <w:color w:val="000000"/>
                <w:szCs w:val="22"/>
                <w:lang w:val="en-AU"/>
              </w:rPr>
              <w:t>’</w:t>
            </w:r>
          </w:p>
          <w:p w14:paraId="190FE152" w14:textId="26B04346" w:rsidR="00FA514E" w:rsidRPr="00076E76" w:rsidRDefault="00FA514E" w:rsidP="005B2A7D">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sidR="005B2A7D" w:rsidRPr="00076E76">
              <w:rPr>
                <w:rFonts w:ascii="Gill Sans" w:hAnsi="Gill Sans" w:cs="Gill Sans"/>
                <w:color w:val="000000"/>
                <w:szCs w:val="22"/>
                <w:lang w:val="en-AU"/>
              </w:rPr>
              <w:t xml:space="preserve">To present evaluation of ‘Marketing Downloads’ (where </w:t>
            </w:r>
            <w:r w:rsidR="005B2A7D" w:rsidRPr="00076E76">
              <w:rPr>
                <w:rFonts w:ascii="Gill Sans" w:hAnsi="Gill Sans" w:cs="Gill Sans"/>
                <w:color w:val="000000"/>
                <w:szCs w:val="22"/>
              </w:rPr>
              <w:t>students work in self-selected pairs to choose an example of marketing practice to present to their colleagues during the class and previous year students come in to discuss experiences and present their downloads); to show how it facilitated ‘smoother’ transitions.</w:t>
            </w:r>
          </w:p>
          <w:p w14:paraId="1143C0B6" w14:textId="0BE36B2B" w:rsidR="00FA514E" w:rsidRPr="00076E76" w:rsidRDefault="00FA514E" w:rsidP="00FA514E">
            <w:pPr>
              <w:rPr>
                <w:rFonts w:ascii="Gill Sans" w:hAnsi="Gill Sans" w:cs="Gill Sans"/>
                <w:color w:val="000000"/>
                <w:szCs w:val="22"/>
                <w:lang w:val="en-AU"/>
              </w:rPr>
            </w:pPr>
            <w:r w:rsidRPr="00076E76">
              <w:rPr>
                <w:rFonts w:ascii="Gill Sans" w:hAnsi="Gill Sans" w:cs="Gill Sans"/>
                <w:b/>
                <w:color w:val="000000"/>
                <w:szCs w:val="22"/>
                <w:lang w:val="en-AU"/>
              </w:rPr>
              <w:t>Theoretical frame:</w:t>
            </w:r>
            <w:r w:rsidR="005B2A7D" w:rsidRPr="00076E76">
              <w:rPr>
                <w:rFonts w:ascii="Gill Sans" w:hAnsi="Gill Sans" w:cs="Gill Sans"/>
                <w:b/>
                <w:color w:val="000000"/>
                <w:szCs w:val="22"/>
                <w:lang w:val="en-AU"/>
              </w:rPr>
              <w:t xml:space="preserve"> </w:t>
            </w:r>
            <w:r w:rsidR="005B2A7D" w:rsidRPr="00076E76">
              <w:rPr>
                <w:rFonts w:ascii="Gill Sans" w:hAnsi="Gill Sans" w:cs="Gill Sans"/>
                <w:color w:val="000000"/>
                <w:szCs w:val="22"/>
                <w:lang w:val="en-AU"/>
              </w:rPr>
              <w:t>Self-efficacy</w:t>
            </w:r>
          </w:p>
          <w:p w14:paraId="6F44C940" w14:textId="686F3044" w:rsidR="00FA514E" w:rsidRPr="00076E76" w:rsidRDefault="00FA514E" w:rsidP="00FA514E">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005B2A7D" w:rsidRPr="00076E76">
              <w:rPr>
                <w:rFonts w:ascii="Gill Sans" w:hAnsi="Gill Sans" w:cs="Gill Sans"/>
                <w:color w:val="000000"/>
                <w:szCs w:val="22"/>
                <w:lang w:val="en-AU"/>
              </w:rPr>
              <w:t>Qualitative evaluation: focus groups. Students from Marketing Principles class (n=25/ 5 x focus groups)</w:t>
            </w:r>
          </w:p>
          <w:p w14:paraId="0C9B9F56" w14:textId="77777777" w:rsidR="005B2A7D" w:rsidRPr="00076E76" w:rsidRDefault="00FA514E" w:rsidP="00FA514E">
            <w:pPr>
              <w:rPr>
                <w:rFonts w:ascii="Gill Sans" w:hAnsi="Gill Sans" w:cs="Gill Sans"/>
                <w:b/>
                <w:color w:val="000000"/>
                <w:szCs w:val="22"/>
                <w:lang w:val="en-AU"/>
              </w:rPr>
            </w:pPr>
            <w:r w:rsidRPr="00076E76">
              <w:rPr>
                <w:rFonts w:ascii="Gill Sans" w:hAnsi="Gill Sans" w:cs="Gill Sans"/>
                <w:b/>
                <w:color w:val="000000"/>
                <w:szCs w:val="22"/>
                <w:lang w:val="en-AU"/>
              </w:rPr>
              <w:t xml:space="preserve">Findings: </w:t>
            </w:r>
          </w:p>
          <w:p w14:paraId="15AED610" w14:textId="77777777" w:rsidR="00EE0635" w:rsidRPr="00076E76" w:rsidRDefault="005B2A7D" w:rsidP="00EE0635">
            <w:pPr>
              <w:rPr>
                <w:rFonts w:ascii="Gill Sans" w:hAnsi="Gill Sans" w:cs="Gill Sans"/>
                <w:color w:val="000000"/>
                <w:szCs w:val="22"/>
              </w:rPr>
            </w:pPr>
            <w:r w:rsidRPr="00076E76">
              <w:rPr>
                <w:rFonts w:ascii="Gill Sans" w:hAnsi="Gill Sans" w:cs="Gill Sans"/>
                <w:color w:val="000000"/>
                <w:szCs w:val="22"/>
                <w:lang w:val="en-AU"/>
              </w:rPr>
              <w:t xml:space="preserve">‘Marketing Downloads’ helped as ice-breaker to learning environment; no ‘right answer’ and good interaction </w:t>
            </w:r>
            <w:r w:rsidRPr="00076E76">
              <w:rPr>
                <w:rFonts w:ascii="Gill Sans" w:hAnsi="Gill Sans" w:cs="Gill Sans"/>
                <w:color w:val="000000"/>
                <w:szCs w:val="22"/>
                <w:lang w:val="en-AU"/>
              </w:rPr>
              <w:lastRenderedPageBreak/>
              <w:t>between peers</w:t>
            </w:r>
            <w:r w:rsidR="00EE0635" w:rsidRPr="00076E76">
              <w:rPr>
                <w:rFonts w:ascii="Gill Sans" w:hAnsi="Gill Sans" w:cs="Gill Sans"/>
                <w:color w:val="000000"/>
                <w:szCs w:val="22"/>
                <w:lang w:val="en-AU"/>
              </w:rPr>
              <w:t xml:space="preserve">. Lower levels of guidance helped to illuminate differences between pre- and undergraduate learning: “this </w:t>
            </w:r>
            <w:r w:rsidR="00EE0635" w:rsidRPr="00076E76">
              <w:rPr>
                <w:rFonts w:ascii="Gill Sans" w:hAnsi="Gill Sans" w:cs="Gill Sans"/>
                <w:color w:val="000000"/>
                <w:szCs w:val="22"/>
              </w:rPr>
              <w:t xml:space="preserve">growing </w:t>
            </w:r>
            <w:proofErr w:type="spellStart"/>
            <w:r w:rsidR="00EE0635" w:rsidRPr="00076E76">
              <w:rPr>
                <w:rFonts w:ascii="Gill Sans" w:hAnsi="Gill Sans" w:cs="Gill Sans"/>
                <w:color w:val="000000"/>
                <w:szCs w:val="22"/>
              </w:rPr>
              <w:t>realisation</w:t>
            </w:r>
            <w:proofErr w:type="spellEnd"/>
            <w:r w:rsidR="00EE0635" w:rsidRPr="00076E76">
              <w:rPr>
                <w:rFonts w:ascii="Gill Sans" w:hAnsi="Gill Sans" w:cs="Gill Sans"/>
                <w:color w:val="000000"/>
                <w:szCs w:val="22"/>
              </w:rPr>
              <w:t xml:space="preserve"> of the difference between secondary and tertiary education with the deliberate withdrawal of explicit instruction became apparent in several of the groups” (p.6). </w:t>
            </w:r>
          </w:p>
          <w:p w14:paraId="7317D1D6" w14:textId="77777777" w:rsidR="00EE0635" w:rsidRPr="00076E76" w:rsidRDefault="00EE0635" w:rsidP="00EE0635">
            <w:pPr>
              <w:rPr>
                <w:rFonts w:ascii="Gill Sans" w:hAnsi="Gill Sans" w:cs="Gill Sans"/>
                <w:color w:val="000000"/>
                <w:szCs w:val="22"/>
              </w:rPr>
            </w:pPr>
            <w:r w:rsidRPr="00076E76">
              <w:rPr>
                <w:rFonts w:ascii="Gill Sans" w:hAnsi="Gill Sans" w:cs="Gill Sans"/>
                <w:color w:val="000000"/>
                <w:szCs w:val="22"/>
              </w:rPr>
              <w:t>Helped with reciprocity and peer support</w:t>
            </w:r>
          </w:p>
          <w:p w14:paraId="05575AAD" w14:textId="77777777" w:rsidR="00EE0635" w:rsidRPr="00076E76" w:rsidRDefault="00EE0635" w:rsidP="00EE0635">
            <w:pPr>
              <w:rPr>
                <w:rFonts w:ascii="Gill Sans" w:hAnsi="Gill Sans" w:cs="Gill Sans"/>
                <w:color w:val="000000"/>
                <w:szCs w:val="22"/>
              </w:rPr>
            </w:pPr>
            <w:r w:rsidRPr="00076E76">
              <w:rPr>
                <w:rFonts w:ascii="Gill Sans" w:hAnsi="Gill Sans" w:cs="Gill Sans"/>
                <w:color w:val="000000"/>
                <w:szCs w:val="22"/>
              </w:rPr>
              <w:t>Helped students develop ‘presentation skills’ and feel confident to speak publicly and critique others</w:t>
            </w:r>
          </w:p>
          <w:p w14:paraId="4F3AF14E" w14:textId="77777777" w:rsidR="00FA514E" w:rsidRPr="00076E76" w:rsidRDefault="00EE0635" w:rsidP="00EE0635">
            <w:pPr>
              <w:rPr>
                <w:rFonts w:ascii="Gill Sans" w:hAnsi="Gill Sans" w:cs="Gill Sans"/>
                <w:color w:val="000000"/>
                <w:szCs w:val="22"/>
              </w:rPr>
            </w:pPr>
            <w:r w:rsidRPr="00076E76">
              <w:rPr>
                <w:rFonts w:ascii="Gill Sans" w:hAnsi="Gill Sans" w:cs="Gill Sans"/>
                <w:color w:val="000000"/>
                <w:szCs w:val="22"/>
              </w:rPr>
              <w:t xml:space="preserve">Helped develop understandings between theory and world </w:t>
            </w:r>
            <w:r w:rsidR="00FA514E" w:rsidRPr="00076E76">
              <w:rPr>
                <w:rFonts w:ascii="Gill Sans" w:hAnsi="Gill Sans" w:cs="Gill Sans"/>
                <w:b/>
                <w:color w:val="000000"/>
                <w:szCs w:val="22"/>
                <w:lang w:val="en-AU"/>
              </w:rPr>
              <w:br/>
              <w:t>Core argument:</w:t>
            </w:r>
            <w:r w:rsidRPr="00076E76">
              <w:rPr>
                <w:rFonts w:ascii="Gill Sans" w:hAnsi="Gill Sans" w:cs="Gill Sans"/>
                <w:b/>
                <w:color w:val="000000"/>
                <w:szCs w:val="22"/>
                <w:lang w:val="en-AU"/>
              </w:rPr>
              <w:t xml:space="preserve"> </w:t>
            </w:r>
            <w:r w:rsidRPr="00076E76">
              <w:rPr>
                <w:rFonts w:ascii="Gill Sans" w:hAnsi="Gill Sans" w:cs="Gill Sans"/>
                <w:color w:val="000000"/>
                <w:szCs w:val="22"/>
                <w:lang w:val="en-AU"/>
              </w:rPr>
              <w:t xml:space="preserve">Student-centred design = crucial’ “the </w:t>
            </w:r>
            <w:r w:rsidRPr="00076E76">
              <w:rPr>
                <w:rFonts w:ascii="Gill Sans" w:hAnsi="Gill Sans" w:cs="Gill Sans"/>
                <w:color w:val="000000"/>
                <w:szCs w:val="22"/>
              </w:rPr>
              <w:t>important elements appear to have been the inclusion of student choice and the requirement to stimulate a discussion which ensured that students began to think about possible questions that they could pose, or alternatively to consider what questions they might be asked” (p.10). Makes 4 recommendations:</w:t>
            </w:r>
          </w:p>
          <w:p w14:paraId="1D1B4111" w14:textId="6B029370" w:rsidR="00EE0635" w:rsidRPr="00076E76" w:rsidRDefault="00EE0635" w:rsidP="00EE0635">
            <w:pPr>
              <w:rPr>
                <w:rFonts w:ascii="Gill Sans" w:hAnsi="Gill Sans" w:cs="Gill Sans"/>
                <w:color w:val="000000"/>
                <w:szCs w:val="22"/>
              </w:rPr>
            </w:pPr>
            <w:r w:rsidRPr="00076E76">
              <w:rPr>
                <w:rFonts w:ascii="Gill Sans" w:hAnsi="Gill Sans" w:cs="Gill Sans"/>
                <w:color w:val="000000"/>
                <w:szCs w:val="22"/>
              </w:rPr>
              <w:t xml:space="preserve">“(1) Provide a safe classroom environment where students are able to speak freely without fear of getting something wrong.  </w:t>
            </w:r>
          </w:p>
          <w:p w14:paraId="0E126D0A" w14:textId="1C19F52D" w:rsidR="00EE0635" w:rsidRPr="00076E76" w:rsidRDefault="00EE0635" w:rsidP="00EE0635">
            <w:pPr>
              <w:rPr>
                <w:rFonts w:ascii="Gill Sans" w:hAnsi="Gill Sans" w:cs="Gill Sans"/>
                <w:color w:val="000000"/>
                <w:szCs w:val="22"/>
              </w:rPr>
            </w:pPr>
            <w:r w:rsidRPr="00076E76">
              <w:rPr>
                <w:rFonts w:ascii="Gill Sans" w:hAnsi="Gill Sans" w:cs="Gill Sans"/>
                <w:color w:val="000000"/>
                <w:szCs w:val="22"/>
              </w:rPr>
              <w:t>(2) Develop exercises which require students to engage with the whole class as well as smaller sub-groups. In this way they can increase their social networks and build relationships to support them through their course.</w:t>
            </w:r>
          </w:p>
          <w:p w14:paraId="3106B643" w14:textId="33C739AC" w:rsidR="00EE0635" w:rsidRPr="00076E76" w:rsidRDefault="00EE0635" w:rsidP="00EE0635">
            <w:pPr>
              <w:rPr>
                <w:rFonts w:ascii="Gill Sans" w:hAnsi="Gill Sans" w:cs="Gill Sans"/>
                <w:color w:val="000000"/>
                <w:szCs w:val="22"/>
              </w:rPr>
            </w:pPr>
            <w:r w:rsidRPr="00076E76">
              <w:rPr>
                <w:rFonts w:ascii="Gill Sans" w:hAnsi="Gill Sans" w:cs="Gill Sans"/>
                <w:color w:val="000000"/>
                <w:szCs w:val="22"/>
              </w:rPr>
              <w:t>(3) Ensure the approach is student-centred to enable students to take responsibility for their learning and begin the journey to independent learners, in other words to make the transition from secondary to tertiary education….</w:t>
            </w:r>
          </w:p>
          <w:p w14:paraId="2EECD842" w14:textId="799DB77A" w:rsidR="00EE0635" w:rsidRPr="00076E76" w:rsidRDefault="00EE0635" w:rsidP="00EE0635">
            <w:pPr>
              <w:rPr>
                <w:rFonts w:ascii="Gill Sans" w:hAnsi="Gill Sans" w:cs="Gill Sans"/>
                <w:color w:val="000000"/>
                <w:szCs w:val="22"/>
                <w:lang w:val="en-AU"/>
              </w:rPr>
            </w:pPr>
            <w:r w:rsidRPr="00076E76">
              <w:rPr>
                <w:rFonts w:ascii="Gill Sans" w:hAnsi="Gill Sans" w:cs="Gill Sans"/>
                <w:color w:val="000000"/>
                <w:szCs w:val="22"/>
              </w:rPr>
              <w:t>(4) Link activities to the outside world so that students can see the relevance of their studies” (p.10).</w:t>
            </w:r>
          </w:p>
        </w:tc>
      </w:tr>
      <w:tr w:rsidR="00BA63CB" w:rsidRPr="00076E76" w14:paraId="293AAD3D" w14:textId="77777777" w:rsidTr="002E557C">
        <w:tc>
          <w:tcPr>
            <w:tcW w:w="5529" w:type="dxa"/>
          </w:tcPr>
          <w:p w14:paraId="4A413C6B" w14:textId="1BAC7E17" w:rsidR="00824C4D" w:rsidRDefault="00BA63CB" w:rsidP="008A16D2">
            <w:pPr>
              <w:rPr>
                <w:rFonts w:ascii="Gill Sans" w:eastAsiaTheme="minorHAnsi" w:hAnsi="Gill Sans" w:cs="Gill Sans"/>
                <w:szCs w:val="22"/>
              </w:rPr>
            </w:pPr>
            <w:proofErr w:type="spellStart"/>
            <w:r w:rsidRPr="00076E76">
              <w:rPr>
                <w:rFonts w:ascii="Gill Sans" w:eastAsiaTheme="minorHAnsi" w:hAnsi="Gill Sans" w:cs="Gill Sans"/>
                <w:szCs w:val="22"/>
                <w:lang w:val="en-GB"/>
              </w:rPr>
              <w:lastRenderedPageBreak/>
              <w:t>Baik</w:t>
            </w:r>
            <w:proofErr w:type="spellEnd"/>
            <w:r w:rsidRPr="00076E76">
              <w:rPr>
                <w:rFonts w:ascii="Gill Sans" w:eastAsiaTheme="minorHAnsi" w:hAnsi="Gill Sans" w:cs="Gill Sans"/>
                <w:szCs w:val="22"/>
                <w:lang w:val="en-GB"/>
              </w:rPr>
              <w:t>, C.; Naylor, R.</w:t>
            </w:r>
            <w:r w:rsidR="00A95AB3">
              <w:rPr>
                <w:rFonts w:ascii="Gill Sans" w:eastAsiaTheme="minorHAnsi" w:hAnsi="Gill Sans" w:cs="Gill Sans"/>
                <w:szCs w:val="22"/>
                <w:lang w:val="en-GB"/>
              </w:rPr>
              <w:t xml:space="preserve">; </w:t>
            </w:r>
            <w:proofErr w:type="spellStart"/>
            <w:r w:rsidRPr="00076E76">
              <w:rPr>
                <w:rFonts w:ascii="Gill Sans" w:eastAsiaTheme="minorHAnsi" w:hAnsi="Gill Sans" w:cs="Gill Sans"/>
                <w:szCs w:val="22"/>
                <w:lang w:val="en-GB"/>
              </w:rPr>
              <w:t>Arkoudis</w:t>
            </w:r>
            <w:proofErr w:type="spellEnd"/>
            <w:r w:rsidRPr="00076E76">
              <w:rPr>
                <w:rFonts w:ascii="Gill Sans" w:eastAsiaTheme="minorHAnsi" w:hAnsi="Gill Sans" w:cs="Gill Sans"/>
                <w:szCs w:val="22"/>
                <w:lang w:val="en-GB"/>
              </w:rPr>
              <w:t>, S.</w:t>
            </w:r>
            <w:r w:rsidR="00A95AB3">
              <w:rPr>
                <w:rFonts w:ascii="Gill Sans" w:eastAsiaTheme="minorHAnsi" w:hAnsi="Gill Sans" w:cs="Gill Sans"/>
                <w:szCs w:val="22"/>
                <w:lang w:val="en-GB"/>
              </w:rPr>
              <w:t xml:space="preserve"> &amp; </w:t>
            </w:r>
            <w:proofErr w:type="spellStart"/>
            <w:r w:rsidR="00A95AB3">
              <w:rPr>
                <w:rFonts w:ascii="Gill Sans" w:eastAsiaTheme="minorHAnsi" w:hAnsi="Gill Sans" w:cs="Gill Sans"/>
                <w:szCs w:val="22"/>
                <w:lang w:val="en-GB"/>
              </w:rPr>
              <w:t>Dabrowski</w:t>
            </w:r>
            <w:proofErr w:type="spellEnd"/>
            <w:r w:rsidR="00A95AB3">
              <w:rPr>
                <w:rFonts w:ascii="Gill Sans" w:eastAsiaTheme="minorHAnsi" w:hAnsi="Gill Sans" w:cs="Gill Sans"/>
                <w:szCs w:val="22"/>
                <w:lang w:val="en-GB"/>
              </w:rPr>
              <w:t>, A. (2017</w:t>
            </w:r>
            <w:r w:rsidRPr="00076E76">
              <w:rPr>
                <w:rFonts w:ascii="Gill Sans" w:eastAsiaTheme="minorHAnsi" w:hAnsi="Gill Sans" w:cs="Gill Sans"/>
                <w:szCs w:val="22"/>
                <w:lang w:val="en-GB"/>
              </w:rPr>
              <w:t>).</w:t>
            </w:r>
            <w:r w:rsidR="00A95AB3">
              <w:rPr>
                <w:rFonts w:ascii="Gill Sans" w:eastAsiaTheme="minorHAnsi" w:hAnsi="Gill Sans" w:cs="Gill Sans"/>
                <w:szCs w:val="22"/>
                <w:lang w:val="en-GB"/>
              </w:rPr>
              <w:t xml:space="preserve"> </w:t>
            </w:r>
            <w:hyperlink r:id="rId14" w:history="1">
              <w:r w:rsidR="00A95AB3" w:rsidRPr="00CE491C">
                <w:rPr>
                  <w:rStyle w:val="Hyperlink"/>
                  <w:rFonts w:ascii="Gill Sans" w:eastAsiaTheme="minorHAnsi" w:hAnsi="Gill Sans" w:cs="Gill Sans"/>
                  <w:szCs w:val="22"/>
                  <w:lang w:val="en-GB"/>
                </w:rPr>
                <w:t>Examining the experiences of first-year students with low tertiary admission scores in Australian universities</w:t>
              </w:r>
            </w:hyperlink>
            <w:r w:rsidR="00A95AB3">
              <w:rPr>
                <w:rFonts w:ascii="Gill Sans" w:eastAsiaTheme="minorHAnsi" w:hAnsi="Gill Sans" w:cs="Gill Sans"/>
                <w:szCs w:val="22"/>
                <w:lang w:val="en-GB"/>
              </w:rPr>
              <w:t xml:space="preserve">, </w:t>
            </w:r>
            <w:r w:rsidR="00A95AB3">
              <w:rPr>
                <w:rFonts w:ascii="Gill Sans" w:eastAsiaTheme="minorHAnsi" w:hAnsi="Gill Sans" w:cs="Gill Sans"/>
                <w:i/>
                <w:szCs w:val="22"/>
                <w:lang w:val="en-GB"/>
              </w:rPr>
              <w:t>Studies in Higher Education</w:t>
            </w:r>
            <w:r w:rsidR="00824C4D">
              <w:rPr>
                <w:rFonts w:ascii="Gill Sans" w:eastAsiaTheme="minorHAnsi" w:hAnsi="Gill Sans" w:cs="Gill Sans"/>
                <w:i/>
                <w:szCs w:val="22"/>
                <w:lang w:val="en-GB"/>
              </w:rPr>
              <w:t xml:space="preserve">, </w:t>
            </w:r>
            <w:r w:rsidR="00824C4D">
              <w:rPr>
                <w:rFonts w:ascii="Gill Sans" w:eastAsiaTheme="minorHAnsi" w:hAnsi="Gill Sans" w:cs="Gill Sans"/>
                <w:szCs w:val="22"/>
              </w:rPr>
              <w:t>44(</w:t>
            </w:r>
            <w:r w:rsidR="00824C4D" w:rsidRPr="00824C4D">
              <w:rPr>
                <w:rFonts w:ascii="Gill Sans" w:eastAsiaTheme="minorHAnsi" w:hAnsi="Gill Sans" w:cs="Gill Sans"/>
                <w:szCs w:val="22"/>
              </w:rPr>
              <w:t>3</w:t>
            </w:r>
            <w:r w:rsidR="00824C4D">
              <w:rPr>
                <w:rFonts w:ascii="Gill Sans" w:eastAsiaTheme="minorHAnsi" w:hAnsi="Gill Sans" w:cs="Gill Sans"/>
                <w:szCs w:val="22"/>
              </w:rPr>
              <w:t>), 526–538.</w:t>
            </w:r>
          </w:p>
          <w:p w14:paraId="79F83F4D" w14:textId="77777777" w:rsidR="00824C4D" w:rsidRDefault="00824C4D" w:rsidP="008A16D2">
            <w:pPr>
              <w:rPr>
                <w:rFonts w:ascii="Gill Sans" w:eastAsiaTheme="minorHAnsi" w:hAnsi="Gill Sans" w:cs="Gill Sans"/>
                <w:szCs w:val="22"/>
              </w:rPr>
            </w:pPr>
          </w:p>
          <w:p w14:paraId="43A16B87" w14:textId="77777777" w:rsidR="00824C4D" w:rsidRDefault="00824C4D" w:rsidP="008A16D2">
            <w:pPr>
              <w:rPr>
                <w:rFonts w:ascii="Gill Sans" w:eastAsiaTheme="minorHAnsi" w:hAnsi="Gill Sans" w:cs="Gill Sans"/>
                <w:szCs w:val="22"/>
              </w:rPr>
            </w:pPr>
            <w:r>
              <w:rPr>
                <w:rFonts w:ascii="Gill Sans" w:eastAsiaTheme="minorHAnsi" w:hAnsi="Gill Sans" w:cs="Gill Sans"/>
                <w:szCs w:val="22"/>
              </w:rPr>
              <w:t>AUS</w:t>
            </w:r>
          </w:p>
          <w:p w14:paraId="78B6447B" w14:textId="77777777" w:rsidR="00824C4D" w:rsidRDefault="00824C4D" w:rsidP="008A16D2">
            <w:pPr>
              <w:rPr>
                <w:rFonts w:ascii="Gill Sans" w:eastAsiaTheme="minorHAnsi" w:hAnsi="Gill Sans" w:cs="Gill Sans"/>
                <w:szCs w:val="22"/>
              </w:rPr>
            </w:pPr>
          </w:p>
          <w:p w14:paraId="72973920" w14:textId="79E76BB3" w:rsidR="00BA63CB" w:rsidRPr="00971605" w:rsidRDefault="00824C4D" w:rsidP="00971605">
            <w:pPr>
              <w:rPr>
                <w:rFonts w:ascii="Gill Sans" w:eastAsiaTheme="minorHAnsi" w:hAnsi="Gill Sans" w:cs="Gill Sans"/>
                <w:i/>
                <w:szCs w:val="22"/>
                <w:lang w:val="en-GB"/>
              </w:rPr>
            </w:pPr>
            <w:r>
              <w:rPr>
                <w:rFonts w:ascii="Gill Sans" w:eastAsiaTheme="minorHAnsi" w:hAnsi="Gill Sans" w:cs="Gill Sans"/>
                <w:szCs w:val="22"/>
              </w:rPr>
              <w:t>Keyword:</w:t>
            </w:r>
            <w:r w:rsidR="00971605" w:rsidRPr="00971605">
              <w:rPr>
                <w:rFonts w:ascii="Times New Roman" w:hAnsi="Times New Roman" w:cs="Times New Roman"/>
                <w:sz w:val="16"/>
                <w:szCs w:val="16"/>
              </w:rPr>
              <w:t xml:space="preserve"> </w:t>
            </w:r>
            <w:r w:rsidR="00971605" w:rsidRPr="00971605">
              <w:rPr>
                <w:rFonts w:ascii="Gill Sans" w:eastAsiaTheme="minorHAnsi" w:hAnsi="Gill Sans" w:cs="Gill Sans"/>
                <w:i/>
                <w:szCs w:val="22"/>
              </w:rPr>
              <w:t>First-year experience; transition to university;</w:t>
            </w:r>
            <w:r w:rsidR="00971605">
              <w:rPr>
                <w:rFonts w:ascii="Gill Sans" w:eastAsiaTheme="minorHAnsi" w:hAnsi="Gill Sans" w:cs="Gill Sans"/>
                <w:i/>
                <w:szCs w:val="22"/>
              </w:rPr>
              <w:t xml:space="preserve"> </w:t>
            </w:r>
            <w:r w:rsidR="00971605" w:rsidRPr="00971605">
              <w:rPr>
                <w:rFonts w:ascii="Gill Sans" w:eastAsiaTheme="minorHAnsi" w:hAnsi="Gill Sans" w:cs="Gill Sans"/>
                <w:i/>
                <w:szCs w:val="22"/>
              </w:rPr>
              <w:t>engagement; attrition; Australian higher education</w:t>
            </w:r>
            <w:r w:rsidR="00BA63CB" w:rsidRPr="00971605">
              <w:rPr>
                <w:rFonts w:ascii="Gill Sans" w:eastAsiaTheme="minorHAnsi" w:hAnsi="Gill Sans" w:cs="Gill Sans"/>
                <w:i/>
                <w:szCs w:val="22"/>
                <w:lang w:val="en-GB"/>
              </w:rPr>
              <w:t xml:space="preserve"> </w:t>
            </w:r>
          </w:p>
          <w:p w14:paraId="2E7774B1" w14:textId="77777777" w:rsidR="00AF320A" w:rsidRPr="00076E76" w:rsidRDefault="00AF320A" w:rsidP="008A16D2">
            <w:pPr>
              <w:rPr>
                <w:rFonts w:ascii="Gill Sans" w:eastAsiaTheme="minorHAnsi" w:hAnsi="Gill Sans" w:cs="Gill Sans"/>
                <w:szCs w:val="22"/>
                <w:lang w:val="en-GB"/>
              </w:rPr>
            </w:pPr>
          </w:p>
          <w:p w14:paraId="20293610" w14:textId="5EDA52FC" w:rsidR="00AF320A" w:rsidRPr="00076E76" w:rsidRDefault="00AF320A" w:rsidP="008A16D2">
            <w:pPr>
              <w:rPr>
                <w:rFonts w:ascii="Gill Sans" w:eastAsiaTheme="minorHAnsi" w:hAnsi="Gill Sans" w:cs="Gill Sans"/>
                <w:b/>
                <w:szCs w:val="22"/>
                <w:lang w:val="en-GB"/>
              </w:rPr>
            </w:pPr>
          </w:p>
        </w:tc>
        <w:tc>
          <w:tcPr>
            <w:tcW w:w="10064" w:type="dxa"/>
          </w:tcPr>
          <w:p w14:paraId="55BA81FC" w14:textId="08E5A860" w:rsidR="00833BC8" w:rsidRPr="008701D9" w:rsidRDefault="00833BC8" w:rsidP="00833BC8">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sidR="00565306">
              <w:rPr>
                <w:rFonts w:ascii="Gill Sans" w:hAnsi="Gill Sans" w:cs="Gill Sans"/>
                <w:color w:val="000000"/>
                <w:szCs w:val="22"/>
                <w:lang w:val="en-AU"/>
              </w:rPr>
              <w:t>First year experience/ t</w:t>
            </w:r>
            <w:r w:rsidR="008701D9">
              <w:rPr>
                <w:rFonts w:ascii="Gill Sans" w:hAnsi="Gill Sans" w:cs="Gill Sans"/>
                <w:color w:val="000000"/>
                <w:szCs w:val="22"/>
                <w:lang w:val="en-AU"/>
              </w:rPr>
              <w:t>ransitions and coping with the first year of undergraduate study for students who enter with low ATARs</w:t>
            </w:r>
            <w:r w:rsidR="008970B3">
              <w:rPr>
                <w:rFonts w:ascii="Gill Sans" w:hAnsi="Gill Sans" w:cs="Gill Sans"/>
                <w:color w:val="000000"/>
                <w:szCs w:val="22"/>
                <w:lang w:val="en-AU"/>
              </w:rPr>
              <w:t>.</w:t>
            </w:r>
            <w:r w:rsidR="00590CAC">
              <w:rPr>
                <w:rFonts w:ascii="Gill Sans" w:hAnsi="Gill Sans" w:cs="Gill Sans"/>
                <w:color w:val="000000"/>
                <w:szCs w:val="22"/>
                <w:lang w:val="en-AU"/>
              </w:rPr>
              <w:t xml:space="preserve"> Article set against argument about financial cost of attrition for students and institutions. Students entering with low admission scores = result of widening participation agenda</w:t>
            </w:r>
            <w:r w:rsidR="00C124FC">
              <w:rPr>
                <w:rFonts w:ascii="Gill Sans" w:hAnsi="Gill Sans" w:cs="Gill Sans"/>
                <w:color w:val="000000"/>
                <w:szCs w:val="22"/>
                <w:lang w:val="en-AU"/>
              </w:rPr>
              <w:t>; these students are understood to be a particular risk and less likely to complete their studies [without recognitive supports]</w:t>
            </w:r>
            <w:r w:rsidR="009B1287">
              <w:rPr>
                <w:rFonts w:ascii="Gill Sans" w:hAnsi="Gill Sans" w:cs="Gill Sans"/>
                <w:color w:val="000000"/>
                <w:szCs w:val="22"/>
                <w:lang w:val="en-AU"/>
              </w:rPr>
              <w:t>. Authors argue that there is little known about the transitional/ study experiences of students who enter with low ATARs</w:t>
            </w:r>
          </w:p>
          <w:p w14:paraId="6F197AC3" w14:textId="0882D2BF" w:rsidR="00833BC8" w:rsidRPr="00565306" w:rsidRDefault="00833BC8" w:rsidP="002355D3">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sidR="00565306">
              <w:rPr>
                <w:rFonts w:ascii="Gill Sans" w:hAnsi="Gill Sans" w:cs="Gill Sans"/>
                <w:color w:val="000000"/>
                <w:szCs w:val="22"/>
                <w:lang w:val="en-AU"/>
              </w:rPr>
              <w:t>To examine “</w:t>
            </w:r>
            <w:r w:rsidR="00565306" w:rsidRPr="00565306">
              <w:rPr>
                <w:rFonts w:ascii="Gill Sans" w:hAnsi="Gill Sans" w:cs="Gill Sans"/>
                <w:color w:val="000000"/>
                <w:szCs w:val="22"/>
              </w:rPr>
              <w:t>the perceptions and experiences</w:t>
            </w:r>
            <w:r w:rsidR="00565306">
              <w:rPr>
                <w:rFonts w:ascii="Gill Sans" w:hAnsi="Gill Sans" w:cs="Gill Sans"/>
                <w:color w:val="000000"/>
                <w:szCs w:val="22"/>
              </w:rPr>
              <w:t xml:space="preserve"> </w:t>
            </w:r>
            <w:r w:rsidR="00565306" w:rsidRPr="00565306">
              <w:rPr>
                <w:rFonts w:ascii="Gill Sans" w:hAnsi="Gill Sans" w:cs="Gill Sans"/>
                <w:color w:val="000000"/>
                <w:szCs w:val="22"/>
              </w:rPr>
              <w:t>of first-year students who entered university with a low ATAR</w:t>
            </w:r>
            <w:r w:rsidR="00565306">
              <w:rPr>
                <w:rFonts w:ascii="Gill Sans" w:hAnsi="Gill Sans" w:cs="Gill Sans"/>
                <w:color w:val="000000"/>
                <w:szCs w:val="22"/>
              </w:rPr>
              <w:t>” (p.527)</w:t>
            </w:r>
            <w:r w:rsidR="002355D3">
              <w:rPr>
                <w:rFonts w:ascii="Gill Sans" w:hAnsi="Gill Sans" w:cs="Gill Sans"/>
                <w:color w:val="000000"/>
                <w:szCs w:val="22"/>
              </w:rPr>
              <w:t>; “</w:t>
            </w:r>
            <w:r w:rsidR="002355D3" w:rsidRPr="002355D3">
              <w:rPr>
                <w:rFonts w:ascii="Gill Sans" w:hAnsi="Gill Sans" w:cs="Gill Sans"/>
                <w:color w:val="000000"/>
                <w:szCs w:val="22"/>
              </w:rPr>
              <w:t>to extend focus beyond statistics around attrition and completion to explore what</w:t>
            </w:r>
            <w:r w:rsidR="002355D3">
              <w:rPr>
                <w:rFonts w:ascii="Gill Sans" w:hAnsi="Gill Sans" w:cs="Gill Sans"/>
                <w:color w:val="000000"/>
                <w:szCs w:val="22"/>
              </w:rPr>
              <w:t xml:space="preserve"> </w:t>
            </w:r>
            <w:r w:rsidR="002355D3" w:rsidRPr="002355D3">
              <w:rPr>
                <w:rFonts w:ascii="Gill Sans" w:hAnsi="Gill Sans" w:cs="Gill Sans"/>
                <w:color w:val="000000"/>
                <w:szCs w:val="22"/>
              </w:rPr>
              <w:t>institutions and university educators could do to better support low ATAR learners in their first</w:t>
            </w:r>
            <w:r w:rsidR="002355D3">
              <w:rPr>
                <w:rFonts w:ascii="Gill Sans" w:hAnsi="Gill Sans" w:cs="Gill Sans"/>
                <w:color w:val="000000"/>
                <w:szCs w:val="22"/>
              </w:rPr>
              <w:t xml:space="preserve"> </w:t>
            </w:r>
            <w:r w:rsidR="002355D3" w:rsidRPr="002355D3">
              <w:rPr>
                <w:rFonts w:ascii="Gill Sans" w:hAnsi="Gill Sans" w:cs="Gill Sans"/>
                <w:color w:val="000000"/>
                <w:szCs w:val="22"/>
              </w:rPr>
              <w:t>years of university study</w:t>
            </w:r>
            <w:r w:rsidR="002355D3">
              <w:rPr>
                <w:rFonts w:ascii="Gill Sans" w:hAnsi="Gill Sans" w:cs="Gill Sans"/>
                <w:color w:val="000000"/>
                <w:szCs w:val="22"/>
              </w:rPr>
              <w:t>” (p.528)</w:t>
            </w:r>
          </w:p>
          <w:p w14:paraId="49E04581" w14:textId="5E76DBE5" w:rsidR="00833BC8" w:rsidRPr="002355D3" w:rsidRDefault="00833BC8" w:rsidP="00833BC8">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002355D3">
              <w:rPr>
                <w:rFonts w:ascii="Gill Sans" w:hAnsi="Gill Sans" w:cs="Gill Sans"/>
                <w:color w:val="000000"/>
                <w:szCs w:val="22"/>
                <w:lang w:val="en-AU"/>
              </w:rPr>
              <w:t>Online survey of first-year (5</w:t>
            </w:r>
            <w:r w:rsidR="002355D3" w:rsidRPr="002355D3">
              <w:rPr>
                <w:rFonts w:ascii="Gill Sans" w:hAnsi="Gill Sans" w:cs="Gill Sans"/>
                <w:color w:val="000000"/>
                <w:szCs w:val="22"/>
                <w:vertAlign w:val="superscript"/>
                <w:lang w:val="en-AU"/>
              </w:rPr>
              <w:t>th</w:t>
            </w:r>
            <w:r w:rsidR="002355D3">
              <w:rPr>
                <w:rFonts w:ascii="Gill Sans" w:hAnsi="Gill Sans" w:cs="Gill Sans"/>
                <w:color w:val="000000"/>
                <w:szCs w:val="22"/>
                <w:lang w:val="en-AU"/>
              </w:rPr>
              <w:t xml:space="preserve"> wave in 2014)</w:t>
            </w:r>
            <w:r w:rsidR="0093301B">
              <w:rPr>
                <w:rFonts w:ascii="Gill Sans" w:hAnsi="Gill Sans" w:cs="Gill Sans"/>
                <w:color w:val="000000"/>
                <w:szCs w:val="22"/>
                <w:lang w:val="en-AU"/>
              </w:rPr>
              <w:t>; 8 institutions participated (see p.529 for full details of the diversity of participating universities and students). 1739 surveys returned</w:t>
            </w:r>
          </w:p>
          <w:p w14:paraId="50AFC2FB" w14:textId="69472C7A" w:rsidR="006A68AB" w:rsidRDefault="00833BC8" w:rsidP="00B578D8">
            <w:pPr>
              <w:rPr>
                <w:rFonts w:ascii="Gill Sans" w:hAnsi="Gill Sans" w:cs="Gill Sans"/>
                <w:color w:val="000000"/>
                <w:szCs w:val="22"/>
              </w:rPr>
            </w:pPr>
            <w:r w:rsidRPr="00076E76">
              <w:rPr>
                <w:rFonts w:ascii="Gill Sans" w:hAnsi="Gill Sans" w:cs="Gill Sans"/>
                <w:b/>
                <w:color w:val="000000"/>
                <w:szCs w:val="22"/>
                <w:lang w:val="en-AU"/>
              </w:rPr>
              <w:t xml:space="preserve">Findings: </w:t>
            </w:r>
            <w:r w:rsidR="00DE4C8B">
              <w:rPr>
                <w:rFonts w:ascii="Gill Sans" w:hAnsi="Gill Sans" w:cs="Gill Sans"/>
                <w:color w:val="000000"/>
                <w:szCs w:val="22"/>
                <w:lang w:val="en-AU"/>
              </w:rPr>
              <w:t>Overall, students in 2014 were generally more positive</w:t>
            </w:r>
            <w:r w:rsidR="00B578D8">
              <w:rPr>
                <w:rFonts w:ascii="Gill Sans" w:hAnsi="Gill Sans" w:cs="Gill Sans"/>
                <w:color w:val="000000"/>
                <w:szCs w:val="22"/>
                <w:lang w:val="en-AU"/>
              </w:rPr>
              <w:t>: “</w:t>
            </w:r>
            <w:r w:rsidR="00B578D8" w:rsidRPr="00B578D8">
              <w:rPr>
                <w:rFonts w:ascii="Gill Sans" w:hAnsi="Gill Sans" w:cs="Gill Sans"/>
                <w:color w:val="000000"/>
                <w:szCs w:val="22"/>
              </w:rPr>
              <w:t>Most students were clear about their reasons for going</w:t>
            </w:r>
            <w:r w:rsidR="00DF3A64">
              <w:rPr>
                <w:rFonts w:ascii="Gill Sans" w:hAnsi="Gill Sans" w:cs="Gill Sans"/>
                <w:color w:val="000000"/>
                <w:szCs w:val="22"/>
              </w:rPr>
              <w:t xml:space="preserve"> </w:t>
            </w:r>
            <w:r w:rsidR="00B578D8" w:rsidRPr="00B578D8">
              <w:rPr>
                <w:rFonts w:ascii="Gill Sans" w:hAnsi="Gill Sans" w:cs="Gill Sans"/>
                <w:color w:val="000000"/>
                <w:szCs w:val="22"/>
              </w:rPr>
              <w:t xml:space="preserve">to university, had a strong sense of purpose and identity, and were satisfied with their </w:t>
            </w:r>
            <w:r w:rsidR="00B578D8" w:rsidRPr="00B578D8">
              <w:rPr>
                <w:rFonts w:ascii="Gill Sans" w:hAnsi="Gill Sans" w:cs="Gill Sans"/>
                <w:color w:val="000000"/>
                <w:szCs w:val="22"/>
              </w:rPr>
              <w:lastRenderedPageBreak/>
              <w:t>course experience</w:t>
            </w:r>
            <w:r w:rsidR="00B578D8">
              <w:rPr>
                <w:rFonts w:ascii="Gill Sans" w:hAnsi="Gill Sans" w:cs="Gill Sans"/>
                <w:color w:val="000000"/>
                <w:szCs w:val="22"/>
              </w:rPr>
              <w:t xml:space="preserve"> </w:t>
            </w:r>
            <w:r w:rsidR="00B578D8" w:rsidRPr="00B578D8">
              <w:rPr>
                <w:rFonts w:ascii="Gill Sans" w:hAnsi="Gill Sans" w:cs="Gill Sans"/>
                <w:color w:val="000000"/>
                <w:szCs w:val="22"/>
              </w:rPr>
              <w:t>so far</w:t>
            </w:r>
            <w:r w:rsidR="00B578D8">
              <w:rPr>
                <w:rFonts w:ascii="Gill Sans" w:hAnsi="Gill Sans" w:cs="Gill Sans"/>
                <w:color w:val="000000"/>
                <w:szCs w:val="22"/>
              </w:rPr>
              <w:t>” (p.530)</w:t>
            </w:r>
            <w:r w:rsidR="006A68AB">
              <w:rPr>
                <w:rFonts w:ascii="Gill Sans" w:hAnsi="Gill Sans" w:cs="Gill Sans"/>
                <w:color w:val="000000"/>
                <w:szCs w:val="22"/>
              </w:rPr>
              <w:t>:</w:t>
            </w:r>
          </w:p>
          <w:p w14:paraId="6875C586" w14:textId="77777777" w:rsidR="006A68AB" w:rsidRPr="00DF3A64" w:rsidRDefault="006A68AB" w:rsidP="00DF3A64">
            <w:pPr>
              <w:pStyle w:val="ListParagraph"/>
              <w:numPr>
                <w:ilvl w:val="0"/>
                <w:numId w:val="36"/>
              </w:numPr>
              <w:rPr>
                <w:rFonts w:ascii="Gill Sans" w:hAnsi="Gill Sans" w:cs="Gill Sans"/>
                <w:color w:val="000000"/>
                <w:szCs w:val="22"/>
              </w:rPr>
            </w:pPr>
            <w:r w:rsidRPr="00DF3A64">
              <w:rPr>
                <w:rFonts w:ascii="Gill Sans" w:hAnsi="Gill Sans" w:cs="Gill Sans"/>
                <w:color w:val="000000"/>
                <w:szCs w:val="22"/>
              </w:rPr>
              <w:t>Better prepared to choose a course</w:t>
            </w:r>
          </w:p>
          <w:p w14:paraId="4BD7CA91" w14:textId="77777777" w:rsidR="006A68AB" w:rsidRPr="00DF3A64" w:rsidRDefault="006A68AB" w:rsidP="00DF3A64">
            <w:pPr>
              <w:pStyle w:val="ListParagraph"/>
              <w:numPr>
                <w:ilvl w:val="0"/>
                <w:numId w:val="36"/>
              </w:numPr>
              <w:rPr>
                <w:rFonts w:ascii="Gill Sans" w:hAnsi="Gill Sans" w:cs="Gill Sans"/>
                <w:color w:val="000000"/>
                <w:szCs w:val="22"/>
              </w:rPr>
            </w:pPr>
            <w:r w:rsidRPr="00DF3A64">
              <w:rPr>
                <w:rFonts w:ascii="Gill Sans" w:hAnsi="Gill Sans" w:cs="Gill Sans"/>
                <w:color w:val="000000"/>
                <w:szCs w:val="22"/>
              </w:rPr>
              <w:t>Feel that school prepared them for their transition</w:t>
            </w:r>
          </w:p>
          <w:p w14:paraId="0351F3BA" w14:textId="77777777" w:rsidR="006A68AB" w:rsidRPr="00DF3A64" w:rsidRDefault="006A68AB" w:rsidP="00DF3A64">
            <w:pPr>
              <w:pStyle w:val="ListParagraph"/>
              <w:numPr>
                <w:ilvl w:val="0"/>
                <w:numId w:val="36"/>
              </w:numPr>
              <w:rPr>
                <w:rFonts w:ascii="Gill Sans" w:hAnsi="Gill Sans" w:cs="Gill Sans"/>
                <w:color w:val="000000"/>
                <w:szCs w:val="22"/>
              </w:rPr>
            </w:pPr>
            <w:r w:rsidRPr="00DF3A64">
              <w:rPr>
                <w:rFonts w:ascii="Gill Sans" w:hAnsi="Gill Sans" w:cs="Gill Sans"/>
                <w:color w:val="000000"/>
                <w:szCs w:val="22"/>
              </w:rPr>
              <w:t>More encouraged to go to university</w:t>
            </w:r>
          </w:p>
          <w:p w14:paraId="7DA83840" w14:textId="77777777" w:rsidR="006C1FA2" w:rsidRPr="00DF3A64" w:rsidRDefault="006A68AB" w:rsidP="00DF3A64">
            <w:pPr>
              <w:pStyle w:val="ListParagraph"/>
              <w:numPr>
                <w:ilvl w:val="0"/>
                <w:numId w:val="36"/>
              </w:numPr>
              <w:rPr>
                <w:rFonts w:ascii="Gill Sans" w:hAnsi="Gill Sans" w:cs="Gill Sans"/>
                <w:color w:val="000000"/>
                <w:szCs w:val="22"/>
              </w:rPr>
            </w:pPr>
            <w:r w:rsidRPr="00DF3A64">
              <w:rPr>
                <w:rFonts w:ascii="Gill Sans" w:hAnsi="Gill Sans" w:cs="Gill Sans"/>
                <w:color w:val="000000"/>
                <w:szCs w:val="22"/>
              </w:rPr>
              <w:t>Clear reasons for why they had chosen university (90%)</w:t>
            </w:r>
            <w:r w:rsidR="006C1FA2" w:rsidRPr="00DF3A64">
              <w:rPr>
                <w:rFonts w:ascii="Gill Sans" w:hAnsi="Gill Sans" w:cs="Gill Sans"/>
                <w:color w:val="000000"/>
                <w:szCs w:val="22"/>
              </w:rPr>
              <w:t>, which “means that students are more likely to be committed and engaged in their studies and persist when the work becomes challenging” (p.530).</w:t>
            </w:r>
          </w:p>
          <w:p w14:paraId="25948BD4" w14:textId="77777777" w:rsidR="006C1FA2" w:rsidRPr="00DF3A64" w:rsidRDefault="006C1FA2" w:rsidP="00DF3A64">
            <w:pPr>
              <w:pStyle w:val="ListParagraph"/>
              <w:numPr>
                <w:ilvl w:val="0"/>
                <w:numId w:val="36"/>
              </w:numPr>
              <w:rPr>
                <w:rFonts w:ascii="Gill Sans" w:hAnsi="Gill Sans" w:cs="Gill Sans"/>
                <w:color w:val="000000"/>
                <w:szCs w:val="22"/>
              </w:rPr>
            </w:pPr>
            <w:r w:rsidRPr="00DF3A64">
              <w:rPr>
                <w:rFonts w:ascii="Gill Sans" w:hAnsi="Gill Sans" w:cs="Gill Sans"/>
                <w:color w:val="000000"/>
                <w:szCs w:val="22"/>
              </w:rPr>
              <w:t>Most knew which profession they were aiming for</w:t>
            </w:r>
          </w:p>
          <w:p w14:paraId="13C4C549" w14:textId="77777777" w:rsidR="003559CB" w:rsidRPr="00DF3A64" w:rsidRDefault="006C1FA2" w:rsidP="00DF3A64">
            <w:pPr>
              <w:pStyle w:val="ListParagraph"/>
              <w:numPr>
                <w:ilvl w:val="0"/>
                <w:numId w:val="36"/>
              </w:numPr>
              <w:rPr>
                <w:rFonts w:ascii="Gill Sans" w:hAnsi="Gill Sans" w:cs="Gill Sans"/>
                <w:color w:val="000000"/>
                <w:szCs w:val="22"/>
              </w:rPr>
            </w:pPr>
            <w:r w:rsidRPr="00DF3A64">
              <w:rPr>
                <w:rFonts w:ascii="Gill Sans" w:hAnsi="Gill Sans" w:cs="Gill Sans"/>
                <w:color w:val="000000"/>
                <w:szCs w:val="22"/>
              </w:rPr>
              <w:t>Over a third indicated they found it difficult to be motivated</w:t>
            </w:r>
            <w:r w:rsidR="009D13D7" w:rsidRPr="00DF3A64">
              <w:rPr>
                <w:rFonts w:ascii="Gill Sans" w:hAnsi="Gill Sans" w:cs="Gill Sans"/>
                <w:color w:val="000000"/>
                <w:szCs w:val="22"/>
              </w:rPr>
              <w:t xml:space="preserve"> (lower than 42% in 1994), which is concerning when it comes to predicting drop out.</w:t>
            </w:r>
          </w:p>
          <w:p w14:paraId="518E8465" w14:textId="77777777" w:rsidR="003559CB" w:rsidRPr="00DF3A64" w:rsidRDefault="003559CB" w:rsidP="00DF3A64">
            <w:pPr>
              <w:pStyle w:val="ListParagraph"/>
              <w:numPr>
                <w:ilvl w:val="0"/>
                <w:numId w:val="36"/>
              </w:numPr>
              <w:rPr>
                <w:rFonts w:ascii="Gill Sans" w:hAnsi="Gill Sans" w:cs="Gill Sans"/>
                <w:color w:val="000000"/>
                <w:szCs w:val="22"/>
              </w:rPr>
            </w:pPr>
            <w:r w:rsidRPr="00DF3A64">
              <w:rPr>
                <w:rFonts w:ascii="Gill Sans" w:hAnsi="Gill Sans" w:cs="Gill Sans"/>
                <w:color w:val="000000"/>
                <w:szCs w:val="22"/>
              </w:rPr>
              <w:t>More students reported asking for help (from 29% in 2009 to 37% in 2014)</w:t>
            </w:r>
          </w:p>
          <w:p w14:paraId="5D2645EF" w14:textId="77777777" w:rsidR="00BF5EA3" w:rsidRPr="00DF3A64" w:rsidRDefault="003559CB" w:rsidP="00DF3A64">
            <w:pPr>
              <w:pStyle w:val="ListParagraph"/>
              <w:numPr>
                <w:ilvl w:val="0"/>
                <w:numId w:val="36"/>
              </w:numPr>
              <w:rPr>
                <w:rFonts w:ascii="Gill Sans" w:hAnsi="Gill Sans" w:cs="Gill Sans"/>
                <w:color w:val="000000"/>
                <w:szCs w:val="22"/>
              </w:rPr>
            </w:pPr>
            <w:r w:rsidRPr="00DF3A64">
              <w:rPr>
                <w:rFonts w:ascii="Gill Sans" w:hAnsi="Gill Sans" w:cs="Gill Sans"/>
                <w:color w:val="000000"/>
                <w:szCs w:val="22"/>
              </w:rPr>
              <w:t>Views of the quality of teaching = increased from 66% in 1994</w:t>
            </w:r>
            <w:r w:rsidR="00BF5EA3" w:rsidRPr="00DF3A64">
              <w:rPr>
                <w:rFonts w:ascii="Gill Sans" w:hAnsi="Gill Sans" w:cs="Gill Sans"/>
                <w:color w:val="000000"/>
                <w:szCs w:val="22"/>
              </w:rPr>
              <w:t xml:space="preserve"> to 89% in 2014</w:t>
            </w:r>
          </w:p>
          <w:p w14:paraId="0601D3A6" w14:textId="568C8F88" w:rsidR="007A2083" w:rsidRPr="00DF3A64" w:rsidRDefault="00BF5EA3" w:rsidP="00DF3A64">
            <w:pPr>
              <w:pStyle w:val="ListParagraph"/>
              <w:numPr>
                <w:ilvl w:val="0"/>
                <w:numId w:val="36"/>
              </w:numPr>
              <w:rPr>
                <w:rFonts w:ascii="Gill Sans" w:hAnsi="Gill Sans" w:cs="Gill Sans"/>
                <w:color w:val="000000"/>
                <w:szCs w:val="22"/>
              </w:rPr>
            </w:pPr>
            <w:r w:rsidRPr="00DF3A64">
              <w:rPr>
                <w:rFonts w:ascii="Gill Sans" w:hAnsi="Gill Sans" w:cs="Gill Sans"/>
                <w:color w:val="000000"/>
                <w:szCs w:val="22"/>
              </w:rPr>
              <w:t>Most believed their teachers = enthusiastic</w:t>
            </w:r>
            <w:r w:rsidR="007A2083" w:rsidRPr="00DF3A64">
              <w:rPr>
                <w:rFonts w:ascii="Gill Sans" w:hAnsi="Gill Sans" w:cs="Gill Sans"/>
                <w:color w:val="000000"/>
                <w:szCs w:val="22"/>
              </w:rPr>
              <w:t xml:space="preserve"> about topic, </w:t>
            </w:r>
            <w:r w:rsidRPr="00DF3A64">
              <w:rPr>
                <w:rFonts w:ascii="Gill Sans" w:hAnsi="Gill Sans" w:cs="Gill Sans"/>
                <w:color w:val="000000"/>
                <w:szCs w:val="22"/>
              </w:rPr>
              <w:t>available to help</w:t>
            </w:r>
            <w:r w:rsidR="007A2083" w:rsidRPr="00DF3A64">
              <w:rPr>
                <w:rFonts w:ascii="Gill Sans" w:hAnsi="Gill Sans" w:cs="Gill Sans"/>
                <w:color w:val="000000"/>
                <w:szCs w:val="22"/>
              </w:rPr>
              <w:t>, give useful feedback</w:t>
            </w:r>
          </w:p>
          <w:p w14:paraId="696B2879" w14:textId="4D2E490B" w:rsidR="007A2083" w:rsidRPr="00DF3A64" w:rsidRDefault="007A2083" w:rsidP="00DF3A64">
            <w:pPr>
              <w:pStyle w:val="ListParagraph"/>
              <w:numPr>
                <w:ilvl w:val="0"/>
                <w:numId w:val="36"/>
              </w:numPr>
              <w:rPr>
                <w:rFonts w:ascii="Gill Sans" w:hAnsi="Gill Sans" w:cs="Gill Sans"/>
                <w:color w:val="000000"/>
                <w:szCs w:val="22"/>
              </w:rPr>
            </w:pPr>
            <w:r w:rsidRPr="00DF3A64">
              <w:rPr>
                <w:rFonts w:ascii="Gill Sans" w:hAnsi="Gill Sans" w:cs="Gill Sans"/>
                <w:color w:val="000000"/>
                <w:szCs w:val="22"/>
              </w:rPr>
              <w:t>Survey data suggest that students = less connected/ making fewer friends</w:t>
            </w:r>
            <w:r w:rsidR="00C80A6D" w:rsidRPr="00DF3A64">
              <w:rPr>
                <w:rFonts w:ascii="Gill Sans" w:hAnsi="Gill Sans" w:cs="Gill Sans"/>
                <w:color w:val="000000"/>
                <w:szCs w:val="22"/>
              </w:rPr>
              <w:t xml:space="preserve"> and lower reported sense of belonging to university community: “The groups of students less likely to feel that they belong to their university community were part-time students; mature age students over 25 years, and full-time students in paid work 16 or more hours per week” (p.532).</w:t>
            </w:r>
          </w:p>
          <w:p w14:paraId="35C982F4" w14:textId="6A823E87" w:rsidR="00C80A6D" w:rsidRDefault="00C80A6D" w:rsidP="006C1FA2">
            <w:pPr>
              <w:rPr>
                <w:rFonts w:ascii="Gill Sans" w:hAnsi="Gill Sans" w:cs="Gill Sans"/>
                <w:i/>
                <w:color w:val="000000"/>
                <w:szCs w:val="22"/>
                <w:lang w:val="en-AU"/>
              </w:rPr>
            </w:pPr>
            <w:r w:rsidRPr="00C80A6D">
              <w:rPr>
                <w:rFonts w:ascii="Gill Sans" w:hAnsi="Gill Sans" w:cs="Gill Sans"/>
                <w:i/>
                <w:color w:val="000000"/>
                <w:szCs w:val="22"/>
                <w:lang w:val="en-AU"/>
              </w:rPr>
              <w:t>Experienc</w:t>
            </w:r>
            <w:r>
              <w:rPr>
                <w:rFonts w:ascii="Gill Sans" w:hAnsi="Gill Sans" w:cs="Gill Sans"/>
                <w:i/>
                <w:color w:val="000000"/>
                <w:szCs w:val="22"/>
                <w:lang w:val="en-AU"/>
              </w:rPr>
              <w:t>e of low ATAR students</w:t>
            </w:r>
            <w:r w:rsidR="00DF3A64">
              <w:rPr>
                <w:rFonts w:ascii="Gill Sans" w:hAnsi="Gill Sans" w:cs="Gill Sans"/>
                <w:i/>
                <w:color w:val="000000"/>
                <w:szCs w:val="22"/>
                <w:lang w:val="en-AU"/>
              </w:rPr>
              <w:t xml:space="preserve"> (lower than 70)</w:t>
            </w:r>
          </w:p>
          <w:p w14:paraId="71827841" w14:textId="77777777" w:rsidR="007B138E" w:rsidRDefault="00DF3A64" w:rsidP="00DF3A64">
            <w:pPr>
              <w:rPr>
                <w:rFonts w:ascii="Gill Sans" w:hAnsi="Gill Sans" w:cs="Gill Sans"/>
                <w:color w:val="000000"/>
                <w:szCs w:val="22"/>
              </w:rPr>
            </w:pPr>
            <w:r w:rsidRPr="00DF3A64">
              <w:rPr>
                <w:rFonts w:ascii="Gill Sans" w:hAnsi="Gill Sans" w:cs="Gill Sans"/>
                <w:color w:val="000000"/>
                <w:szCs w:val="22"/>
                <w:lang w:val="en-AU"/>
              </w:rPr>
              <w:t>“</w:t>
            </w:r>
            <w:r w:rsidRPr="00DF3A64">
              <w:rPr>
                <w:rFonts w:ascii="Gill Sans" w:hAnsi="Gill Sans" w:cs="Gill Sans"/>
                <w:color w:val="000000"/>
                <w:szCs w:val="22"/>
              </w:rPr>
              <w:t>Of the 774 school leavers who had entered university with an ATAR score, 134 (17.3%)</w:t>
            </w:r>
            <w:r>
              <w:rPr>
                <w:rFonts w:ascii="Gill Sans" w:hAnsi="Gill Sans" w:cs="Gill Sans"/>
                <w:color w:val="000000"/>
                <w:szCs w:val="22"/>
              </w:rPr>
              <w:t xml:space="preserve"> </w:t>
            </w:r>
            <w:r w:rsidRPr="00DF3A64">
              <w:rPr>
                <w:rFonts w:ascii="Gill Sans" w:hAnsi="Gill Sans" w:cs="Gill Sans"/>
                <w:color w:val="000000"/>
                <w:szCs w:val="22"/>
              </w:rPr>
              <w:t>were in the ‘low ATAR group’, with 60 students (or 7.7%) entering with ATAR scores under 60</w:t>
            </w:r>
            <w:r>
              <w:rPr>
                <w:rFonts w:ascii="Gill Sans" w:hAnsi="Gill Sans" w:cs="Gill Sans"/>
                <w:color w:val="000000"/>
                <w:szCs w:val="22"/>
              </w:rPr>
              <w:t>” (p.532)</w:t>
            </w:r>
            <w:r w:rsidR="007B138E">
              <w:rPr>
                <w:rFonts w:ascii="Gill Sans" w:hAnsi="Gill Sans" w:cs="Gill Sans"/>
                <w:color w:val="000000"/>
                <w:szCs w:val="22"/>
              </w:rPr>
              <w:t>. Average ATAR in this group = 59</w:t>
            </w:r>
          </w:p>
          <w:p w14:paraId="29CDF08B" w14:textId="77777777" w:rsidR="007B138E" w:rsidRDefault="007B138E" w:rsidP="00DF3A64">
            <w:pPr>
              <w:rPr>
                <w:rFonts w:ascii="Gill Sans" w:hAnsi="Gill Sans" w:cs="Gill Sans"/>
                <w:color w:val="000000"/>
                <w:szCs w:val="22"/>
              </w:rPr>
            </w:pPr>
            <w:r>
              <w:rPr>
                <w:rFonts w:ascii="Gill Sans" w:hAnsi="Gill Sans" w:cs="Gill Sans"/>
                <w:color w:val="000000"/>
                <w:szCs w:val="22"/>
              </w:rPr>
              <w:t>Low ATAR students = more likely to belong to number of equity groups/ categories:</w:t>
            </w:r>
          </w:p>
          <w:p w14:paraId="62BADE89" w14:textId="77777777" w:rsidR="007B138E" w:rsidRPr="004A17C9" w:rsidRDefault="007B138E" w:rsidP="004A17C9">
            <w:pPr>
              <w:pStyle w:val="ListParagraph"/>
              <w:numPr>
                <w:ilvl w:val="0"/>
                <w:numId w:val="37"/>
              </w:numPr>
              <w:rPr>
                <w:rFonts w:ascii="Gill Sans" w:hAnsi="Gill Sans" w:cs="Gill Sans"/>
                <w:color w:val="000000"/>
                <w:szCs w:val="22"/>
              </w:rPr>
            </w:pPr>
            <w:r w:rsidRPr="004A17C9">
              <w:rPr>
                <w:rFonts w:ascii="Gill Sans" w:hAnsi="Gill Sans" w:cs="Gill Sans"/>
                <w:color w:val="000000"/>
                <w:szCs w:val="22"/>
              </w:rPr>
              <w:t>9% = students with a disability</w:t>
            </w:r>
          </w:p>
          <w:p w14:paraId="38F2A13E" w14:textId="49BB12E6" w:rsidR="00423007" w:rsidRPr="004A17C9" w:rsidRDefault="00423007" w:rsidP="004A17C9">
            <w:pPr>
              <w:pStyle w:val="ListParagraph"/>
              <w:numPr>
                <w:ilvl w:val="0"/>
                <w:numId w:val="37"/>
              </w:numPr>
              <w:rPr>
                <w:rFonts w:ascii="Gill Sans" w:hAnsi="Gill Sans" w:cs="Gill Sans"/>
                <w:color w:val="000000"/>
                <w:szCs w:val="22"/>
              </w:rPr>
            </w:pPr>
            <w:r w:rsidRPr="004A17C9">
              <w:rPr>
                <w:rFonts w:ascii="Gill Sans" w:hAnsi="Gill Sans" w:cs="Gill Sans"/>
                <w:color w:val="000000"/>
                <w:szCs w:val="22"/>
              </w:rPr>
              <w:t>45% = from rural areas (compared to 19% of high ATAR students)</w:t>
            </w:r>
          </w:p>
          <w:p w14:paraId="508A83E7" w14:textId="77777777" w:rsidR="00423007" w:rsidRPr="004A17C9" w:rsidRDefault="00423007" w:rsidP="004A17C9">
            <w:pPr>
              <w:pStyle w:val="ListParagraph"/>
              <w:numPr>
                <w:ilvl w:val="0"/>
                <w:numId w:val="37"/>
              </w:numPr>
              <w:rPr>
                <w:rFonts w:ascii="Gill Sans" w:hAnsi="Gill Sans" w:cs="Gill Sans"/>
                <w:color w:val="000000"/>
                <w:szCs w:val="22"/>
              </w:rPr>
            </w:pPr>
            <w:r w:rsidRPr="004A17C9">
              <w:rPr>
                <w:rFonts w:ascii="Gill Sans" w:hAnsi="Gill Sans" w:cs="Gill Sans"/>
                <w:color w:val="000000"/>
                <w:szCs w:val="22"/>
              </w:rPr>
              <w:t>More likely to be from low SES backgrounds (57% compared to 30% using parental education as measure)</w:t>
            </w:r>
          </w:p>
          <w:p w14:paraId="11B408A1" w14:textId="77777777" w:rsidR="007C15CD" w:rsidRPr="004A17C9" w:rsidRDefault="00423007" w:rsidP="004A17C9">
            <w:pPr>
              <w:pStyle w:val="ListParagraph"/>
              <w:numPr>
                <w:ilvl w:val="0"/>
                <w:numId w:val="37"/>
              </w:numPr>
              <w:rPr>
                <w:rFonts w:ascii="Gill Sans" w:hAnsi="Gill Sans" w:cs="Gill Sans"/>
                <w:color w:val="000000"/>
                <w:szCs w:val="22"/>
              </w:rPr>
            </w:pPr>
            <w:r w:rsidRPr="004A17C9">
              <w:rPr>
                <w:rFonts w:ascii="Gill Sans" w:hAnsi="Gill Sans" w:cs="Gill Sans"/>
                <w:color w:val="000000"/>
                <w:szCs w:val="22"/>
              </w:rPr>
              <w:t>More likely to be first in family (45% compared to 22%)</w:t>
            </w:r>
          </w:p>
          <w:p w14:paraId="54B5217F" w14:textId="77777777" w:rsidR="006615C8" w:rsidRPr="004A17C9" w:rsidRDefault="007C15CD" w:rsidP="004A17C9">
            <w:pPr>
              <w:pStyle w:val="ListParagraph"/>
              <w:numPr>
                <w:ilvl w:val="0"/>
                <w:numId w:val="37"/>
              </w:numPr>
              <w:rPr>
                <w:rFonts w:ascii="Gill Sans" w:hAnsi="Gill Sans" w:cs="Gill Sans"/>
                <w:color w:val="000000"/>
                <w:szCs w:val="22"/>
              </w:rPr>
            </w:pPr>
            <w:r w:rsidRPr="004A17C9">
              <w:rPr>
                <w:rFonts w:ascii="Gill Sans" w:hAnsi="Gill Sans" w:cs="Gill Sans"/>
                <w:color w:val="000000"/>
                <w:szCs w:val="22"/>
              </w:rPr>
              <w:t>Students = less prepared; enjoyed their studies less; lower levels of academic engagement; more likely to have difficulties; more likely to consider deferring or withdrawing (26% to 17%)</w:t>
            </w:r>
            <w:r w:rsidR="006615C8" w:rsidRPr="004A17C9">
              <w:rPr>
                <w:rFonts w:ascii="Gill Sans" w:hAnsi="Gill Sans" w:cs="Gill Sans"/>
                <w:color w:val="000000"/>
                <w:szCs w:val="22"/>
              </w:rPr>
              <w:t>.</w:t>
            </w:r>
          </w:p>
          <w:p w14:paraId="2C5B0FD2" w14:textId="2FB081A7" w:rsidR="006615C8" w:rsidRPr="004A17C9" w:rsidRDefault="006615C8" w:rsidP="004A17C9">
            <w:pPr>
              <w:pStyle w:val="ListParagraph"/>
              <w:numPr>
                <w:ilvl w:val="0"/>
                <w:numId w:val="37"/>
              </w:numPr>
              <w:rPr>
                <w:rFonts w:ascii="Gill Sans" w:hAnsi="Gill Sans" w:cs="Gill Sans"/>
                <w:color w:val="000000"/>
                <w:szCs w:val="22"/>
              </w:rPr>
            </w:pPr>
            <w:r w:rsidRPr="004A17C9">
              <w:rPr>
                <w:rFonts w:ascii="Gill Sans" w:hAnsi="Gill Sans" w:cs="Gill Sans"/>
                <w:color w:val="000000"/>
                <w:szCs w:val="22"/>
              </w:rPr>
              <w:t>Less likely to engage in orientation activities</w:t>
            </w:r>
            <w:r w:rsidR="007E113E" w:rsidRPr="004A17C9">
              <w:rPr>
                <w:rFonts w:ascii="Gill Sans" w:hAnsi="Gill Sans" w:cs="Gill Sans"/>
                <w:color w:val="000000"/>
                <w:szCs w:val="22"/>
              </w:rPr>
              <w:t>/ feel prepared by orientation</w:t>
            </w:r>
          </w:p>
          <w:p w14:paraId="216AA54F" w14:textId="77777777" w:rsidR="007E113E" w:rsidRPr="004A17C9" w:rsidRDefault="006615C8" w:rsidP="004A17C9">
            <w:pPr>
              <w:pStyle w:val="ListParagraph"/>
              <w:numPr>
                <w:ilvl w:val="0"/>
                <w:numId w:val="37"/>
              </w:numPr>
              <w:rPr>
                <w:rFonts w:ascii="Gill Sans" w:hAnsi="Gill Sans" w:cs="Gill Sans"/>
                <w:color w:val="000000"/>
                <w:szCs w:val="22"/>
              </w:rPr>
            </w:pPr>
            <w:r w:rsidRPr="004A17C9">
              <w:rPr>
                <w:rFonts w:ascii="Gill Sans" w:hAnsi="Gill Sans" w:cs="Gill Sans"/>
                <w:color w:val="000000"/>
                <w:szCs w:val="22"/>
              </w:rPr>
              <w:t xml:space="preserve">40% of low ATAR students had not expected to get an offer, more so for students with an ATAR of </w:t>
            </w:r>
            <w:r w:rsidRPr="004A17C9">
              <w:rPr>
                <w:rFonts w:ascii="Gill Sans" w:hAnsi="Gill Sans" w:cs="Gill Sans"/>
                <w:color w:val="000000"/>
                <w:szCs w:val="22"/>
              </w:rPr>
              <w:lastRenderedPageBreak/>
              <w:t>less than 60</w:t>
            </w:r>
          </w:p>
          <w:p w14:paraId="27AE7394" w14:textId="77777777" w:rsidR="002D1F08" w:rsidRPr="004A17C9" w:rsidRDefault="007E113E" w:rsidP="004A17C9">
            <w:pPr>
              <w:rPr>
                <w:rFonts w:ascii="Gill Sans" w:hAnsi="Gill Sans" w:cs="Gill Sans"/>
                <w:color w:val="000000"/>
                <w:szCs w:val="22"/>
              </w:rPr>
            </w:pPr>
            <w:r w:rsidRPr="004A17C9">
              <w:rPr>
                <w:rFonts w:ascii="Gill Sans" w:hAnsi="Gill Sans" w:cs="Gill Sans"/>
                <w:color w:val="000000"/>
                <w:szCs w:val="22"/>
              </w:rPr>
              <w:t>No significant difference in terms of considering change of course between low and higher ATAR</w:t>
            </w:r>
          </w:p>
          <w:p w14:paraId="4E093DD8" w14:textId="77777777" w:rsidR="002D1F08" w:rsidRPr="004A17C9" w:rsidRDefault="002D1F08" w:rsidP="004A17C9">
            <w:pPr>
              <w:pStyle w:val="ListParagraph"/>
              <w:numPr>
                <w:ilvl w:val="0"/>
                <w:numId w:val="37"/>
              </w:numPr>
              <w:rPr>
                <w:rFonts w:ascii="Gill Sans" w:hAnsi="Gill Sans" w:cs="Gill Sans"/>
                <w:color w:val="000000"/>
                <w:szCs w:val="22"/>
              </w:rPr>
            </w:pPr>
            <w:r w:rsidRPr="004A17C9">
              <w:rPr>
                <w:rFonts w:ascii="Gill Sans" w:hAnsi="Gill Sans" w:cs="Gill Sans"/>
                <w:color w:val="000000"/>
                <w:szCs w:val="22"/>
              </w:rPr>
              <w:t xml:space="preserve">Lower ATAR students got lower marks, but outperformed own </w:t>
            </w:r>
            <w:proofErr w:type="gramStart"/>
            <w:r w:rsidRPr="004A17C9">
              <w:rPr>
                <w:rFonts w:ascii="Gill Sans" w:hAnsi="Gill Sans" w:cs="Gill Sans"/>
                <w:color w:val="000000"/>
                <w:szCs w:val="22"/>
              </w:rPr>
              <w:t>expectations..</w:t>
            </w:r>
            <w:proofErr w:type="gramEnd"/>
          </w:p>
          <w:p w14:paraId="393CA64F" w14:textId="77777777" w:rsidR="002D1F08" w:rsidRPr="004A17C9" w:rsidRDefault="002D1F08" w:rsidP="004A17C9">
            <w:pPr>
              <w:pStyle w:val="ListParagraph"/>
              <w:numPr>
                <w:ilvl w:val="0"/>
                <w:numId w:val="37"/>
              </w:numPr>
              <w:rPr>
                <w:rFonts w:ascii="Gill Sans" w:hAnsi="Gill Sans" w:cs="Gill Sans"/>
                <w:color w:val="000000"/>
                <w:szCs w:val="22"/>
              </w:rPr>
            </w:pPr>
            <w:r w:rsidRPr="004A17C9">
              <w:rPr>
                <w:rFonts w:ascii="Gill Sans" w:hAnsi="Gill Sans" w:cs="Gill Sans"/>
                <w:color w:val="000000"/>
                <w:szCs w:val="22"/>
              </w:rPr>
              <w:t>Lower ATAR students = less academically engaged:</w:t>
            </w:r>
          </w:p>
          <w:p w14:paraId="2F03DEB1" w14:textId="77777777" w:rsidR="002D1F08" w:rsidRPr="004A17C9" w:rsidRDefault="002D1F08" w:rsidP="004A17C9">
            <w:pPr>
              <w:pStyle w:val="ListParagraph"/>
              <w:numPr>
                <w:ilvl w:val="0"/>
                <w:numId w:val="37"/>
              </w:numPr>
              <w:rPr>
                <w:rFonts w:ascii="Gill Sans" w:hAnsi="Gill Sans" w:cs="Gill Sans"/>
                <w:color w:val="000000"/>
                <w:szCs w:val="22"/>
              </w:rPr>
            </w:pPr>
            <w:r w:rsidRPr="004A17C9">
              <w:rPr>
                <w:rFonts w:ascii="Gill Sans" w:hAnsi="Gill Sans" w:cs="Gill Sans"/>
                <w:color w:val="000000"/>
                <w:szCs w:val="22"/>
              </w:rPr>
              <w:t>More likely to find content challenging</w:t>
            </w:r>
          </w:p>
          <w:p w14:paraId="6B074C37" w14:textId="77777777" w:rsidR="00043C5F" w:rsidRPr="004A17C9" w:rsidRDefault="00043C5F" w:rsidP="004A17C9">
            <w:pPr>
              <w:pStyle w:val="ListParagraph"/>
              <w:numPr>
                <w:ilvl w:val="0"/>
                <w:numId w:val="37"/>
              </w:numPr>
              <w:rPr>
                <w:rFonts w:ascii="Gill Sans" w:hAnsi="Gill Sans" w:cs="Gill Sans"/>
                <w:color w:val="000000"/>
                <w:szCs w:val="22"/>
              </w:rPr>
            </w:pPr>
            <w:r w:rsidRPr="004A17C9">
              <w:rPr>
                <w:rFonts w:ascii="Gill Sans" w:hAnsi="Gill Sans" w:cs="Gill Sans"/>
                <w:color w:val="000000"/>
                <w:szCs w:val="22"/>
              </w:rPr>
              <w:t>Less likely to feel confident in managing workload/ time/ schedules</w:t>
            </w:r>
          </w:p>
          <w:p w14:paraId="3F097707" w14:textId="77777777" w:rsidR="004A17C9" w:rsidRPr="004A17C9" w:rsidRDefault="00043C5F" w:rsidP="004A17C9">
            <w:pPr>
              <w:pStyle w:val="ListParagraph"/>
              <w:numPr>
                <w:ilvl w:val="0"/>
                <w:numId w:val="37"/>
              </w:numPr>
              <w:rPr>
                <w:rFonts w:ascii="Gill Sans" w:hAnsi="Gill Sans" w:cs="Gill Sans"/>
                <w:color w:val="000000"/>
                <w:szCs w:val="22"/>
              </w:rPr>
            </w:pPr>
            <w:r w:rsidRPr="004A17C9">
              <w:rPr>
                <w:rFonts w:ascii="Gill Sans" w:hAnsi="Gill Sans" w:cs="Gill Sans"/>
                <w:color w:val="000000"/>
                <w:szCs w:val="22"/>
              </w:rPr>
              <w:t>More likely to consider deferring because of a fear of failure.</w:t>
            </w:r>
          </w:p>
          <w:p w14:paraId="680BD6C2" w14:textId="5CECE45E" w:rsidR="00BA63CB" w:rsidRPr="004A17C9" w:rsidRDefault="00833BC8" w:rsidP="00450B65">
            <w:pPr>
              <w:rPr>
                <w:rFonts w:ascii="Gill Sans" w:hAnsi="Gill Sans" w:cs="Gill Sans"/>
                <w:color w:val="000000"/>
                <w:szCs w:val="22"/>
              </w:rPr>
            </w:pPr>
            <w:r w:rsidRPr="004A17C9">
              <w:rPr>
                <w:rFonts w:ascii="Gill Sans" w:hAnsi="Gill Sans" w:cs="Gill Sans"/>
                <w:b/>
                <w:color w:val="000000"/>
                <w:szCs w:val="22"/>
                <w:lang w:val="en-AU"/>
              </w:rPr>
              <w:t>Core argument:</w:t>
            </w:r>
            <w:r w:rsidR="004A17C9">
              <w:rPr>
                <w:rFonts w:ascii="Gill Sans" w:hAnsi="Gill Sans" w:cs="Gill Sans"/>
                <w:b/>
                <w:color w:val="000000"/>
                <w:szCs w:val="22"/>
                <w:lang w:val="en-AU"/>
              </w:rPr>
              <w:t xml:space="preserve"> </w:t>
            </w:r>
            <w:r w:rsidR="004A17C9">
              <w:rPr>
                <w:rFonts w:ascii="Gill Sans" w:hAnsi="Gill Sans" w:cs="Gill Sans"/>
                <w:color w:val="000000"/>
                <w:szCs w:val="22"/>
                <w:lang w:val="en-AU"/>
              </w:rPr>
              <w:t>Lower ATAR students = “</w:t>
            </w:r>
            <w:r w:rsidR="004A17C9" w:rsidRPr="004A17C9">
              <w:rPr>
                <w:rFonts w:ascii="Gill Sans" w:hAnsi="Gill Sans" w:cs="Gill Sans"/>
                <w:color w:val="000000"/>
                <w:szCs w:val="22"/>
              </w:rPr>
              <w:t>more</w:t>
            </w:r>
            <w:r w:rsidR="004A17C9">
              <w:rPr>
                <w:rFonts w:ascii="Gill Sans" w:hAnsi="Gill Sans" w:cs="Gill Sans"/>
                <w:color w:val="000000"/>
                <w:szCs w:val="22"/>
              </w:rPr>
              <w:t xml:space="preserve"> </w:t>
            </w:r>
            <w:r w:rsidR="004A17C9" w:rsidRPr="004A17C9">
              <w:rPr>
                <w:rFonts w:ascii="Gill Sans" w:hAnsi="Gill Sans" w:cs="Gill Sans"/>
                <w:color w:val="000000"/>
                <w:szCs w:val="22"/>
              </w:rPr>
              <w:t>likely to be disillusioned with their course and are at greater risk of attrition</w:t>
            </w:r>
            <w:r w:rsidR="004A17C9">
              <w:rPr>
                <w:rFonts w:ascii="Gill Sans" w:hAnsi="Gill Sans" w:cs="Gill Sans"/>
                <w:color w:val="000000"/>
                <w:szCs w:val="22"/>
              </w:rPr>
              <w:t>” (p.535)</w:t>
            </w:r>
            <w:r w:rsidR="007C7AE8">
              <w:rPr>
                <w:rFonts w:ascii="Gill Sans" w:hAnsi="Gill Sans" w:cs="Gill Sans"/>
                <w:color w:val="000000"/>
                <w:szCs w:val="22"/>
              </w:rPr>
              <w:t>. Need for universities to do more to support these students</w:t>
            </w:r>
            <w:r w:rsidR="00450B65">
              <w:rPr>
                <w:rFonts w:ascii="Gill Sans" w:hAnsi="Gill Sans" w:cs="Gill Sans"/>
                <w:color w:val="000000"/>
                <w:szCs w:val="22"/>
              </w:rPr>
              <w:t xml:space="preserve"> as a whole-of-curriculum approach</w:t>
            </w:r>
            <w:r w:rsidR="007C7AE8">
              <w:rPr>
                <w:rFonts w:ascii="Gill Sans" w:hAnsi="Gill Sans" w:cs="Gill Sans"/>
                <w:color w:val="000000"/>
                <w:szCs w:val="22"/>
              </w:rPr>
              <w:t xml:space="preserve">, such as considering </w:t>
            </w:r>
            <w:r w:rsidR="00450B65">
              <w:rPr>
                <w:rFonts w:ascii="Gill Sans" w:hAnsi="Gill Sans" w:cs="Gill Sans"/>
                <w:color w:val="000000"/>
                <w:szCs w:val="22"/>
              </w:rPr>
              <w:t xml:space="preserve">pre-bachelor/ </w:t>
            </w:r>
            <w:r w:rsidR="007C7AE8">
              <w:rPr>
                <w:rFonts w:ascii="Gill Sans" w:hAnsi="Gill Sans" w:cs="Gill Sans"/>
                <w:color w:val="000000"/>
                <w:szCs w:val="22"/>
              </w:rPr>
              <w:t>preparatory courses</w:t>
            </w:r>
            <w:r w:rsidR="00450B65">
              <w:rPr>
                <w:rFonts w:ascii="Gill Sans" w:hAnsi="Gill Sans" w:cs="Gill Sans"/>
                <w:color w:val="000000"/>
                <w:szCs w:val="22"/>
              </w:rPr>
              <w:t>. Overall, authors argue “</w:t>
            </w:r>
            <w:r w:rsidR="00450B65" w:rsidRPr="00450B65">
              <w:rPr>
                <w:rFonts w:ascii="Gill Sans" w:hAnsi="Gill Sans" w:cs="Gill Sans"/>
                <w:color w:val="000000"/>
                <w:szCs w:val="22"/>
              </w:rPr>
              <w:t>it will be essential for institutions to monitor the</w:t>
            </w:r>
            <w:r w:rsidR="00450B65">
              <w:rPr>
                <w:rFonts w:ascii="Gill Sans" w:hAnsi="Gill Sans" w:cs="Gill Sans"/>
                <w:color w:val="000000"/>
                <w:szCs w:val="22"/>
              </w:rPr>
              <w:t xml:space="preserve"> </w:t>
            </w:r>
            <w:r w:rsidR="00450B65" w:rsidRPr="00450B65">
              <w:rPr>
                <w:rFonts w:ascii="Gill Sans" w:hAnsi="Gill Sans" w:cs="Gill Sans"/>
                <w:color w:val="000000"/>
                <w:szCs w:val="22"/>
              </w:rPr>
              <w:t>experience of distinctive student subgroups and develop research-based strategies to ensure that students</w:t>
            </w:r>
            <w:r w:rsidR="00450B65">
              <w:rPr>
                <w:rFonts w:ascii="Gill Sans" w:hAnsi="Gill Sans" w:cs="Gill Sans"/>
                <w:color w:val="000000"/>
                <w:szCs w:val="22"/>
              </w:rPr>
              <w:t xml:space="preserve"> </w:t>
            </w:r>
            <w:r w:rsidR="00450B65" w:rsidRPr="00450B65">
              <w:rPr>
                <w:rFonts w:ascii="Gill Sans" w:hAnsi="Gill Sans" w:cs="Gill Sans"/>
                <w:color w:val="000000"/>
                <w:szCs w:val="22"/>
              </w:rPr>
              <w:t>with diverse educational backgrounds are given fair opportunities and support to achieve academic</w:t>
            </w:r>
            <w:r w:rsidR="00450B65">
              <w:rPr>
                <w:rFonts w:ascii="Gill Sans" w:hAnsi="Gill Sans" w:cs="Gill Sans"/>
                <w:color w:val="000000"/>
                <w:szCs w:val="22"/>
              </w:rPr>
              <w:t xml:space="preserve"> </w:t>
            </w:r>
            <w:r w:rsidR="00450B65" w:rsidRPr="00450B65">
              <w:rPr>
                <w:rFonts w:ascii="Gill Sans" w:hAnsi="Gill Sans" w:cs="Gill Sans"/>
                <w:color w:val="000000"/>
                <w:szCs w:val="22"/>
              </w:rPr>
              <w:t>success</w:t>
            </w:r>
            <w:r w:rsidR="00450B65">
              <w:rPr>
                <w:rFonts w:ascii="Gill Sans" w:hAnsi="Gill Sans" w:cs="Gill Sans"/>
                <w:color w:val="000000"/>
                <w:szCs w:val="22"/>
              </w:rPr>
              <w:t>” (p.536).</w:t>
            </w:r>
          </w:p>
        </w:tc>
      </w:tr>
      <w:tr w:rsidR="0062787C" w:rsidRPr="00076E76" w14:paraId="74EFD0B8" w14:textId="77777777" w:rsidTr="00A53006">
        <w:tc>
          <w:tcPr>
            <w:tcW w:w="5529" w:type="dxa"/>
            <w:shd w:val="clear" w:color="auto" w:fill="auto"/>
          </w:tcPr>
          <w:p w14:paraId="774E2814" w14:textId="42830936" w:rsidR="0062787C" w:rsidRPr="00CE491C" w:rsidRDefault="0062787C" w:rsidP="008A16D2">
            <w:pPr>
              <w:rPr>
                <w:rFonts w:ascii="Gill Sans" w:eastAsiaTheme="minorHAnsi" w:hAnsi="Gill Sans" w:cs="Gill Sans"/>
                <w:szCs w:val="22"/>
                <w:lang w:val="en-GB"/>
              </w:rPr>
            </w:pPr>
            <w:r w:rsidRPr="00076E76">
              <w:rPr>
                <w:rFonts w:ascii="Gill Sans" w:eastAsiaTheme="minorHAnsi" w:hAnsi="Gill Sans" w:cs="Gill Sans"/>
                <w:szCs w:val="22"/>
                <w:lang w:val="en-GB"/>
              </w:rPr>
              <w:lastRenderedPageBreak/>
              <w:t xml:space="preserve">Baker, S. (2018). </w:t>
            </w:r>
            <w:hyperlink r:id="rId15" w:history="1">
              <w:r w:rsidR="00BA343E" w:rsidRPr="00CE491C">
                <w:rPr>
                  <w:rStyle w:val="Hyperlink"/>
                  <w:rFonts w:ascii="Gill Sans" w:eastAsiaTheme="minorHAnsi" w:hAnsi="Gill Sans" w:cs="Gill Sans"/>
                  <w:szCs w:val="22"/>
                  <w:lang w:val="en-GB"/>
                </w:rPr>
                <w:t>Shifts in the treatment of knowledge in academic reading and writing: Adding complexity to students’ transitions between A-levels and university in the UK</w:t>
              </w:r>
            </w:hyperlink>
            <w:r w:rsidR="00BA343E" w:rsidRPr="00076E76">
              <w:rPr>
                <w:rFonts w:ascii="Gill Sans" w:eastAsiaTheme="minorHAnsi" w:hAnsi="Gill Sans" w:cs="Gill Sans"/>
                <w:szCs w:val="22"/>
                <w:lang w:val="en-GB"/>
              </w:rPr>
              <w:t xml:space="preserve">, </w:t>
            </w:r>
            <w:r w:rsidR="00BA343E" w:rsidRPr="00076E76">
              <w:rPr>
                <w:rFonts w:ascii="Gill Sans" w:eastAsiaTheme="minorHAnsi" w:hAnsi="Gill Sans" w:cs="Gill Sans"/>
                <w:i/>
                <w:szCs w:val="22"/>
                <w:lang w:val="en-GB"/>
              </w:rPr>
              <w:t xml:space="preserve">Arts &amp; Humanities in Higher Education, </w:t>
            </w:r>
            <w:r w:rsidR="00CE491C">
              <w:rPr>
                <w:rFonts w:ascii="Gill Sans" w:eastAsiaTheme="minorHAnsi" w:hAnsi="Gill Sans" w:cs="Gill Sans"/>
                <w:szCs w:val="22"/>
                <w:lang w:val="en-GB"/>
              </w:rPr>
              <w:t>17(4), 388–409.</w:t>
            </w:r>
          </w:p>
          <w:p w14:paraId="05ED6C85" w14:textId="77777777" w:rsidR="00BA343E" w:rsidRPr="00076E76" w:rsidRDefault="00BA343E" w:rsidP="008A16D2">
            <w:pPr>
              <w:rPr>
                <w:rFonts w:ascii="Gill Sans" w:eastAsiaTheme="minorHAnsi" w:hAnsi="Gill Sans" w:cs="Gill Sans"/>
                <w:i/>
                <w:szCs w:val="22"/>
                <w:lang w:val="en-GB"/>
              </w:rPr>
            </w:pPr>
          </w:p>
          <w:p w14:paraId="07D61001" w14:textId="77777777" w:rsidR="00BA343E" w:rsidRDefault="00BA343E" w:rsidP="008A16D2">
            <w:pPr>
              <w:rPr>
                <w:rFonts w:ascii="Gill Sans" w:eastAsiaTheme="minorHAnsi" w:hAnsi="Gill Sans" w:cs="Gill Sans"/>
                <w:szCs w:val="22"/>
                <w:lang w:val="en-GB"/>
              </w:rPr>
            </w:pPr>
            <w:r w:rsidRPr="00076E76">
              <w:rPr>
                <w:rFonts w:ascii="Gill Sans" w:eastAsiaTheme="minorHAnsi" w:hAnsi="Gill Sans" w:cs="Gill Sans"/>
                <w:szCs w:val="22"/>
                <w:lang w:val="en-GB"/>
              </w:rPr>
              <w:t>UK</w:t>
            </w:r>
          </w:p>
          <w:p w14:paraId="7DE3958A" w14:textId="77777777" w:rsidR="00DE4B10" w:rsidRDefault="00DE4B10" w:rsidP="008A16D2">
            <w:pPr>
              <w:rPr>
                <w:rFonts w:ascii="Gill Sans" w:eastAsiaTheme="minorHAnsi" w:hAnsi="Gill Sans" w:cs="Gill Sans"/>
                <w:szCs w:val="22"/>
                <w:lang w:val="en-GB"/>
              </w:rPr>
            </w:pPr>
            <w:r>
              <w:rPr>
                <w:rFonts w:ascii="Gill Sans" w:eastAsiaTheme="minorHAnsi" w:hAnsi="Gill Sans" w:cs="Gill Sans"/>
                <w:szCs w:val="22"/>
                <w:lang w:val="en-GB"/>
              </w:rPr>
              <w:t xml:space="preserve">Annotation by Anna Xavier </w:t>
            </w:r>
          </w:p>
          <w:p w14:paraId="7ED7DC9B" w14:textId="77777777" w:rsidR="00DE4B10" w:rsidRDefault="00DE4B10" w:rsidP="008A16D2">
            <w:pPr>
              <w:rPr>
                <w:rFonts w:ascii="Gill Sans" w:eastAsiaTheme="minorHAnsi" w:hAnsi="Gill Sans" w:cs="Gill Sans"/>
                <w:szCs w:val="22"/>
                <w:lang w:val="en-GB"/>
              </w:rPr>
            </w:pPr>
          </w:p>
          <w:p w14:paraId="64154BAB" w14:textId="31344790" w:rsidR="00DE4B10" w:rsidRPr="00DE4B10" w:rsidRDefault="00DE4B10" w:rsidP="008A16D2">
            <w:pPr>
              <w:rPr>
                <w:rFonts w:ascii="Gill Sans" w:eastAsiaTheme="minorHAnsi" w:hAnsi="Gill Sans" w:cs="Gill Sans"/>
                <w:i/>
                <w:szCs w:val="22"/>
                <w:lang w:val="en-GB"/>
              </w:rPr>
            </w:pPr>
            <w:r>
              <w:rPr>
                <w:rFonts w:ascii="Gill Sans" w:eastAsiaTheme="minorHAnsi" w:hAnsi="Gill Sans" w:cs="Gill Sans"/>
                <w:szCs w:val="22"/>
                <w:lang w:val="en-GB"/>
              </w:rPr>
              <w:t xml:space="preserve">Keywords: </w:t>
            </w:r>
            <w:r w:rsidRPr="00DE4B10">
              <w:rPr>
                <w:rFonts w:ascii="Gill Sans" w:eastAsiaTheme="minorHAnsi" w:hAnsi="Gill Sans" w:cs="Gill Sans"/>
                <w:i/>
                <w:szCs w:val="22"/>
                <w:lang w:val="en-GB"/>
              </w:rPr>
              <w:t>Transitions</w:t>
            </w:r>
            <w:r>
              <w:rPr>
                <w:rFonts w:ascii="Gill Sans" w:eastAsiaTheme="minorHAnsi" w:hAnsi="Gill Sans" w:cs="Gill Sans"/>
                <w:i/>
                <w:szCs w:val="22"/>
                <w:lang w:val="en-GB"/>
              </w:rPr>
              <w:t>;</w:t>
            </w:r>
            <w:r w:rsidRPr="00DE4B10">
              <w:rPr>
                <w:rFonts w:ascii="Gill Sans" w:eastAsiaTheme="minorHAnsi" w:hAnsi="Gill Sans" w:cs="Gill Sans"/>
                <w:i/>
                <w:szCs w:val="22"/>
                <w:lang w:val="en-GB"/>
              </w:rPr>
              <w:t xml:space="preserve"> students’ writing</w:t>
            </w:r>
            <w:r>
              <w:rPr>
                <w:rFonts w:ascii="Gill Sans" w:eastAsiaTheme="minorHAnsi" w:hAnsi="Gill Sans" w:cs="Gill Sans"/>
                <w:i/>
                <w:szCs w:val="22"/>
                <w:lang w:val="en-GB"/>
              </w:rPr>
              <w:t>;</w:t>
            </w:r>
            <w:r w:rsidRPr="00DE4B10">
              <w:rPr>
                <w:rFonts w:ascii="Gill Sans" w:eastAsiaTheme="minorHAnsi" w:hAnsi="Gill Sans" w:cs="Gill Sans"/>
                <w:i/>
                <w:szCs w:val="22"/>
                <w:lang w:val="en-GB"/>
              </w:rPr>
              <w:t xml:space="preserve"> academic literacies</w:t>
            </w:r>
            <w:r>
              <w:rPr>
                <w:rFonts w:ascii="Gill Sans" w:eastAsiaTheme="minorHAnsi" w:hAnsi="Gill Sans" w:cs="Gill Sans"/>
                <w:i/>
                <w:szCs w:val="22"/>
                <w:lang w:val="en-GB"/>
              </w:rPr>
              <w:t>;</w:t>
            </w:r>
            <w:r w:rsidRPr="00DE4B10">
              <w:rPr>
                <w:rFonts w:ascii="Gill Sans" w:eastAsiaTheme="minorHAnsi" w:hAnsi="Gill Sans" w:cs="Gill Sans"/>
                <w:i/>
                <w:szCs w:val="22"/>
                <w:lang w:val="en-GB"/>
              </w:rPr>
              <w:t xml:space="preserve"> A-levels</w:t>
            </w:r>
            <w:r>
              <w:rPr>
                <w:rFonts w:ascii="Gill Sans" w:eastAsiaTheme="minorHAnsi" w:hAnsi="Gill Sans" w:cs="Gill Sans"/>
                <w:i/>
                <w:szCs w:val="22"/>
                <w:lang w:val="en-GB"/>
              </w:rPr>
              <w:t>;</w:t>
            </w:r>
            <w:r w:rsidRPr="00DE4B10">
              <w:rPr>
                <w:rFonts w:ascii="Gill Sans" w:eastAsiaTheme="minorHAnsi" w:hAnsi="Gill Sans" w:cs="Gill Sans"/>
                <w:i/>
                <w:szCs w:val="22"/>
                <w:lang w:val="en-GB"/>
              </w:rPr>
              <w:t xml:space="preserve"> academic reading</w:t>
            </w:r>
            <w:r>
              <w:rPr>
                <w:rFonts w:ascii="Gill Sans" w:eastAsiaTheme="minorHAnsi" w:hAnsi="Gill Sans" w:cs="Gill Sans"/>
                <w:i/>
                <w:szCs w:val="22"/>
                <w:lang w:val="en-GB"/>
              </w:rPr>
              <w:t>;</w:t>
            </w:r>
            <w:r w:rsidRPr="00DE4B10">
              <w:rPr>
                <w:rFonts w:ascii="Gill Sans" w:eastAsiaTheme="minorHAnsi" w:hAnsi="Gill Sans" w:cs="Gill Sans"/>
                <w:i/>
                <w:szCs w:val="22"/>
                <w:lang w:val="en-GB"/>
              </w:rPr>
              <w:t xml:space="preserve"> higher education</w:t>
            </w:r>
            <w:r>
              <w:rPr>
                <w:rFonts w:ascii="Gill Sans" w:eastAsiaTheme="minorHAnsi" w:hAnsi="Gill Sans" w:cs="Gill Sans"/>
                <w:i/>
                <w:szCs w:val="22"/>
                <w:lang w:val="en-GB"/>
              </w:rPr>
              <w:t>;</w:t>
            </w:r>
            <w:r w:rsidRPr="00DE4B10">
              <w:rPr>
                <w:rFonts w:ascii="Gill Sans" w:eastAsiaTheme="minorHAnsi" w:hAnsi="Gill Sans" w:cs="Gill Sans"/>
                <w:i/>
                <w:szCs w:val="22"/>
                <w:lang w:val="en-GB"/>
              </w:rPr>
              <w:t xml:space="preserve"> knowledge </w:t>
            </w:r>
          </w:p>
        </w:tc>
        <w:tc>
          <w:tcPr>
            <w:tcW w:w="10064" w:type="dxa"/>
          </w:tcPr>
          <w:p w14:paraId="19A6B173" w14:textId="155E079A" w:rsidR="00405388" w:rsidRPr="00405388" w:rsidRDefault="00BA343E" w:rsidP="00405388">
            <w:pPr>
              <w:rPr>
                <w:rFonts w:ascii="Gill Sans" w:hAnsi="Gill Sans" w:cs="Gill Sans"/>
                <w:b/>
                <w:color w:val="000000"/>
                <w:szCs w:val="22"/>
                <w:lang w:val="en-GB"/>
              </w:rPr>
            </w:pPr>
            <w:r w:rsidRPr="00076E76">
              <w:rPr>
                <w:rFonts w:ascii="Gill Sans" w:hAnsi="Gill Sans" w:cs="Gill Sans"/>
                <w:b/>
                <w:color w:val="000000"/>
                <w:szCs w:val="22"/>
                <w:lang w:val="en-AU"/>
              </w:rPr>
              <w:t xml:space="preserve">Context: </w:t>
            </w:r>
            <w:r w:rsidR="00405388" w:rsidRPr="00405388">
              <w:rPr>
                <w:rFonts w:ascii="Gill Sans" w:hAnsi="Gill Sans" w:cs="Gill Sans"/>
                <w:color w:val="000000"/>
                <w:szCs w:val="22"/>
                <w:lang w:val="en-GB"/>
              </w:rPr>
              <w:t xml:space="preserve">Although ‘‘transition’’ is </w:t>
            </w:r>
            <w:r w:rsidR="00405388">
              <w:rPr>
                <w:rFonts w:ascii="Gill Sans" w:hAnsi="Gill Sans" w:cs="Gill Sans"/>
                <w:color w:val="000000"/>
                <w:szCs w:val="22"/>
                <w:lang w:val="en-GB"/>
              </w:rPr>
              <w:t>highly researched area in education</w:t>
            </w:r>
            <w:r w:rsidR="00405388" w:rsidRPr="00405388">
              <w:rPr>
                <w:rFonts w:ascii="Gill Sans" w:hAnsi="Gill Sans" w:cs="Gill Sans"/>
                <w:color w:val="000000"/>
                <w:szCs w:val="22"/>
                <w:lang w:val="en-GB"/>
              </w:rPr>
              <w:t xml:space="preserve">, there has been </w:t>
            </w:r>
            <w:r w:rsidR="00405388">
              <w:rPr>
                <w:rFonts w:ascii="Gill Sans" w:hAnsi="Gill Sans" w:cs="Gill Sans"/>
                <w:color w:val="000000"/>
                <w:szCs w:val="22"/>
                <w:lang w:val="en-GB"/>
              </w:rPr>
              <w:t>limited empirical study</w:t>
            </w:r>
            <w:r w:rsidR="00405388" w:rsidRPr="00405388">
              <w:rPr>
                <w:rFonts w:ascii="Gill Sans" w:hAnsi="Gill Sans" w:cs="Gill Sans"/>
                <w:color w:val="000000"/>
                <w:szCs w:val="22"/>
                <w:lang w:val="en-GB"/>
              </w:rPr>
              <w:t xml:space="preserve"> </w:t>
            </w:r>
            <w:r w:rsidR="00405388">
              <w:rPr>
                <w:rFonts w:ascii="Gill Sans" w:hAnsi="Gill Sans" w:cs="Gill Sans"/>
                <w:color w:val="000000"/>
                <w:szCs w:val="22"/>
                <w:lang w:val="en-GB"/>
              </w:rPr>
              <w:t>on</w:t>
            </w:r>
            <w:r w:rsidR="00405388" w:rsidRPr="00405388">
              <w:rPr>
                <w:rFonts w:ascii="Gill Sans" w:hAnsi="Gill Sans" w:cs="Gill Sans"/>
                <w:color w:val="000000"/>
                <w:szCs w:val="22"/>
                <w:lang w:val="en-GB"/>
              </w:rPr>
              <w:t xml:space="preserve"> how shifts in the ways that knowledge is packaged and valued impact on students’ reading and writing as they transition into </w:t>
            </w:r>
            <w:r w:rsidR="00405388">
              <w:rPr>
                <w:rFonts w:ascii="Gill Sans" w:hAnsi="Gill Sans" w:cs="Gill Sans"/>
                <w:color w:val="000000"/>
                <w:szCs w:val="22"/>
                <w:lang w:val="en-GB"/>
              </w:rPr>
              <w:t>HE</w:t>
            </w:r>
            <w:r w:rsidR="00405388" w:rsidRPr="00405388">
              <w:rPr>
                <w:rFonts w:ascii="Gill Sans" w:hAnsi="Gill Sans" w:cs="Gill Sans"/>
                <w:color w:val="000000"/>
                <w:szCs w:val="22"/>
                <w:lang w:val="en-GB"/>
              </w:rPr>
              <w:t>.</w:t>
            </w:r>
            <w:r w:rsidR="00405388" w:rsidRPr="00405388">
              <w:rPr>
                <w:rFonts w:ascii="Gill Sans" w:hAnsi="Gill Sans" w:cs="Gill Sans"/>
                <w:b/>
                <w:color w:val="000000"/>
                <w:szCs w:val="22"/>
                <w:lang w:val="en-GB"/>
              </w:rPr>
              <w:t xml:space="preserve"> </w:t>
            </w:r>
          </w:p>
          <w:p w14:paraId="2CC11CBB" w14:textId="7B0382CC" w:rsidR="00405388" w:rsidRPr="00405388" w:rsidRDefault="00BA343E" w:rsidP="00405388">
            <w:pPr>
              <w:rPr>
                <w:rFonts w:ascii="Gill Sans" w:hAnsi="Gill Sans" w:cs="Gill Sans"/>
                <w:b/>
                <w:color w:val="000000"/>
                <w:szCs w:val="22"/>
                <w:lang w:val="en-GB"/>
              </w:rPr>
            </w:pPr>
            <w:r w:rsidRPr="00076E76">
              <w:rPr>
                <w:rFonts w:ascii="Gill Sans" w:hAnsi="Gill Sans" w:cs="Gill Sans"/>
                <w:b/>
                <w:color w:val="000000"/>
                <w:szCs w:val="22"/>
                <w:lang w:val="en-AU"/>
              </w:rPr>
              <w:t xml:space="preserve">Aim: </w:t>
            </w:r>
            <w:r w:rsidR="00405388">
              <w:rPr>
                <w:rFonts w:ascii="Gill Sans" w:hAnsi="Gill Sans" w:cs="Gill Sans"/>
                <w:color w:val="000000"/>
                <w:szCs w:val="22"/>
                <w:lang w:val="en-AU"/>
              </w:rPr>
              <w:t>‘</w:t>
            </w:r>
            <w:r w:rsidR="00405388">
              <w:rPr>
                <w:rFonts w:ascii="Gill Sans" w:hAnsi="Gill Sans" w:cs="Gill Sans"/>
                <w:color w:val="000000"/>
                <w:szCs w:val="22"/>
                <w:lang w:val="en-GB"/>
              </w:rPr>
              <w:t>To</w:t>
            </w:r>
            <w:r w:rsidR="00405388" w:rsidRPr="00405388">
              <w:rPr>
                <w:rFonts w:ascii="Gill Sans" w:hAnsi="Gill Sans" w:cs="Gill Sans"/>
                <w:color w:val="000000"/>
                <w:szCs w:val="22"/>
                <w:lang w:val="en-GB"/>
              </w:rPr>
              <w:t xml:space="preserve"> explore the impact of particular ways of packaging disciplinary knowledge on students’ reading and writing transitions as they move from school (A-levels in this case) to undergraduate study</w:t>
            </w:r>
            <w:r w:rsidR="00405388">
              <w:rPr>
                <w:rFonts w:ascii="Gill Sans" w:hAnsi="Gill Sans" w:cs="Gill Sans"/>
                <w:color w:val="000000"/>
                <w:szCs w:val="22"/>
                <w:lang w:val="en-GB"/>
              </w:rPr>
              <w:t>’ (p. 19)</w:t>
            </w:r>
            <w:r w:rsidR="00405388" w:rsidRPr="00405388">
              <w:rPr>
                <w:rFonts w:ascii="Gill Sans" w:hAnsi="Gill Sans" w:cs="Gill Sans"/>
                <w:color w:val="000000"/>
                <w:szCs w:val="22"/>
                <w:lang w:val="en-GB"/>
              </w:rPr>
              <w:t>.</w:t>
            </w:r>
            <w:r w:rsidR="00405388" w:rsidRPr="00405388">
              <w:rPr>
                <w:rFonts w:ascii="Gill Sans" w:hAnsi="Gill Sans" w:cs="Gill Sans"/>
                <w:b/>
                <w:color w:val="000000"/>
                <w:szCs w:val="22"/>
                <w:lang w:val="en-GB"/>
              </w:rPr>
              <w:t xml:space="preserve"> </w:t>
            </w:r>
          </w:p>
          <w:p w14:paraId="58C7B8DC" w14:textId="425C4BAC" w:rsidR="00BA343E" w:rsidRPr="00405388" w:rsidRDefault="00BA343E" w:rsidP="00BA343E">
            <w:pPr>
              <w:rPr>
                <w:rFonts w:ascii="Gill Sans" w:hAnsi="Gill Sans" w:cs="Gill Sans"/>
                <w:color w:val="000000"/>
                <w:szCs w:val="22"/>
                <w:lang w:val="en-AU"/>
              </w:rPr>
            </w:pPr>
            <w:r w:rsidRPr="00076E76">
              <w:rPr>
                <w:rFonts w:ascii="Gill Sans" w:hAnsi="Gill Sans" w:cs="Gill Sans"/>
                <w:b/>
                <w:color w:val="000000"/>
                <w:szCs w:val="22"/>
                <w:lang w:val="en-AU"/>
              </w:rPr>
              <w:t>Theoretical frame:</w:t>
            </w:r>
            <w:r w:rsidR="00405388">
              <w:rPr>
                <w:rFonts w:ascii="Gill Sans" w:hAnsi="Gill Sans" w:cs="Gill Sans"/>
                <w:b/>
                <w:color w:val="000000"/>
                <w:szCs w:val="22"/>
                <w:lang w:val="en-AU"/>
              </w:rPr>
              <w:t xml:space="preserve"> </w:t>
            </w:r>
            <w:r w:rsidR="00405388">
              <w:rPr>
                <w:rFonts w:ascii="Gill Sans" w:hAnsi="Gill Sans" w:cs="Gill Sans"/>
                <w:color w:val="000000"/>
                <w:szCs w:val="22"/>
                <w:lang w:val="en-AU"/>
              </w:rPr>
              <w:t xml:space="preserve">Not specified in study. </w:t>
            </w:r>
          </w:p>
          <w:p w14:paraId="010BC81C" w14:textId="1BB842F9" w:rsidR="00BA343E" w:rsidRPr="00405388" w:rsidRDefault="00BA343E" w:rsidP="00BA343E">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00405388">
              <w:rPr>
                <w:rFonts w:ascii="Gill Sans" w:hAnsi="Gill Sans" w:cs="Gill Sans"/>
                <w:color w:val="000000"/>
                <w:szCs w:val="22"/>
                <w:lang w:val="en-AU"/>
              </w:rPr>
              <w:t>Longitudinal ethnographic approach; Research design: Foregrounded the contexts of production of the participants’ reading &amp; writing, as well as participants “emic” view on literacies; Participants: A-levels students (final year- Year 13, into their second year of undergraduate studies) (n=11); Data collected: Interview talk, students’ texts, Facebook status updates, literacy logs &amp; key curriculum documents from both educational levels; Research setting: Three different A-level providers – 1. Rural comprehensive secondary</w:t>
            </w:r>
            <w:r w:rsidR="00BA22C6">
              <w:rPr>
                <w:rFonts w:ascii="Gill Sans" w:hAnsi="Gill Sans" w:cs="Gill Sans"/>
                <w:color w:val="000000"/>
                <w:szCs w:val="22"/>
                <w:lang w:val="en-AU"/>
              </w:rPr>
              <w:t xml:space="preserve"> state</w:t>
            </w:r>
            <w:r w:rsidR="00405388">
              <w:rPr>
                <w:rFonts w:ascii="Gill Sans" w:hAnsi="Gill Sans" w:cs="Gill Sans"/>
                <w:color w:val="000000"/>
                <w:szCs w:val="22"/>
                <w:lang w:val="en-AU"/>
              </w:rPr>
              <w:t xml:space="preserve"> school (Site 1), 2. </w:t>
            </w:r>
            <w:r w:rsidR="00BA22C6">
              <w:rPr>
                <w:rFonts w:ascii="Gill Sans" w:hAnsi="Gill Sans" w:cs="Gill Sans"/>
                <w:color w:val="000000"/>
                <w:szCs w:val="22"/>
                <w:lang w:val="en-AU"/>
              </w:rPr>
              <w:t xml:space="preserve">Independent boys’ school (Site 2), 3. Further Education (FE) college (Site 3). </w:t>
            </w:r>
          </w:p>
          <w:p w14:paraId="493D1E51" w14:textId="55AD54CE" w:rsidR="00BA22C6" w:rsidRDefault="00BA343E" w:rsidP="00BA22C6">
            <w:pPr>
              <w:rPr>
                <w:rFonts w:ascii="Gill Sans" w:hAnsi="Gill Sans" w:cs="Gill Sans"/>
                <w:color w:val="000000"/>
                <w:szCs w:val="22"/>
                <w:lang w:val="en-GB"/>
              </w:rPr>
            </w:pPr>
            <w:r w:rsidRPr="00076E76">
              <w:rPr>
                <w:rFonts w:ascii="Gill Sans" w:hAnsi="Gill Sans" w:cs="Gill Sans"/>
                <w:b/>
                <w:color w:val="000000"/>
                <w:szCs w:val="22"/>
                <w:lang w:val="en-AU"/>
              </w:rPr>
              <w:t xml:space="preserve">Findings: </w:t>
            </w:r>
            <w:r w:rsidR="00BA22C6">
              <w:rPr>
                <w:rFonts w:ascii="Gill Sans" w:hAnsi="Gill Sans" w:cs="Gill Sans"/>
                <w:color w:val="000000"/>
                <w:szCs w:val="22"/>
                <w:lang w:val="en-AU"/>
              </w:rPr>
              <w:t xml:space="preserve">1) A-level reading: Pre-packaged sources and limited forms of knowledge – all participants utilised limited sources to support A-level learning; Textbooks - principal reading material; Sustained focus on assessment in textbooks – constraints students’ developing literacies (overtly privileges ‘an epistemology of recycling content in “correct” and narrow forms over process’ – students are discouraged from experimenting with their thinking, reading &amp; writing (p. 10); 2) A-level wider reading – Most participants (8) did not read beyond the textbook or materials assigned by teachers; 3 participants utilised school-endorsed publications (to support A-level learning); 3) A-level writing: Texts, practices and assessment – A-level </w:t>
            </w:r>
            <w:r w:rsidR="00BA22C6">
              <w:rPr>
                <w:rFonts w:ascii="Gill Sans" w:hAnsi="Gill Sans" w:cs="Gill Sans"/>
                <w:color w:val="000000"/>
                <w:szCs w:val="22"/>
                <w:lang w:val="en-AU"/>
              </w:rPr>
              <w:lastRenderedPageBreak/>
              <w:t>curricula &amp; assessment are ‘largely uniform’ (p. 12): similar genres of writing observed across institutions (5 categories: ‘</w:t>
            </w:r>
            <w:r w:rsidR="00BA22C6" w:rsidRPr="00BA22C6">
              <w:rPr>
                <w:rFonts w:ascii="Gill Sans" w:hAnsi="Gill Sans" w:cs="Gill Sans"/>
                <w:color w:val="000000"/>
                <w:szCs w:val="22"/>
                <w:lang w:val="en-GB"/>
              </w:rPr>
              <w:t>essays (for Humanities/Social Science subjects); short-answers and calculations (Science, Technology, Engineering and Mathematics—STEM subjects); course- work assignments (English Literature, English Language, History, Chemistry, Biology); translation (Modern Foreign Languages—MFL); and exam-practice questions (all subjects)</w:t>
            </w:r>
            <w:r w:rsidR="00BA22C6">
              <w:rPr>
                <w:rFonts w:ascii="Gill Sans" w:hAnsi="Gill Sans" w:cs="Gill Sans"/>
                <w:color w:val="000000"/>
                <w:szCs w:val="22"/>
                <w:lang w:val="en-GB"/>
              </w:rPr>
              <w:t xml:space="preserve">’ (p. 12); significant difference in writing practices observed in Site 2: in-text citation &amp; referencing was a regular aspect of school-writing practices for two boys; 4)University reading: Broader forms of knowledge written for “expert” audiences </w:t>
            </w:r>
            <w:r w:rsidR="00193BEA">
              <w:rPr>
                <w:rFonts w:ascii="Gill Sans" w:hAnsi="Gill Sans" w:cs="Gill Sans"/>
                <w:color w:val="000000"/>
                <w:szCs w:val="22"/>
                <w:lang w:val="en-GB"/>
              </w:rPr>
              <w:t>–</w:t>
            </w:r>
            <w:r w:rsidR="00BA22C6">
              <w:rPr>
                <w:rFonts w:ascii="Gill Sans" w:hAnsi="Gill Sans" w:cs="Gill Sans"/>
                <w:color w:val="000000"/>
                <w:szCs w:val="22"/>
                <w:lang w:val="en-GB"/>
              </w:rPr>
              <w:t xml:space="preserve"> </w:t>
            </w:r>
            <w:r w:rsidR="00193BEA">
              <w:rPr>
                <w:rFonts w:ascii="Gill Sans" w:hAnsi="Gill Sans" w:cs="Gill Sans"/>
                <w:color w:val="000000"/>
                <w:szCs w:val="22"/>
                <w:lang w:val="en-GB"/>
              </w:rPr>
              <w:t>participants were required to read beyond “core material” provided &amp; utilise “new” texts, including academic books, academic journals, &amp; disciplinary websites (p. 13); academic journals – particularly challenging for participants to adapt to, as they were ‘substantially different’ (p. 13) from types of reading material participants engaged with during their A-levels; participants utilised a range of “new” resources besides journal articles, including disciplinary websites, which presented challenges in types of knowledge students needed to adapt to; 5)University writing: Texts, practices and assessment – More varied than those experienced during A-levels; Types of writing at university described by participants: “The essay”, laboratory reports, “textual analysis”, collaboratively produced academic posters, reflective writing *</w:t>
            </w:r>
            <w:r w:rsidR="00193BEA" w:rsidRPr="00193BEA">
              <w:rPr>
                <w:rFonts w:ascii="Gill Sans" w:hAnsi="Gill Sans" w:cs="Gill Sans"/>
                <w:i/>
                <w:color w:val="000000"/>
                <w:szCs w:val="22"/>
                <w:lang w:val="en-GB"/>
              </w:rPr>
              <w:t>writing varies according to courses</w:t>
            </w:r>
            <w:r w:rsidR="00193BEA">
              <w:rPr>
                <w:rFonts w:ascii="Gill Sans" w:hAnsi="Gill Sans" w:cs="Gill Sans"/>
                <w:i/>
                <w:color w:val="000000"/>
                <w:szCs w:val="22"/>
                <w:lang w:val="en-GB"/>
              </w:rPr>
              <w:t>.</w:t>
            </w:r>
            <w:r w:rsidR="00193BEA">
              <w:rPr>
                <w:rFonts w:ascii="Gill Sans" w:hAnsi="Gill Sans" w:cs="Gill Sans"/>
                <w:color w:val="000000"/>
                <w:szCs w:val="22"/>
                <w:lang w:val="en-GB"/>
              </w:rPr>
              <w:t xml:space="preserve">; the “essay” was the most common type of writing reported by students (10/11); all participants engaged with writing previously not experienced during their A-levels, especially for subjects not studied previously; changes to writing is also observed ‘in terms of “increase”’: number of assignments, word count, number of references and citations, level of independent engagement (p. 16); differences also observed in assessment: in terms of ‘expectations around how knowledge should be constructed, presented and consumed’ (p. 16). </w:t>
            </w:r>
          </w:p>
          <w:p w14:paraId="170C7017" w14:textId="6DF3A4A4" w:rsidR="006E4893" w:rsidRPr="00112614" w:rsidRDefault="00112614" w:rsidP="00BA22C6">
            <w:pPr>
              <w:rPr>
                <w:rFonts w:ascii="Gill Sans" w:hAnsi="Gill Sans" w:cs="Gill Sans"/>
                <w:color w:val="000000"/>
                <w:szCs w:val="22"/>
                <w:lang w:val="en-GB"/>
              </w:rPr>
            </w:pPr>
            <w:r w:rsidRPr="00112614">
              <w:rPr>
                <w:rFonts w:ascii="Gill Sans" w:hAnsi="Gill Sans" w:cs="Gill Sans"/>
                <w:b/>
                <w:color w:val="000000"/>
                <w:szCs w:val="22"/>
                <w:lang w:val="en-GB"/>
              </w:rPr>
              <w:t xml:space="preserve">Discussion: </w:t>
            </w:r>
            <w:r>
              <w:rPr>
                <w:rFonts w:ascii="Gill Sans" w:hAnsi="Gill Sans" w:cs="Gill Sans"/>
                <w:color w:val="000000"/>
                <w:szCs w:val="22"/>
                <w:lang w:val="en-GB"/>
              </w:rPr>
              <w:t>1) Students’ literacies in transition: The formality level &amp; procedures around the production &amp; submission of texts were ‘markedly different’ (p. 17) at the university level, compared to A-level institutions; Participants found the need to adapt their ‘habitual writing practices’ &amp; ‘learning conventions’ (p. 17)</w:t>
            </w:r>
            <w:r w:rsidR="006E4893">
              <w:rPr>
                <w:rFonts w:ascii="Gill Sans" w:hAnsi="Gill Sans" w:cs="Gill Sans"/>
                <w:color w:val="000000"/>
                <w:szCs w:val="22"/>
                <w:lang w:val="en-GB"/>
              </w:rPr>
              <w:t xml:space="preserve"> very challenging; Epistemological level – university writing requires a varying engagement with knowledge, where students develop their own comprehension &amp; ideas, and learn to take risks and be creative; A-levels writing is often treated as a ‘vehicle for content, rather than an epistemological practice that carries meaning, power &amp; identity (Lea &amp; Street, 1998; Lillis &amp; Scott, 2007) (p. 17). 2) Packaging, accessing &amp; privileging different knowledges: Tricky epistemological transitions – stark differences observed in the treatment &amp; knowledge of participants at A-level and at university; reading was a ‘largely invisible’ aspect of A-level writing, while at university level, reading is significantly more valuable, and is made ‘a visible component’ of the writing process via inclusion as an assessment criterion (p. 18); These differences therefore form the ‘core of disconnections between school and university learning’, therefore framing “transition-related” issues as ‘essentially </w:t>
            </w:r>
            <w:r w:rsidR="006E4893">
              <w:rPr>
                <w:rFonts w:ascii="Gill Sans" w:hAnsi="Gill Sans" w:cs="Gill Sans"/>
                <w:color w:val="000000"/>
                <w:szCs w:val="22"/>
                <w:lang w:val="en-GB"/>
              </w:rPr>
              <w:lastRenderedPageBreak/>
              <w:t>epistemological’ (p. 18).</w:t>
            </w:r>
          </w:p>
          <w:p w14:paraId="2004D86F" w14:textId="505B3281" w:rsidR="0062787C" w:rsidRPr="00112614" w:rsidRDefault="00BA343E" w:rsidP="00BA343E">
            <w:pPr>
              <w:rPr>
                <w:rFonts w:ascii="Gill Sans" w:hAnsi="Gill Sans" w:cs="Gill Sans"/>
                <w:color w:val="000000"/>
                <w:szCs w:val="22"/>
                <w:lang w:val="en-GB"/>
              </w:rPr>
            </w:pPr>
            <w:r w:rsidRPr="00076E76">
              <w:rPr>
                <w:rFonts w:ascii="Gill Sans" w:hAnsi="Gill Sans" w:cs="Gill Sans"/>
                <w:b/>
                <w:color w:val="000000"/>
                <w:szCs w:val="22"/>
                <w:lang w:val="en-AU"/>
              </w:rPr>
              <w:t>Core argument:</w:t>
            </w:r>
            <w:r w:rsidR="00193BEA">
              <w:rPr>
                <w:rFonts w:ascii="Gill Sans" w:hAnsi="Gill Sans" w:cs="Gill Sans"/>
                <w:b/>
                <w:color w:val="000000"/>
                <w:szCs w:val="22"/>
                <w:lang w:val="en-AU"/>
              </w:rPr>
              <w:t xml:space="preserve"> </w:t>
            </w:r>
            <w:r w:rsidR="00193BEA">
              <w:rPr>
                <w:rFonts w:ascii="Gill Sans" w:hAnsi="Gill Sans" w:cs="Gill Sans"/>
                <w:color w:val="000000"/>
                <w:szCs w:val="22"/>
                <w:lang w:val="en-AU"/>
              </w:rPr>
              <w:t>‘</w:t>
            </w:r>
            <w:r w:rsidR="00193BEA" w:rsidRPr="00193BEA">
              <w:rPr>
                <w:rFonts w:ascii="Gill Sans" w:hAnsi="Gill Sans" w:cs="Gill Sans"/>
                <w:color w:val="000000"/>
                <w:szCs w:val="22"/>
                <w:lang w:val="en-GB"/>
              </w:rPr>
              <w:t>Knowledge—as packaged in examination-board produced textbooks and magazines—is treated as a given at A-levels, yet it is treated as something to be located and constructed at university</w:t>
            </w:r>
            <w:r w:rsidR="00193BEA">
              <w:rPr>
                <w:rFonts w:ascii="Gill Sans" w:hAnsi="Gill Sans" w:cs="Gill Sans"/>
                <w:color w:val="000000"/>
                <w:szCs w:val="22"/>
                <w:lang w:val="en-GB"/>
              </w:rPr>
              <w:t>’ (p. 18)</w:t>
            </w:r>
            <w:r w:rsidR="00193BEA" w:rsidRPr="00193BEA">
              <w:rPr>
                <w:rFonts w:ascii="Gill Sans" w:hAnsi="Gill Sans" w:cs="Gill Sans"/>
                <w:color w:val="000000"/>
                <w:szCs w:val="22"/>
                <w:lang w:val="en-GB"/>
              </w:rPr>
              <w:t>.</w:t>
            </w:r>
            <w:r w:rsidR="00193BEA" w:rsidRPr="00193BEA">
              <w:rPr>
                <w:rFonts w:ascii="Gill Sans" w:hAnsi="Gill Sans" w:cs="Gill Sans"/>
                <w:b/>
                <w:color w:val="000000"/>
                <w:szCs w:val="22"/>
                <w:lang w:val="en-GB"/>
              </w:rPr>
              <w:t xml:space="preserve"> </w:t>
            </w:r>
            <w:r w:rsidR="00112614">
              <w:rPr>
                <w:rFonts w:ascii="Gill Sans" w:hAnsi="Gill Sans" w:cs="Gill Sans"/>
                <w:color w:val="000000"/>
                <w:szCs w:val="22"/>
                <w:lang w:val="en-GB"/>
              </w:rPr>
              <w:t>However, ‘l</w:t>
            </w:r>
            <w:r w:rsidR="00112614" w:rsidRPr="00112614">
              <w:rPr>
                <w:rFonts w:ascii="Gill Sans" w:hAnsi="Gill Sans" w:cs="Gill Sans"/>
                <w:color w:val="000000"/>
                <w:szCs w:val="22"/>
                <w:lang w:val="en-GB"/>
              </w:rPr>
              <w:t xml:space="preserve">imited attention has been paid to the underpinning elements of academic writing, namely practices of reading and sources of knowledge, particularly in the context of students’ moving between educational levels. Examination of students’ literacy practices in transition and in real time illustrates how some of the practices that are often overlooked in discussions of ‘‘student writing’’—such as locating, evaluating, synthesising and adapting to new forms of knowledge—fuel the challenges some students face when they enter HE’ (p. 19). </w:t>
            </w:r>
          </w:p>
        </w:tc>
      </w:tr>
      <w:tr w:rsidR="00D40596" w:rsidRPr="00076E76" w14:paraId="1F2C958B" w14:textId="77777777" w:rsidTr="00A53006">
        <w:tc>
          <w:tcPr>
            <w:tcW w:w="5529" w:type="dxa"/>
            <w:shd w:val="clear" w:color="auto" w:fill="auto"/>
          </w:tcPr>
          <w:p w14:paraId="4F9CF8BF" w14:textId="5422DF7C" w:rsidR="002F76F8" w:rsidRPr="002F76F8" w:rsidRDefault="00D40596" w:rsidP="002F76F8">
            <w:pPr>
              <w:rPr>
                <w:rFonts w:ascii="Gill Sans" w:eastAsiaTheme="minorHAnsi" w:hAnsi="Gill Sans" w:cs="Gill Sans"/>
                <w:szCs w:val="22"/>
                <w:lang w:val="en-GB"/>
              </w:rPr>
            </w:pPr>
            <w:r w:rsidRPr="00D40596">
              <w:rPr>
                <w:rFonts w:ascii="Gill Sans" w:eastAsiaTheme="minorHAnsi" w:hAnsi="Gill Sans" w:cs="Gill Sans"/>
                <w:szCs w:val="22"/>
                <w:lang w:val="en-GB"/>
              </w:rPr>
              <w:lastRenderedPageBreak/>
              <w:t>Baker,</w:t>
            </w:r>
            <w:r>
              <w:rPr>
                <w:rFonts w:ascii="Gill Sans" w:eastAsiaTheme="minorHAnsi" w:hAnsi="Gill Sans" w:cs="Gill Sans"/>
                <w:szCs w:val="22"/>
                <w:lang w:val="en-GB"/>
              </w:rPr>
              <w:t xml:space="preserve"> S.,</w:t>
            </w:r>
            <w:r w:rsidRPr="00D40596">
              <w:rPr>
                <w:rFonts w:ascii="Gill Sans" w:eastAsiaTheme="minorHAnsi" w:hAnsi="Gill Sans" w:cs="Gill Sans"/>
                <w:szCs w:val="22"/>
                <w:lang w:val="en-GB"/>
              </w:rPr>
              <w:t xml:space="preserve"> Due</w:t>
            </w:r>
            <w:r>
              <w:rPr>
                <w:rFonts w:ascii="Gill Sans" w:eastAsiaTheme="minorHAnsi" w:hAnsi="Gill Sans" w:cs="Gill Sans"/>
                <w:szCs w:val="22"/>
                <w:lang w:val="en-GB"/>
              </w:rPr>
              <w:t>, C.</w:t>
            </w:r>
            <w:r w:rsidRPr="00D40596">
              <w:rPr>
                <w:rFonts w:ascii="Gill Sans" w:eastAsiaTheme="minorHAnsi" w:hAnsi="Gill Sans" w:cs="Gill Sans"/>
                <w:szCs w:val="22"/>
                <w:lang w:val="en-GB"/>
              </w:rPr>
              <w:t xml:space="preserve"> &amp;</w:t>
            </w:r>
            <w:r>
              <w:rPr>
                <w:rFonts w:ascii="Gill Sans" w:eastAsiaTheme="minorHAnsi" w:hAnsi="Gill Sans" w:cs="Gill Sans"/>
                <w:szCs w:val="22"/>
                <w:lang w:val="en-GB"/>
              </w:rPr>
              <w:t xml:space="preserve"> </w:t>
            </w:r>
            <w:r w:rsidRPr="00D40596">
              <w:rPr>
                <w:rFonts w:ascii="Gill Sans" w:eastAsiaTheme="minorHAnsi" w:hAnsi="Gill Sans" w:cs="Gill Sans"/>
                <w:szCs w:val="22"/>
                <w:lang w:val="en-GB"/>
              </w:rPr>
              <w:t>Rose</w:t>
            </w:r>
            <w:r>
              <w:rPr>
                <w:rFonts w:ascii="Gill Sans" w:eastAsiaTheme="minorHAnsi" w:hAnsi="Gill Sans" w:cs="Gill Sans"/>
                <w:szCs w:val="22"/>
                <w:lang w:val="en-GB"/>
              </w:rPr>
              <w:t>, M.</w:t>
            </w:r>
            <w:r w:rsidRPr="00D40596">
              <w:rPr>
                <w:rFonts w:ascii="Gill Sans" w:eastAsiaTheme="minorHAnsi" w:hAnsi="Gill Sans" w:cs="Gill Sans"/>
                <w:szCs w:val="22"/>
                <w:lang w:val="en-GB"/>
              </w:rPr>
              <w:t xml:space="preserve"> (2019)</w:t>
            </w:r>
            <w:r>
              <w:rPr>
                <w:rFonts w:ascii="Gill Sans" w:eastAsiaTheme="minorHAnsi" w:hAnsi="Gill Sans" w:cs="Gill Sans"/>
                <w:szCs w:val="22"/>
                <w:lang w:val="en-GB"/>
              </w:rPr>
              <w:t>.</w:t>
            </w:r>
            <w:r w:rsidRPr="00D40596">
              <w:rPr>
                <w:rFonts w:ascii="Gill Sans" w:eastAsiaTheme="minorHAnsi" w:hAnsi="Gill Sans" w:cs="Gill Sans"/>
                <w:szCs w:val="22"/>
                <w:lang w:val="en-GB"/>
              </w:rPr>
              <w:t xml:space="preserve"> </w:t>
            </w:r>
            <w:hyperlink r:id="rId16" w:history="1">
              <w:r w:rsidRPr="002F76F8">
                <w:rPr>
                  <w:rStyle w:val="Hyperlink"/>
                  <w:rFonts w:ascii="Gill Sans" w:eastAsiaTheme="minorHAnsi" w:hAnsi="Gill Sans" w:cs="Gill Sans"/>
                  <w:szCs w:val="22"/>
                  <w:lang w:val="en-GB"/>
                </w:rPr>
                <w:t>Transitions from education to employment for culturally and linguistically diverse migrants and refugees in settlement contexts: what do we know?</w:t>
              </w:r>
            </w:hyperlink>
            <w:r w:rsidRPr="00D40596">
              <w:rPr>
                <w:rFonts w:ascii="Gill Sans" w:eastAsiaTheme="minorHAnsi" w:hAnsi="Gill Sans" w:cs="Gill Sans"/>
                <w:szCs w:val="22"/>
                <w:lang w:val="en-GB"/>
              </w:rPr>
              <w:t xml:space="preserve">, </w:t>
            </w:r>
            <w:r w:rsidRPr="00D40596">
              <w:rPr>
                <w:rFonts w:ascii="Gill Sans" w:eastAsiaTheme="minorHAnsi" w:hAnsi="Gill Sans" w:cs="Gill Sans"/>
                <w:i/>
                <w:szCs w:val="22"/>
                <w:lang w:val="en-GB"/>
              </w:rPr>
              <w:t>Studies in Continuing Education</w:t>
            </w:r>
            <w:r w:rsidRPr="00D40596">
              <w:rPr>
                <w:rFonts w:ascii="Gill Sans" w:eastAsiaTheme="minorHAnsi" w:hAnsi="Gill Sans" w:cs="Gill Sans"/>
                <w:szCs w:val="22"/>
                <w:lang w:val="en-GB"/>
              </w:rPr>
              <w:t>,</w:t>
            </w:r>
            <w:r w:rsidR="002F76F8" w:rsidRPr="002F76F8">
              <w:rPr>
                <w:rFonts w:ascii="Gill Sans" w:eastAsiaTheme="minorHAnsi" w:hAnsi="Gill Sans" w:cs="Gill Sans"/>
                <w:szCs w:val="22"/>
                <w:lang w:val="en-GB"/>
              </w:rPr>
              <w:t xml:space="preserve"> 1 - 15, http://dx.doi.org/10.1080/0158037X.2019.1683533</w:t>
            </w:r>
          </w:p>
          <w:p w14:paraId="3D59588B" w14:textId="552EC244" w:rsidR="00D40596" w:rsidRDefault="00D40596" w:rsidP="00D40596">
            <w:pPr>
              <w:rPr>
                <w:rFonts w:ascii="Gill Sans" w:eastAsiaTheme="minorHAnsi" w:hAnsi="Gill Sans" w:cs="Gill Sans"/>
                <w:szCs w:val="22"/>
                <w:lang w:val="en-GB"/>
              </w:rPr>
            </w:pPr>
          </w:p>
          <w:p w14:paraId="179852E4" w14:textId="49B0BE1C" w:rsidR="00AD7ED0" w:rsidRDefault="00AD7ED0" w:rsidP="00D40596">
            <w:pPr>
              <w:rPr>
                <w:rFonts w:ascii="Gill Sans" w:eastAsiaTheme="minorHAnsi" w:hAnsi="Gill Sans" w:cs="Gill Sans"/>
                <w:szCs w:val="22"/>
                <w:lang w:val="en-GB"/>
              </w:rPr>
            </w:pPr>
          </w:p>
          <w:p w14:paraId="1C7A0460" w14:textId="67EF44CF" w:rsidR="00AD7ED0" w:rsidRDefault="00AD7ED0" w:rsidP="00D40596">
            <w:pPr>
              <w:rPr>
                <w:rFonts w:ascii="Gill Sans" w:eastAsiaTheme="minorHAnsi" w:hAnsi="Gill Sans" w:cs="Gill Sans"/>
                <w:szCs w:val="22"/>
                <w:lang w:val="en-GB"/>
              </w:rPr>
            </w:pPr>
            <w:r>
              <w:rPr>
                <w:rFonts w:ascii="Gill Sans" w:eastAsiaTheme="minorHAnsi" w:hAnsi="Gill Sans" w:cs="Gill Sans"/>
                <w:szCs w:val="22"/>
                <w:lang w:val="en-GB"/>
              </w:rPr>
              <w:t xml:space="preserve">AUS </w:t>
            </w:r>
          </w:p>
          <w:p w14:paraId="612F9E6D" w14:textId="558F248C" w:rsidR="00AD7ED0" w:rsidRDefault="00AD7ED0" w:rsidP="00D40596">
            <w:pPr>
              <w:rPr>
                <w:rFonts w:ascii="Gill Sans" w:eastAsiaTheme="minorHAnsi" w:hAnsi="Gill Sans" w:cs="Gill Sans"/>
                <w:szCs w:val="22"/>
                <w:lang w:val="en-GB"/>
              </w:rPr>
            </w:pPr>
            <w:r>
              <w:rPr>
                <w:rFonts w:ascii="Gill Sans" w:eastAsiaTheme="minorHAnsi" w:hAnsi="Gill Sans" w:cs="Gill Sans"/>
                <w:szCs w:val="22"/>
                <w:lang w:val="en-GB"/>
              </w:rPr>
              <w:t xml:space="preserve">Annotation by Anna Xavier </w:t>
            </w:r>
          </w:p>
          <w:p w14:paraId="6F79E1BA" w14:textId="31D598BA" w:rsidR="00AD7ED0" w:rsidRDefault="00AD7ED0" w:rsidP="00D40596">
            <w:pPr>
              <w:rPr>
                <w:rFonts w:ascii="Gill Sans" w:eastAsiaTheme="minorHAnsi" w:hAnsi="Gill Sans" w:cs="Gill Sans"/>
                <w:szCs w:val="22"/>
                <w:lang w:val="en-GB"/>
              </w:rPr>
            </w:pPr>
          </w:p>
          <w:p w14:paraId="581E8AA5" w14:textId="77777777" w:rsidR="00AD7ED0" w:rsidRPr="00AD7ED0" w:rsidRDefault="00AD7ED0" w:rsidP="00AD7ED0">
            <w:pPr>
              <w:rPr>
                <w:rFonts w:ascii="Gill Sans" w:eastAsiaTheme="minorHAnsi" w:hAnsi="Gill Sans" w:cs="Gill Sans"/>
                <w:szCs w:val="22"/>
                <w:lang w:val="en-GB"/>
              </w:rPr>
            </w:pPr>
            <w:r>
              <w:rPr>
                <w:rFonts w:ascii="Gill Sans" w:eastAsiaTheme="minorHAnsi" w:hAnsi="Gill Sans" w:cs="Gill Sans"/>
                <w:szCs w:val="22"/>
                <w:lang w:val="en-GB"/>
              </w:rPr>
              <w:t xml:space="preserve">Keywords: </w:t>
            </w:r>
            <w:r w:rsidRPr="00AD7ED0">
              <w:rPr>
                <w:rFonts w:ascii="Gill Sans" w:eastAsiaTheme="minorHAnsi" w:hAnsi="Gill Sans" w:cs="Gill Sans"/>
                <w:i/>
                <w:szCs w:val="22"/>
                <w:lang w:val="en-GB"/>
              </w:rPr>
              <w:t>CALD migrants and refugees; transitions out; tertiary education; higher education; pathways to employment; pathways to further study</w:t>
            </w:r>
            <w:r w:rsidRPr="00AD7ED0">
              <w:rPr>
                <w:rFonts w:ascii="Gill Sans" w:eastAsiaTheme="minorHAnsi" w:hAnsi="Gill Sans" w:cs="Gill Sans"/>
                <w:szCs w:val="22"/>
                <w:lang w:val="en-GB"/>
              </w:rPr>
              <w:t xml:space="preserve"> </w:t>
            </w:r>
          </w:p>
          <w:p w14:paraId="6A50F0A8" w14:textId="4C10EE35" w:rsidR="00AD7ED0" w:rsidRPr="00D40596" w:rsidRDefault="00AD7ED0" w:rsidP="00D40596">
            <w:pPr>
              <w:rPr>
                <w:rFonts w:ascii="Gill Sans" w:eastAsiaTheme="minorHAnsi" w:hAnsi="Gill Sans" w:cs="Gill Sans"/>
                <w:szCs w:val="22"/>
                <w:lang w:val="en-GB"/>
              </w:rPr>
            </w:pPr>
          </w:p>
          <w:p w14:paraId="48DC552C" w14:textId="77777777" w:rsidR="00D40596" w:rsidRDefault="00D40596" w:rsidP="00DE4B10">
            <w:pPr>
              <w:rPr>
                <w:rFonts w:ascii="Gill Sans" w:eastAsiaTheme="minorHAnsi" w:hAnsi="Gill Sans" w:cs="Gill Sans"/>
                <w:szCs w:val="22"/>
                <w:lang w:val="en-GB"/>
              </w:rPr>
            </w:pPr>
          </w:p>
        </w:tc>
        <w:tc>
          <w:tcPr>
            <w:tcW w:w="10064" w:type="dxa"/>
          </w:tcPr>
          <w:p w14:paraId="6D92BE3B" w14:textId="26A1B30A" w:rsidR="00A15F5C" w:rsidRPr="00A15F5C" w:rsidRDefault="00D40596" w:rsidP="00A15F5C">
            <w:pPr>
              <w:rPr>
                <w:rFonts w:ascii="Gill Sans" w:hAnsi="Gill Sans" w:cs="Gill Sans"/>
                <w:b/>
                <w:color w:val="000000"/>
                <w:szCs w:val="22"/>
                <w:lang w:val="en-GB"/>
              </w:rPr>
            </w:pPr>
            <w:r w:rsidRPr="00076E76">
              <w:rPr>
                <w:rFonts w:ascii="Gill Sans" w:hAnsi="Gill Sans" w:cs="Gill Sans"/>
                <w:b/>
                <w:color w:val="000000"/>
                <w:szCs w:val="22"/>
                <w:lang w:val="en-AU"/>
              </w:rPr>
              <w:t xml:space="preserve">Context: </w:t>
            </w:r>
            <w:r w:rsidR="00A15F5C">
              <w:rPr>
                <w:rFonts w:ascii="Gill Sans" w:hAnsi="Gill Sans" w:cs="Gill Sans"/>
                <w:color w:val="000000"/>
                <w:szCs w:val="22"/>
                <w:lang w:val="en-GB"/>
              </w:rPr>
              <w:t>Although the literature highlights</w:t>
            </w:r>
            <w:r w:rsidR="00A15F5C" w:rsidRPr="00A15F5C">
              <w:rPr>
                <w:rFonts w:ascii="Gill Sans" w:hAnsi="Gill Sans" w:cs="Gill Sans"/>
                <w:color w:val="000000"/>
                <w:szCs w:val="22"/>
                <w:lang w:val="en-GB"/>
              </w:rPr>
              <w:t xml:space="preserve"> new CALDM/Rs’ desire to work and meaningfully contribute to their new country, many remain under employed </w:t>
            </w:r>
            <w:r w:rsidR="00A15F5C">
              <w:rPr>
                <w:rFonts w:ascii="Gill Sans" w:hAnsi="Gill Sans" w:cs="Gill Sans"/>
                <w:color w:val="000000"/>
                <w:szCs w:val="22"/>
                <w:lang w:val="en-GB"/>
              </w:rPr>
              <w:t>despite holding</w:t>
            </w:r>
            <w:r w:rsidR="00A15F5C" w:rsidRPr="00A15F5C">
              <w:rPr>
                <w:rFonts w:ascii="Gill Sans" w:hAnsi="Gill Sans" w:cs="Gill Sans"/>
                <w:color w:val="000000"/>
                <w:szCs w:val="22"/>
                <w:lang w:val="en-GB"/>
              </w:rPr>
              <w:t xml:space="preserve"> multiple tertiary qualifications.</w:t>
            </w:r>
            <w:r w:rsidR="00A15F5C">
              <w:rPr>
                <w:rFonts w:ascii="Gill Sans" w:hAnsi="Gill Sans" w:cs="Gill Sans"/>
                <w:color w:val="000000"/>
                <w:szCs w:val="22"/>
                <w:lang w:val="en-GB"/>
              </w:rPr>
              <w:t xml:space="preserve"> In addition, there is limited research which focuses exclusively on transitions from higher education and into employment for CALDM/R students. </w:t>
            </w:r>
          </w:p>
          <w:p w14:paraId="430C0DD0" w14:textId="117A4ECC" w:rsidR="00A15F5C" w:rsidRPr="00A15F5C" w:rsidRDefault="00D40596" w:rsidP="00A15F5C">
            <w:pPr>
              <w:rPr>
                <w:rFonts w:ascii="Gill Sans" w:hAnsi="Gill Sans" w:cs="Gill Sans"/>
                <w:color w:val="000000"/>
                <w:szCs w:val="22"/>
                <w:lang w:val="en-GB"/>
              </w:rPr>
            </w:pPr>
            <w:r w:rsidRPr="00076E76">
              <w:rPr>
                <w:rFonts w:ascii="Gill Sans" w:hAnsi="Gill Sans" w:cs="Gill Sans"/>
                <w:b/>
                <w:color w:val="000000"/>
                <w:szCs w:val="22"/>
                <w:lang w:val="en-AU"/>
              </w:rPr>
              <w:t xml:space="preserve">Aim: </w:t>
            </w:r>
            <w:r w:rsidR="00A15F5C">
              <w:rPr>
                <w:rFonts w:ascii="Gill Sans" w:hAnsi="Gill Sans" w:cs="Gill Sans"/>
                <w:color w:val="000000"/>
                <w:szCs w:val="22"/>
                <w:lang w:val="en-AU"/>
              </w:rPr>
              <w:t>To ‘</w:t>
            </w:r>
            <w:r w:rsidR="00A15F5C" w:rsidRPr="00A15F5C">
              <w:rPr>
                <w:rFonts w:ascii="Gill Sans" w:hAnsi="Gill Sans" w:cs="Gill Sans"/>
                <w:color w:val="000000"/>
                <w:szCs w:val="22"/>
                <w:lang w:val="en-GB"/>
              </w:rPr>
              <w:t>provide an interpretive review of existing research concerning CALDM/Rs’ experiences of employment and education, so as to argue for a research agenda that makes explicit the kinds of pathways needed to support this group of students to gain meaningful employment related to the discipline of their tertiary education studies</w:t>
            </w:r>
            <w:r w:rsidR="00A15F5C">
              <w:rPr>
                <w:rFonts w:ascii="Gill Sans" w:hAnsi="Gill Sans" w:cs="Gill Sans"/>
                <w:color w:val="000000"/>
                <w:szCs w:val="22"/>
                <w:lang w:val="en-GB"/>
              </w:rPr>
              <w:t xml:space="preserve">’ (p. 2). </w:t>
            </w:r>
            <w:r w:rsidR="00A15F5C" w:rsidRPr="00A15F5C">
              <w:rPr>
                <w:rFonts w:ascii="Gill Sans" w:hAnsi="Gill Sans" w:cs="Gill Sans"/>
                <w:color w:val="000000"/>
                <w:szCs w:val="22"/>
                <w:lang w:val="en-GB"/>
              </w:rPr>
              <w:t xml:space="preserve"> </w:t>
            </w:r>
          </w:p>
          <w:p w14:paraId="4F2C855F" w14:textId="4EC6C513" w:rsidR="00D40596" w:rsidRPr="00A15F5C" w:rsidRDefault="002F76F8" w:rsidP="00D40596">
            <w:pPr>
              <w:rPr>
                <w:rFonts w:ascii="Gill Sans" w:hAnsi="Gill Sans" w:cs="Gill Sans"/>
                <w:color w:val="000000"/>
                <w:szCs w:val="22"/>
                <w:lang w:val="en-AU"/>
              </w:rPr>
            </w:pPr>
            <w:r>
              <w:rPr>
                <w:rFonts w:ascii="Gill Sans" w:hAnsi="Gill Sans" w:cs="Gill Sans"/>
                <w:b/>
                <w:color w:val="000000"/>
                <w:szCs w:val="22"/>
                <w:lang w:val="en-AU"/>
              </w:rPr>
              <w:t>T</w:t>
            </w:r>
            <w:r w:rsidR="00D40596" w:rsidRPr="00076E76">
              <w:rPr>
                <w:rFonts w:ascii="Gill Sans" w:hAnsi="Gill Sans" w:cs="Gill Sans"/>
                <w:b/>
                <w:color w:val="000000"/>
                <w:szCs w:val="22"/>
                <w:lang w:val="en-AU"/>
              </w:rPr>
              <w:t>heoretical frame:</w:t>
            </w:r>
            <w:r w:rsidR="00A15F5C">
              <w:rPr>
                <w:rFonts w:ascii="Gill Sans" w:hAnsi="Gill Sans" w:cs="Gill Sans"/>
                <w:b/>
                <w:color w:val="000000"/>
                <w:szCs w:val="22"/>
                <w:lang w:val="en-AU"/>
              </w:rPr>
              <w:t xml:space="preserve"> </w:t>
            </w:r>
            <w:r w:rsidR="00A15F5C">
              <w:rPr>
                <w:rFonts w:ascii="Gill Sans" w:hAnsi="Gill Sans" w:cs="Gill Sans"/>
                <w:color w:val="000000"/>
                <w:szCs w:val="22"/>
                <w:lang w:val="en-AU"/>
              </w:rPr>
              <w:t xml:space="preserve">Not specified in study. </w:t>
            </w:r>
          </w:p>
          <w:p w14:paraId="5664AB0A" w14:textId="728CA399" w:rsidR="00F63C70" w:rsidRPr="00F63C70" w:rsidRDefault="00D40596" w:rsidP="00F63C70">
            <w:pPr>
              <w:rPr>
                <w:rFonts w:ascii="Gill Sans" w:hAnsi="Gill Sans" w:cs="Gill Sans"/>
                <w:color w:val="000000"/>
                <w:szCs w:val="22"/>
                <w:lang w:val="en-GB"/>
              </w:rPr>
            </w:pPr>
            <w:r w:rsidRPr="00076E76">
              <w:rPr>
                <w:rFonts w:ascii="Gill Sans" w:hAnsi="Gill Sans" w:cs="Gill Sans"/>
                <w:b/>
                <w:color w:val="000000"/>
                <w:szCs w:val="22"/>
                <w:lang w:val="en-AU"/>
              </w:rPr>
              <w:t xml:space="preserve">Methodology: </w:t>
            </w:r>
            <w:r w:rsidR="00F63C70">
              <w:rPr>
                <w:rFonts w:ascii="Gill Sans" w:hAnsi="Gill Sans" w:cs="Gill Sans"/>
                <w:color w:val="000000"/>
                <w:szCs w:val="22"/>
                <w:lang w:val="en-AU"/>
              </w:rPr>
              <w:t>Interpretive literature review – qualitative synthesis of selected literature addressing issues of transition, HE and employment; Sampled from a database of more than 350 annotations of literature related to refugees (curated by Baker, 2019); Keywords employed – cultural/linguist/diverse; refugee; migrant; employ; education; Articles selected: 110 (related to Australian context); Questions employed in reviewing selected literature: ‘</w:t>
            </w:r>
            <w:r w:rsidR="00F63C70" w:rsidRPr="00F63C70">
              <w:rPr>
                <w:rFonts w:ascii="Gill Sans" w:hAnsi="Gill Sans" w:cs="Gill Sans"/>
                <w:color w:val="000000"/>
                <w:szCs w:val="22"/>
                <w:lang w:val="en-GB"/>
              </w:rPr>
              <w:t>1)  What do we know about CALD migrants and refugees’ employment patterns in Australia? 2)  What do we know about CALD migrants and refugees’ transitions out of higher education/ transitions into employment? 3)  What do we know about CALD migrants and refugees’ access to and participation in tertiary education in Australia?</w:t>
            </w:r>
            <w:r w:rsidR="00F63C70">
              <w:rPr>
                <w:rFonts w:ascii="Gill Sans" w:hAnsi="Gill Sans" w:cs="Gill Sans"/>
                <w:color w:val="000000"/>
                <w:szCs w:val="22"/>
                <w:lang w:val="en-GB"/>
              </w:rPr>
              <w:t>’ (p. 5)</w:t>
            </w:r>
          </w:p>
          <w:p w14:paraId="1FE527AB" w14:textId="174B6381" w:rsidR="00A9075F" w:rsidRDefault="00D40596" w:rsidP="00A9075F">
            <w:pPr>
              <w:rPr>
                <w:rFonts w:ascii="Gill Sans" w:hAnsi="Gill Sans" w:cs="Gill Sans"/>
                <w:color w:val="000000"/>
                <w:szCs w:val="22"/>
                <w:lang w:val="en-GB"/>
              </w:rPr>
            </w:pPr>
            <w:r w:rsidRPr="00076E76">
              <w:rPr>
                <w:rFonts w:ascii="Gill Sans" w:hAnsi="Gill Sans" w:cs="Gill Sans"/>
                <w:b/>
                <w:color w:val="000000"/>
                <w:szCs w:val="22"/>
                <w:lang w:val="en-AU"/>
              </w:rPr>
              <w:t xml:space="preserve">Findings: </w:t>
            </w:r>
            <w:r w:rsidR="00F63C70">
              <w:rPr>
                <w:rFonts w:ascii="Gill Sans" w:hAnsi="Gill Sans" w:cs="Gill Sans"/>
                <w:color w:val="000000"/>
                <w:szCs w:val="22"/>
                <w:lang w:val="en-AU"/>
              </w:rPr>
              <w:t>Q1: Access to education is a critical issue, especially in forced migration settings; Nevertheless, this access improves upon resettlement; Barriers for CALDM/R who have accessed HE: Often created by structures and priorities of universities; Challenges in participating in HE for CALDM/R students: Lack of navigational knowledge of the education system (</w:t>
            </w:r>
            <w:proofErr w:type="spellStart"/>
            <w:r w:rsidR="00F63C70">
              <w:rPr>
                <w:rFonts w:ascii="Gill Sans" w:hAnsi="Gill Sans" w:cs="Gill Sans"/>
                <w:color w:val="000000"/>
                <w:szCs w:val="22"/>
                <w:lang w:val="en-AU"/>
              </w:rPr>
              <w:t>Bajwa</w:t>
            </w:r>
            <w:proofErr w:type="spellEnd"/>
            <w:r w:rsidR="00F63C70">
              <w:rPr>
                <w:rFonts w:ascii="Gill Sans" w:hAnsi="Gill Sans" w:cs="Gill Sans"/>
                <w:color w:val="000000"/>
                <w:szCs w:val="22"/>
                <w:lang w:val="en-AU"/>
              </w:rPr>
              <w:t xml:space="preserve"> et al., 2017; </w:t>
            </w:r>
            <w:proofErr w:type="spellStart"/>
            <w:r w:rsidR="00F63C70">
              <w:rPr>
                <w:rFonts w:ascii="Gill Sans" w:hAnsi="Gill Sans" w:cs="Gill Sans"/>
                <w:color w:val="000000"/>
                <w:szCs w:val="22"/>
                <w:lang w:val="en-AU"/>
              </w:rPr>
              <w:t>Fozdar</w:t>
            </w:r>
            <w:proofErr w:type="spellEnd"/>
            <w:r w:rsidR="00F63C70">
              <w:rPr>
                <w:rFonts w:ascii="Gill Sans" w:hAnsi="Gill Sans" w:cs="Gill Sans"/>
                <w:color w:val="000000"/>
                <w:szCs w:val="22"/>
                <w:lang w:val="en-AU"/>
              </w:rPr>
              <w:t xml:space="preserve"> &amp; Hartley, 2013b) &amp; an absence of responsive supports (Baker et al., 2018; Gately, 2014, 2015). Q2: There is a ‘silence in literature with regards to students’ transitions out of education and into professional employment’ (p. 6); Patterns of under- or </w:t>
            </w:r>
            <w:r w:rsidR="00F63C70">
              <w:rPr>
                <w:rFonts w:ascii="Gill Sans" w:hAnsi="Gill Sans" w:cs="Gill Sans"/>
                <w:color w:val="000000"/>
                <w:szCs w:val="22"/>
                <w:lang w:val="en-AU"/>
              </w:rPr>
              <w:lastRenderedPageBreak/>
              <w:t>unemployment are higher than average for CALDM/R (</w:t>
            </w:r>
            <w:r w:rsidR="00F63C70" w:rsidRPr="00F63C70">
              <w:rPr>
                <w:rFonts w:ascii="Gill Sans" w:hAnsi="Gill Sans" w:cs="Gill Sans"/>
                <w:color w:val="000000"/>
                <w:szCs w:val="22"/>
                <w:lang w:val="en-GB"/>
              </w:rPr>
              <w:t xml:space="preserve">Hugo 2011; Li et al. 2016; </w:t>
            </w:r>
            <w:proofErr w:type="spellStart"/>
            <w:r w:rsidR="00F63C70" w:rsidRPr="00F63C70">
              <w:rPr>
                <w:rFonts w:ascii="Gill Sans" w:hAnsi="Gill Sans" w:cs="Gill Sans"/>
                <w:color w:val="000000"/>
                <w:szCs w:val="22"/>
                <w:lang w:val="en-GB"/>
              </w:rPr>
              <w:t>Mestan</w:t>
            </w:r>
            <w:proofErr w:type="spellEnd"/>
            <w:r w:rsidR="00F63C70" w:rsidRPr="00F63C70">
              <w:rPr>
                <w:rFonts w:ascii="Gill Sans" w:hAnsi="Gill Sans" w:cs="Gill Sans"/>
                <w:color w:val="000000"/>
                <w:szCs w:val="22"/>
                <w:lang w:val="en-GB"/>
              </w:rPr>
              <w:t xml:space="preserve"> and Harvey 2014; Richardson, Bennett, and Roberts 2016). </w:t>
            </w:r>
            <w:r w:rsidR="00F63C70">
              <w:rPr>
                <w:rFonts w:ascii="Gill Sans" w:hAnsi="Gill Sans" w:cs="Gill Sans"/>
                <w:color w:val="000000"/>
                <w:szCs w:val="22"/>
                <w:lang w:val="en-GB"/>
              </w:rPr>
              <w:t xml:space="preserve">Q3: </w:t>
            </w:r>
            <w:r w:rsidR="00A9075F" w:rsidRPr="00A9075F">
              <w:rPr>
                <w:rFonts w:ascii="Gill Sans" w:hAnsi="Gill Sans" w:cs="Gill Sans"/>
                <w:color w:val="000000"/>
                <w:szCs w:val="22"/>
                <w:lang w:val="en-GB"/>
              </w:rPr>
              <w:t xml:space="preserve">CALDM/R often struggle to find employment in settlement countries (Crawford et al. 2016; </w:t>
            </w:r>
            <w:proofErr w:type="spellStart"/>
            <w:r w:rsidR="00A9075F" w:rsidRPr="00A9075F">
              <w:rPr>
                <w:rFonts w:ascii="Gill Sans" w:hAnsi="Gill Sans" w:cs="Gill Sans"/>
                <w:color w:val="000000"/>
                <w:szCs w:val="22"/>
                <w:lang w:val="en-GB"/>
              </w:rPr>
              <w:t>Fozdar</w:t>
            </w:r>
            <w:proofErr w:type="spellEnd"/>
            <w:r w:rsidR="00A9075F" w:rsidRPr="00A9075F">
              <w:rPr>
                <w:rFonts w:ascii="Gill Sans" w:hAnsi="Gill Sans" w:cs="Gill Sans"/>
                <w:color w:val="000000"/>
                <w:szCs w:val="22"/>
                <w:lang w:val="en-GB"/>
              </w:rPr>
              <w:t xml:space="preserve"> and Hartley 2013a, 2013b; Hugo 2011) – often despite greater proportions of higher education qualifications</w:t>
            </w:r>
            <w:r w:rsidR="00A9075F">
              <w:rPr>
                <w:rFonts w:ascii="Gill Sans" w:hAnsi="Gill Sans" w:cs="Gill Sans"/>
                <w:color w:val="000000"/>
                <w:szCs w:val="22"/>
                <w:lang w:val="en-GB"/>
              </w:rPr>
              <w:t xml:space="preserve"> (although some are not recognised; Colic-</w:t>
            </w:r>
            <w:proofErr w:type="spellStart"/>
            <w:r w:rsidR="00A9075F">
              <w:rPr>
                <w:rFonts w:ascii="Gill Sans" w:hAnsi="Gill Sans" w:cs="Gill Sans"/>
                <w:color w:val="000000"/>
                <w:szCs w:val="22"/>
                <w:lang w:val="en-GB"/>
              </w:rPr>
              <w:t>Peisker</w:t>
            </w:r>
            <w:proofErr w:type="spellEnd"/>
            <w:r w:rsidR="00A9075F">
              <w:rPr>
                <w:rFonts w:ascii="Gill Sans" w:hAnsi="Gill Sans" w:cs="Gill Sans"/>
                <w:color w:val="000000"/>
                <w:szCs w:val="22"/>
                <w:lang w:val="en-GB"/>
              </w:rPr>
              <w:t xml:space="preserve"> &amp; Tilbury, 2006); </w:t>
            </w:r>
            <w:r w:rsidR="00A9075F" w:rsidRPr="00A9075F">
              <w:rPr>
                <w:rFonts w:ascii="Gill Sans" w:hAnsi="Gill Sans" w:cs="Gill Sans"/>
                <w:color w:val="000000"/>
                <w:szCs w:val="22"/>
                <w:lang w:val="en-GB"/>
              </w:rPr>
              <w:t xml:space="preserve">systemic challenges that CALDM/R face </w:t>
            </w:r>
            <w:r w:rsidR="00A9075F">
              <w:rPr>
                <w:rFonts w:ascii="Gill Sans" w:hAnsi="Gill Sans" w:cs="Gill Sans"/>
                <w:color w:val="000000"/>
                <w:szCs w:val="22"/>
                <w:lang w:val="en-GB"/>
              </w:rPr>
              <w:t>in</w:t>
            </w:r>
            <w:r w:rsidR="00A9075F" w:rsidRPr="00A9075F">
              <w:rPr>
                <w:rFonts w:ascii="Gill Sans" w:hAnsi="Gill Sans" w:cs="Gill Sans"/>
                <w:color w:val="000000"/>
                <w:szCs w:val="22"/>
                <w:lang w:val="en-GB"/>
              </w:rPr>
              <w:t xml:space="preserve"> securing ongoing and meaningful wor</w:t>
            </w:r>
            <w:r w:rsidR="00A9075F">
              <w:rPr>
                <w:rFonts w:ascii="Gill Sans" w:hAnsi="Gill Sans" w:cs="Gill Sans"/>
                <w:color w:val="000000"/>
                <w:szCs w:val="22"/>
                <w:lang w:val="en-GB"/>
              </w:rPr>
              <w:t>k:</w:t>
            </w:r>
            <w:r w:rsidR="00A9075F" w:rsidRPr="00A9075F">
              <w:rPr>
                <w:rFonts w:ascii="Gill Sans" w:hAnsi="Gill Sans" w:cs="Gill Sans"/>
                <w:color w:val="000000"/>
                <w:szCs w:val="22"/>
                <w:lang w:val="en-GB"/>
              </w:rPr>
              <w:t xml:space="preserve"> </w:t>
            </w:r>
            <w:r w:rsidR="00A9075F">
              <w:rPr>
                <w:rFonts w:ascii="Gill Sans" w:hAnsi="Gill Sans" w:cs="Gill Sans"/>
                <w:color w:val="000000"/>
                <w:szCs w:val="22"/>
                <w:lang w:val="en-GB"/>
              </w:rPr>
              <w:t>‘l</w:t>
            </w:r>
            <w:r w:rsidR="00A9075F" w:rsidRPr="00A9075F">
              <w:rPr>
                <w:rFonts w:ascii="Gill Sans" w:hAnsi="Gill Sans" w:cs="Gill Sans"/>
                <w:color w:val="000000"/>
                <w:szCs w:val="22"/>
                <w:lang w:val="en-GB"/>
              </w:rPr>
              <w:t>imited English language proficiency, a lack of Australian (or host country) employment experience and references, lack of qualifications and/or difficulties with recognition of qualifications, skills and experience, as well as the impact of trauma and torture</w:t>
            </w:r>
            <w:r w:rsidR="00A9075F">
              <w:rPr>
                <w:rFonts w:ascii="Gill Sans" w:hAnsi="Gill Sans" w:cs="Gill Sans"/>
                <w:color w:val="000000"/>
                <w:szCs w:val="22"/>
                <w:lang w:val="en-GB"/>
              </w:rPr>
              <w:t>’</w:t>
            </w:r>
            <w:r w:rsidR="00A9075F" w:rsidRPr="00A9075F">
              <w:rPr>
                <w:rFonts w:ascii="Gill Sans" w:hAnsi="Gill Sans" w:cs="Gill Sans"/>
                <w:color w:val="000000"/>
                <w:szCs w:val="22"/>
                <w:lang w:val="en-GB"/>
              </w:rPr>
              <w:t xml:space="preserve"> (</w:t>
            </w:r>
            <w:proofErr w:type="spellStart"/>
            <w:r w:rsidR="00A9075F" w:rsidRPr="00A9075F">
              <w:rPr>
                <w:rFonts w:ascii="Gill Sans" w:hAnsi="Gill Sans" w:cs="Gill Sans"/>
                <w:color w:val="000000"/>
                <w:szCs w:val="22"/>
                <w:lang w:val="en-GB"/>
              </w:rPr>
              <w:t>Fozdar</w:t>
            </w:r>
            <w:proofErr w:type="spellEnd"/>
            <w:r w:rsidR="00A9075F" w:rsidRPr="00A9075F">
              <w:rPr>
                <w:rFonts w:ascii="Gill Sans" w:hAnsi="Gill Sans" w:cs="Gill Sans"/>
                <w:color w:val="000000"/>
                <w:szCs w:val="22"/>
                <w:lang w:val="en-GB"/>
              </w:rPr>
              <w:t xml:space="preserve"> and Hartley 2013b; </w:t>
            </w:r>
            <w:proofErr w:type="spellStart"/>
            <w:r w:rsidR="00A9075F" w:rsidRPr="00A9075F">
              <w:rPr>
                <w:rFonts w:ascii="Gill Sans" w:hAnsi="Gill Sans" w:cs="Gill Sans"/>
                <w:color w:val="000000"/>
                <w:szCs w:val="22"/>
                <w:lang w:val="en-GB"/>
              </w:rPr>
              <w:t>Humpage</w:t>
            </w:r>
            <w:proofErr w:type="spellEnd"/>
            <w:r w:rsidR="00A9075F" w:rsidRPr="00A9075F">
              <w:rPr>
                <w:rFonts w:ascii="Gill Sans" w:hAnsi="Gill Sans" w:cs="Gill Sans"/>
                <w:color w:val="000000"/>
                <w:szCs w:val="22"/>
                <w:lang w:val="en-GB"/>
              </w:rPr>
              <w:t xml:space="preserve"> and Marston 2005; </w:t>
            </w:r>
            <w:proofErr w:type="spellStart"/>
            <w:r w:rsidR="00A9075F" w:rsidRPr="00A9075F">
              <w:rPr>
                <w:rFonts w:ascii="Gill Sans" w:hAnsi="Gill Sans" w:cs="Gill Sans"/>
                <w:color w:val="000000"/>
                <w:szCs w:val="22"/>
                <w:lang w:val="en-GB"/>
              </w:rPr>
              <w:t>Pittaway</w:t>
            </w:r>
            <w:proofErr w:type="spellEnd"/>
            <w:r w:rsidR="00A9075F" w:rsidRPr="00A9075F">
              <w:rPr>
                <w:rFonts w:ascii="Gill Sans" w:hAnsi="Gill Sans" w:cs="Gill Sans"/>
                <w:color w:val="000000"/>
                <w:szCs w:val="22"/>
                <w:lang w:val="en-GB"/>
              </w:rPr>
              <w:t xml:space="preserve">, </w:t>
            </w:r>
            <w:proofErr w:type="spellStart"/>
            <w:r w:rsidR="00A9075F" w:rsidRPr="00A9075F">
              <w:rPr>
                <w:rFonts w:ascii="Gill Sans" w:hAnsi="Gill Sans" w:cs="Gill Sans"/>
                <w:color w:val="000000"/>
                <w:szCs w:val="22"/>
                <w:lang w:val="en-GB"/>
              </w:rPr>
              <w:t>Muli</w:t>
            </w:r>
            <w:proofErr w:type="spellEnd"/>
            <w:r w:rsidR="00A9075F" w:rsidRPr="00A9075F">
              <w:rPr>
                <w:rFonts w:ascii="Gill Sans" w:hAnsi="Gill Sans" w:cs="Gill Sans"/>
                <w:color w:val="000000"/>
                <w:szCs w:val="22"/>
                <w:lang w:val="en-GB"/>
              </w:rPr>
              <w:t xml:space="preserve">, and </w:t>
            </w:r>
            <w:proofErr w:type="spellStart"/>
            <w:r w:rsidR="00A9075F" w:rsidRPr="00A9075F">
              <w:rPr>
                <w:rFonts w:ascii="Gill Sans" w:hAnsi="Gill Sans" w:cs="Gill Sans"/>
                <w:color w:val="000000"/>
                <w:szCs w:val="22"/>
                <w:lang w:val="en-GB"/>
              </w:rPr>
              <w:t>Shteir</w:t>
            </w:r>
            <w:proofErr w:type="spellEnd"/>
            <w:r w:rsidR="00A9075F" w:rsidRPr="00A9075F">
              <w:rPr>
                <w:rFonts w:ascii="Gill Sans" w:hAnsi="Gill Sans" w:cs="Gill Sans"/>
                <w:color w:val="000000"/>
                <w:szCs w:val="22"/>
                <w:lang w:val="en-GB"/>
              </w:rPr>
              <w:t xml:space="preserve"> 2009)</w:t>
            </w:r>
            <w:r w:rsidR="00A9075F">
              <w:rPr>
                <w:rFonts w:ascii="Gill Sans" w:hAnsi="Gill Sans" w:cs="Gill Sans"/>
                <w:color w:val="000000"/>
                <w:szCs w:val="22"/>
                <w:lang w:val="en-GB"/>
              </w:rPr>
              <w:t xml:space="preserve"> (p. 8); Importance of different forms of capital is a consistent theme in literature: human capital (linguistic proficiency, qualifications, employment histories); social capital (networks, bonds, familiarity); Another common theme: Failure of potential employers to recognise these forms of capital; Significance of English language proficiency in influencing CALDM/R’s employment opportunities in Australia (Hugo, 2011); Insufficient support (time &amp; space) for CALDM/R to develop their language &amp; literacy proficiency before seeking employment (Baker &amp; Irwin, 2019; </w:t>
            </w:r>
            <w:proofErr w:type="spellStart"/>
            <w:r w:rsidR="00A9075F">
              <w:rPr>
                <w:rFonts w:ascii="Gill Sans" w:hAnsi="Gill Sans" w:cs="Gill Sans"/>
                <w:color w:val="000000"/>
                <w:szCs w:val="22"/>
                <w:lang w:val="en-GB"/>
              </w:rPr>
              <w:t>Losoncz</w:t>
            </w:r>
            <w:proofErr w:type="spellEnd"/>
            <w:r w:rsidR="00A9075F">
              <w:rPr>
                <w:rFonts w:ascii="Gill Sans" w:hAnsi="Gill Sans" w:cs="Gill Sans"/>
                <w:color w:val="000000"/>
                <w:szCs w:val="22"/>
                <w:lang w:val="en-GB"/>
              </w:rPr>
              <w:t>, 2017a, 2017b); Other factors influencing employment of CALDM/Rs – ‘racialised prejudice’ (</w:t>
            </w:r>
            <w:proofErr w:type="spellStart"/>
            <w:r w:rsidR="00A9075F">
              <w:rPr>
                <w:rFonts w:ascii="Gill Sans" w:hAnsi="Gill Sans" w:cs="Gill Sans"/>
                <w:color w:val="000000"/>
                <w:szCs w:val="22"/>
                <w:lang w:val="en-GB"/>
              </w:rPr>
              <w:t>Hebbani</w:t>
            </w:r>
            <w:proofErr w:type="spellEnd"/>
            <w:r w:rsidR="00A9075F">
              <w:rPr>
                <w:rFonts w:ascii="Gill Sans" w:hAnsi="Gill Sans" w:cs="Gill Sans"/>
                <w:color w:val="000000"/>
                <w:szCs w:val="22"/>
                <w:lang w:val="en-GB"/>
              </w:rPr>
              <w:t xml:space="preserve"> &amp; Colic-</w:t>
            </w:r>
            <w:proofErr w:type="spellStart"/>
            <w:r w:rsidR="00A9075F">
              <w:rPr>
                <w:rFonts w:ascii="Gill Sans" w:hAnsi="Gill Sans" w:cs="Gill Sans"/>
                <w:color w:val="000000"/>
                <w:szCs w:val="22"/>
                <w:lang w:val="en-GB"/>
              </w:rPr>
              <w:t>Peisker</w:t>
            </w:r>
            <w:proofErr w:type="spellEnd"/>
            <w:r w:rsidR="00A9075F">
              <w:rPr>
                <w:rFonts w:ascii="Gill Sans" w:hAnsi="Gill Sans" w:cs="Gill Sans"/>
                <w:color w:val="000000"/>
                <w:szCs w:val="22"/>
                <w:lang w:val="en-GB"/>
              </w:rPr>
              <w:t xml:space="preserve">, 2012) (p.9); location of settlement (regional areas) (Curry, Smedley &amp; </w:t>
            </w:r>
            <w:proofErr w:type="spellStart"/>
            <w:r w:rsidR="00A9075F">
              <w:rPr>
                <w:rFonts w:ascii="Gill Sans" w:hAnsi="Gill Sans" w:cs="Gill Sans"/>
                <w:color w:val="000000"/>
                <w:szCs w:val="22"/>
                <w:lang w:val="en-GB"/>
              </w:rPr>
              <w:t>Lenette</w:t>
            </w:r>
            <w:proofErr w:type="spellEnd"/>
            <w:r w:rsidR="00A9075F">
              <w:rPr>
                <w:rFonts w:ascii="Gill Sans" w:hAnsi="Gill Sans" w:cs="Gill Sans"/>
                <w:color w:val="000000"/>
                <w:szCs w:val="22"/>
                <w:lang w:val="en-GB"/>
              </w:rPr>
              <w:t>, 2018; McDonald-</w:t>
            </w:r>
            <w:proofErr w:type="spellStart"/>
            <w:r w:rsidR="00A9075F">
              <w:rPr>
                <w:rFonts w:ascii="Gill Sans" w:hAnsi="Gill Sans" w:cs="Gill Sans"/>
                <w:color w:val="000000"/>
                <w:szCs w:val="22"/>
                <w:lang w:val="en-GB"/>
              </w:rPr>
              <w:t>Wilmsen</w:t>
            </w:r>
            <w:proofErr w:type="spellEnd"/>
            <w:r w:rsidR="00A9075F">
              <w:rPr>
                <w:rFonts w:ascii="Gill Sans" w:hAnsi="Gill Sans" w:cs="Gill Sans"/>
                <w:color w:val="000000"/>
                <w:szCs w:val="22"/>
                <w:lang w:val="en-GB"/>
              </w:rPr>
              <w:t xml:space="preserve"> et al., 2009; </w:t>
            </w:r>
            <w:proofErr w:type="spellStart"/>
            <w:r w:rsidR="00A9075F">
              <w:rPr>
                <w:rFonts w:ascii="Gill Sans" w:hAnsi="Gill Sans" w:cs="Gill Sans"/>
                <w:color w:val="000000"/>
                <w:szCs w:val="22"/>
                <w:lang w:val="en-GB"/>
              </w:rPr>
              <w:t>Schech</w:t>
            </w:r>
            <w:proofErr w:type="spellEnd"/>
            <w:r w:rsidR="00A9075F">
              <w:rPr>
                <w:rFonts w:ascii="Gill Sans" w:hAnsi="Gill Sans" w:cs="Gill Sans"/>
                <w:color w:val="000000"/>
                <w:szCs w:val="22"/>
                <w:lang w:val="en-GB"/>
              </w:rPr>
              <w:t xml:space="preserve">, 2014); Gender gap is also highly evident in the employment of CALDM/Rs. </w:t>
            </w:r>
          </w:p>
          <w:p w14:paraId="42350269" w14:textId="15ABAE66" w:rsidR="00A9075F" w:rsidRPr="00A9075F" w:rsidRDefault="00A9075F" w:rsidP="00A9075F">
            <w:pPr>
              <w:rPr>
                <w:rFonts w:ascii="Gill Sans" w:hAnsi="Gill Sans" w:cs="Gill Sans"/>
                <w:color w:val="000000"/>
                <w:szCs w:val="22"/>
                <w:lang w:val="en-GB"/>
              </w:rPr>
            </w:pPr>
            <w:r w:rsidRPr="00A9075F">
              <w:rPr>
                <w:rFonts w:ascii="Gill Sans" w:hAnsi="Gill Sans" w:cs="Gill Sans"/>
                <w:b/>
                <w:color w:val="000000"/>
                <w:szCs w:val="22"/>
                <w:lang w:val="en-GB"/>
              </w:rPr>
              <w:t>Discussion:</w:t>
            </w:r>
            <w:r>
              <w:rPr>
                <w:rFonts w:ascii="Gill Sans" w:hAnsi="Gill Sans" w:cs="Gill Sans"/>
                <w:b/>
                <w:color w:val="000000"/>
                <w:szCs w:val="22"/>
                <w:lang w:val="en-GB"/>
              </w:rPr>
              <w:t xml:space="preserve"> </w:t>
            </w:r>
            <w:r>
              <w:rPr>
                <w:rFonts w:ascii="Gill Sans" w:hAnsi="Gill Sans" w:cs="Gill Sans"/>
                <w:color w:val="000000"/>
                <w:szCs w:val="22"/>
                <w:lang w:val="en-GB"/>
              </w:rPr>
              <w:t xml:space="preserve">Two key barriers identified – </w:t>
            </w:r>
            <w:r w:rsidR="003274E7">
              <w:rPr>
                <w:rFonts w:ascii="Gill Sans" w:hAnsi="Gill Sans" w:cs="Gill Sans"/>
                <w:color w:val="000000"/>
                <w:szCs w:val="22"/>
                <w:lang w:val="en-GB"/>
              </w:rPr>
              <w:t xml:space="preserve">1) </w:t>
            </w:r>
            <w:r>
              <w:rPr>
                <w:rFonts w:ascii="Gill Sans" w:hAnsi="Gill Sans" w:cs="Gill Sans"/>
                <w:color w:val="000000"/>
                <w:szCs w:val="22"/>
                <w:lang w:val="en-GB"/>
              </w:rPr>
              <w:t>‘structural issues within the employment sector</w:t>
            </w:r>
            <w:r w:rsidR="003274E7">
              <w:rPr>
                <w:rFonts w:ascii="Gill Sans" w:hAnsi="Gill Sans" w:cs="Gill Sans"/>
                <w:color w:val="000000"/>
                <w:szCs w:val="22"/>
                <w:lang w:val="en-GB"/>
              </w:rPr>
              <w:t>’; 2) ‘A lack of support within the university sector’ (p. 10)</w:t>
            </w:r>
          </w:p>
          <w:p w14:paraId="47BC5598" w14:textId="3A835ABF" w:rsidR="00D40596" w:rsidRPr="002F76F8" w:rsidRDefault="00D40596" w:rsidP="00D40596">
            <w:pPr>
              <w:rPr>
                <w:rFonts w:ascii="Gill Sans" w:hAnsi="Gill Sans" w:cs="Gill Sans"/>
                <w:b/>
                <w:color w:val="000000"/>
                <w:szCs w:val="22"/>
                <w:lang w:val="en-GB"/>
              </w:rPr>
            </w:pPr>
            <w:r w:rsidRPr="00076E76">
              <w:rPr>
                <w:rFonts w:ascii="Gill Sans" w:hAnsi="Gill Sans" w:cs="Gill Sans"/>
                <w:b/>
                <w:color w:val="000000"/>
                <w:szCs w:val="22"/>
                <w:lang w:val="en-AU"/>
              </w:rPr>
              <w:t>Core argument:</w:t>
            </w:r>
            <w:r w:rsidR="003274E7">
              <w:rPr>
                <w:rFonts w:ascii="Gill Sans" w:hAnsi="Gill Sans" w:cs="Gill Sans"/>
                <w:b/>
                <w:color w:val="000000"/>
                <w:szCs w:val="22"/>
                <w:lang w:val="en-AU"/>
              </w:rPr>
              <w:t xml:space="preserve"> ‘</w:t>
            </w:r>
            <w:r w:rsidR="003274E7" w:rsidRPr="003274E7">
              <w:rPr>
                <w:rFonts w:ascii="Gill Sans" w:hAnsi="Gill Sans" w:cs="Gill Sans"/>
                <w:color w:val="000000"/>
                <w:szCs w:val="22"/>
                <w:lang w:val="en-AU"/>
              </w:rPr>
              <w:t>T</w:t>
            </w:r>
            <w:r w:rsidR="003274E7" w:rsidRPr="003274E7">
              <w:rPr>
                <w:rFonts w:ascii="Gill Sans" w:hAnsi="Gill Sans" w:cs="Gill Sans"/>
                <w:color w:val="000000"/>
                <w:szCs w:val="22"/>
                <w:lang w:val="en-GB"/>
              </w:rPr>
              <w:t>o promote positive integration and settlement outcomes, we need greater and more nuanced understandings of intersecting nature of identities in spaces of education and employment.</w:t>
            </w:r>
            <w:r w:rsidR="003274E7">
              <w:rPr>
                <w:rFonts w:ascii="Gill Sans" w:hAnsi="Gill Sans" w:cs="Gill Sans"/>
                <w:color w:val="000000"/>
                <w:szCs w:val="22"/>
                <w:lang w:val="en-GB"/>
              </w:rPr>
              <w:t xml:space="preserve">’ (p. 11). </w:t>
            </w:r>
            <w:r w:rsidR="003274E7" w:rsidRPr="003274E7">
              <w:rPr>
                <w:rFonts w:ascii="Gill Sans" w:hAnsi="Gill Sans" w:cs="Gill Sans"/>
                <w:b/>
                <w:color w:val="000000"/>
                <w:szCs w:val="22"/>
                <w:lang w:val="en-GB"/>
              </w:rPr>
              <w:t xml:space="preserve"> </w:t>
            </w:r>
          </w:p>
        </w:tc>
      </w:tr>
      <w:tr w:rsidR="00E91542" w:rsidRPr="00076E76" w14:paraId="0F427492" w14:textId="77777777" w:rsidTr="00A53006">
        <w:tc>
          <w:tcPr>
            <w:tcW w:w="5529" w:type="dxa"/>
            <w:shd w:val="clear" w:color="auto" w:fill="auto"/>
          </w:tcPr>
          <w:p w14:paraId="577BC19A" w14:textId="4BD346E4" w:rsidR="00DC219B" w:rsidRPr="00DC219B" w:rsidRDefault="00E91542" w:rsidP="00DC219B">
            <w:pPr>
              <w:rPr>
                <w:rFonts w:ascii="Gill Sans" w:eastAsiaTheme="minorHAnsi" w:hAnsi="Gill Sans" w:cs="Gill Sans"/>
                <w:szCs w:val="22"/>
                <w:lang w:val="en-GB"/>
              </w:rPr>
            </w:pPr>
            <w:r>
              <w:rPr>
                <w:rFonts w:ascii="Gill Sans" w:eastAsiaTheme="minorHAnsi" w:hAnsi="Gill Sans" w:cs="Gill Sans"/>
                <w:szCs w:val="22"/>
                <w:lang w:val="en-GB"/>
              </w:rPr>
              <w:lastRenderedPageBreak/>
              <w:t>Baker, S. &amp; Irwin, E. (201</w:t>
            </w:r>
            <w:r w:rsidR="008E1624">
              <w:rPr>
                <w:rFonts w:ascii="Gill Sans" w:eastAsiaTheme="minorHAnsi" w:hAnsi="Gill Sans" w:cs="Gill Sans"/>
                <w:szCs w:val="22"/>
                <w:lang w:val="en-GB"/>
              </w:rPr>
              <w:t>9</w:t>
            </w:r>
            <w:r>
              <w:rPr>
                <w:rFonts w:ascii="Gill Sans" w:eastAsiaTheme="minorHAnsi" w:hAnsi="Gill Sans" w:cs="Gill Sans"/>
                <w:szCs w:val="22"/>
                <w:lang w:val="en-GB"/>
              </w:rPr>
              <w:t>).</w:t>
            </w:r>
            <w:r w:rsidR="002E4F9A">
              <w:rPr>
                <w:rFonts w:ascii="Gill Sans" w:eastAsiaTheme="minorHAnsi" w:hAnsi="Gill Sans" w:cs="Gill Sans"/>
                <w:szCs w:val="22"/>
                <w:lang w:val="en-GB"/>
              </w:rPr>
              <w:t xml:space="preserve"> </w:t>
            </w:r>
            <w:hyperlink r:id="rId17" w:history="1">
              <w:r w:rsidR="00DE4B10" w:rsidRPr="00DC219B">
                <w:rPr>
                  <w:rStyle w:val="Hyperlink"/>
                  <w:rFonts w:ascii="Gill Sans" w:eastAsiaTheme="minorHAnsi" w:hAnsi="Gill Sans" w:cs="Gill Sans"/>
                  <w:szCs w:val="22"/>
                  <w:lang w:val="en-GB"/>
                </w:rPr>
                <w:t>Disrupting the dominance of ‘linear pathways’: how institutional assumptions create ‘stuck places’ for refugee students’ transitions into higher education</w:t>
              </w:r>
            </w:hyperlink>
            <w:r w:rsidR="00DE4B10" w:rsidRPr="00DE4B10">
              <w:rPr>
                <w:rFonts w:ascii="Gill Sans" w:eastAsiaTheme="minorHAnsi" w:hAnsi="Gill Sans" w:cs="Gill Sans"/>
                <w:szCs w:val="22"/>
                <w:lang w:val="en-GB"/>
              </w:rPr>
              <w:t xml:space="preserve">, </w:t>
            </w:r>
            <w:r w:rsidR="00DE4B10" w:rsidRPr="00A53006">
              <w:rPr>
                <w:rFonts w:ascii="Gill Sans" w:eastAsiaTheme="minorHAnsi" w:hAnsi="Gill Sans" w:cs="Gill Sans"/>
                <w:i/>
                <w:iCs/>
                <w:szCs w:val="22"/>
                <w:lang w:val="en-GB"/>
              </w:rPr>
              <w:t>Research Papers in Education</w:t>
            </w:r>
            <w:r w:rsidR="00DE4B10" w:rsidRPr="00DE4B10">
              <w:rPr>
                <w:rFonts w:ascii="Gill Sans" w:eastAsiaTheme="minorHAnsi" w:hAnsi="Gill Sans" w:cs="Gill Sans"/>
                <w:szCs w:val="22"/>
                <w:lang w:val="en-GB"/>
              </w:rPr>
              <w:t xml:space="preserve">, </w:t>
            </w:r>
            <w:r w:rsidR="00DC219B" w:rsidRPr="00DC219B">
              <w:rPr>
                <w:rFonts w:ascii="Gill Sans" w:eastAsiaTheme="minorHAnsi" w:hAnsi="Gill Sans" w:cs="Gill Sans"/>
                <w:color w:val="000000" w:themeColor="text1"/>
                <w:szCs w:val="22"/>
                <w:lang w:val="en-GB"/>
              </w:rPr>
              <w:t>DOI: </w:t>
            </w:r>
            <w:hyperlink r:id="rId18" w:history="1">
              <w:r w:rsidR="00DC219B" w:rsidRPr="00DC219B">
                <w:rPr>
                  <w:rStyle w:val="Hyperlink"/>
                  <w:rFonts w:ascii="Gill Sans" w:eastAsiaTheme="minorHAnsi" w:hAnsi="Gill Sans" w:cs="Gill Sans"/>
                  <w:color w:val="000000" w:themeColor="text1"/>
                  <w:szCs w:val="22"/>
                  <w:u w:val="none"/>
                  <w:lang w:val="en-GB"/>
                </w:rPr>
                <w:t>10.1080/02671522.2019.1633561</w:t>
              </w:r>
            </w:hyperlink>
          </w:p>
          <w:p w14:paraId="755B123C" w14:textId="3354CA96" w:rsidR="00DE4B10" w:rsidRPr="00DE4B10" w:rsidRDefault="00DE4B10" w:rsidP="00DE4B10">
            <w:pPr>
              <w:rPr>
                <w:rFonts w:ascii="Gill Sans" w:eastAsiaTheme="minorHAnsi" w:hAnsi="Gill Sans" w:cs="Gill Sans"/>
                <w:szCs w:val="22"/>
                <w:lang w:val="en-GB"/>
              </w:rPr>
            </w:pPr>
          </w:p>
          <w:p w14:paraId="066B1E36" w14:textId="0463DB82" w:rsidR="00E91542" w:rsidRDefault="00E91542" w:rsidP="008A16D2">
            <w:pPr>
              <w:rPr>
                <w:rFonts w:ascii="Gill Sans" w:eastAsiaTheme="minorHAnsi" w:hAnsi="Gill Sans" w:cs="Gill Sans"/>
                <w:szCs w:val="22"/>
                <w:lang w:val="en-GB"/>
              </w:rPr>
            </w:pPr>
          </w:p>
          <w:p w14:paraId="05E8B40A" w14:textId="69F40DB6" w:rsidR="00DE4B10" w:rsidRDefault="00DE4B10" w:rsidP="008A16D2">
            <w:pPr>
              <w:rPr>
                <w:rFonts w:ascii="Gill Sans" w:eastAsiaTheme="minorHAnsi" w:hAnsi="Gill Sans" w:cs="Gill Sans"/>
                <w:szCs w:val="22"/>
                <w:lang w:val="en-GB"/>
              </w:rPr>
            </w:pPr>
            <w:r>
              <w:rPr>
                <w:rFonts w:ascii="Gill Sans" w:eastAsiaTheme="minorHAnsi" w:hAnsi="Gill Sans" w:cs="Gill Sans"/>
                <w:szCs w:val="22"/>
                <w:lang w:val="en-GB"/>
              </w:rPr>
              <w:t xml:space="preserve">AUS </w:t>
            </w:r>
          </w:p>
          <w:p w14:paraId="7E3E26B4" w14:textId="12007F5A" w:rsidR="00DE4B10" w:rsidRDefault="00DE4B10" w:rsidP="008A16D2">
            <w:pPr>
              <w:rPr>
                <w:rFonts w:ascii="Gill Sans" w:eastAsiaTheme="minorHAnsi" w:hAnsi="Gill Sans" w:cs="Gill Sans"/>
                <w:szCs w:val="22"/>
                <w:lang w:val="en-GB"/>
              </w:rPr>
            </w:pPr>
            <w:r>
              <w:rPr>
                <w:rFonts w:ascii="Gill Sans" w:eastAsiaTheme="minorHAnsi" w:hAnsi="Gill Sans" w:cs="Gill Sans"/>
                <w:szCs w:val="22"/>
                <w:lang w:val="en-GB"/>
              </w:rPr>
              <w:t xml:space="preserve">Annotation by Anna Xavier </w:t>
            </w:r>
          </w:p>
          <w:p w14:paraId="38226408" w14:textId="1A64538F" w:rsidR="00DE4B10" w:rsidRDefault="00DE4B10" w:rsidP="008A16D2">
            <w:pPr>
              <w:rPr>
                <w:rFonts w:ascii="Gill Sans" w:eastAsiaTheme="minorHAnsi" w:hAnsi="Gill Sans" w:cs="Gill Sans"/>
                <w:szCs w:val="22"/>
                <w:lang w:val="en-GB"/>
              </w:rPr>
            </w:pPr>
          </w:p>
          <w:p w14:paraId="15E667D3" w14:textId="4329B915" w:rsidR="00DE4B10" w:rsidRDefault="00DE4B10" w:rsidP="008A16D2">
            <w:pPr>
              <w:rPr>
                <w:rFonts w:ascii="Gill Sans" w:eastAsiaTheme="minorHAnsi" w:hAnsi="Gill Sans" w:cs="Gill Sans"/>
                <w:szCs w:val="22"/>
                <w:lang w:val="en-GB"/>
              </w:rPr>
            </w:pPr>
          </w:p>
          <w:p w14:paraId="638380E1" w14:textId="77777777" w:rsidR="00DE4B10" w:rsidRPr="00DE4B10" w:rsidRDefault="00DE4B10" w:rsidP="00DE4B10">
            <w:pPr>
              <w:rPr>
                <w:rFonts w:ascii="Gill Sans" w:eastAsiaTheme="minorHAnsi" w:hAnsi="Gill Sans" w:cs="Gill Sans"/>
                <w:i/>
                <w:szCs w:val="22"/>
                <w:lang w:val="en-GB"/>
              </w:rPr>
            </w:pPr>
            <w:r>
              <w:rPr>
                <w:rFonts w:ascii="Gill Sans" w:eastAsiaTheme="minorHAnsi" w:hAnsi="Gill Sans" w:cs="Gill Sans"/>
                <w:szCs w:val="22"/>
                <w:lang w:val="en-GB"/>
              </w:rPr>
              <w:lastRenderedPageBreak/>
              <w:t xml:space="preserve">Keywords: </w:t>
            </w:r>
            <w:r w:rsidRPr="00DE4B10">
              <w:rPr>
                <w:rFonts w:ascii="Gill Sans" w:eastAsiaTheme="minorHAnsi" w:hAnsi="Gill Sans" w:cs="Gill Sans"/>
                <w:i/>
                <w:szCs w:val="22"/>
                <w:lang w:val="en-GB"/>
              </w:rPr>
              <w:t xml:space="preserve">Australia; transitions; higher education; adult students; students from refugee backgrounds; liminality; stuck places; linguistic and cultural diversity </w:t>
            </w:r>
          </w:p>
          <w:p w14:paraId="32AE33A5" w14:textId="3D04BC23" w:rsidR="00DE4B10" w:rsidRPr="00DE4B10" w:rsidRDefault="00DE4B10" w:rsidP="008A16D2">
            <w:pPr>
              <w:rPr>
                <w:rFonts w:ascii="Gill Sans" w:eastAsiaTheme="minorHAnsi" w:hAnsi="Gill Sans" w:cs="Gill Sans"/>
                <w:i/>
                <w:szCs w:val="22"/>
                <w:lang w:val="en-GB"/>
              </w:rPr>
            </w:pPr>
          </w:p>
          <w:p w14:paraId="3B0355B3" w14:textId="6B14576F" w:rsidR="00D9559F" w:rsidRPr="00076E76" w:rsidRDefault="00D9559F" w:rsidP="008A16D2">
            <w:pPr>
              <w:rPr>
                <w:rFonts w:ascii="Gill Sans" w:eastAsiaTheme="minorHAnsi" w:hAnsi="Gill Sans" w:cs="Gill Sans"/>
                <w:szCs w:val="22"/>
                <w:lang w:val="en-GB"/>
              </w:rPr>
            </w:pPr>
          </w:p>
        </w:tc>
        <w:tc>
          <w:tcPr>
            <w:tcW w:w="10064" w:type="dxa"/>
          </w:tcPr>
          <w:p w14:paraId="5628A87B" w14:textId="344F8B05" w:rsidR="006B1C21" w:rsidRPr="006B1C21" w:rsidRDefault="00F934ED" w:rsidP="006B1C21">
            <w:pPr>
              <w:rPr>
                <w:rFonts w:ascii="Gill Sans" w:hAnsi="Gill Sans" w:cs="Gill Sans"/>
                <w:color w:val="000000"/>
                <w:szCs w:val="22"/>
                <w:lang w:val="en-GB"/>
              </w:rPr>
            </w:pPr>
            <w:r w:rsidRPr="00076E76">
              <w:rPr>
                <w:rFonts w:ascii="Gill Sans" w:hAnsi="Gill Sans" w:cs="Gill Sans"/>
                <w:b/>
                <w:color w:val="000000"/>
                <w:szCs w:val="22"/>
                <w:lang w:val="en-AU"/>
              </w:rPr>
              <w:lastRenderedPageBreak/>
              <w:t xml:space="preserve">Context: </w:t>
            </w:r>
            <w:r w:rsidR="00EE625B" w:rsidRPr="00EE625B">
              <w:rPr>
                <w:rFonts w:ascii="Gill Sans" w:hAnsi="Gill Sans" w:cs="Gill Sans"/>
                <w:color w:val="000000"/>
                <w:szCs w:val="22"/>
                <w:lang w:val="en-GB"/>
              </w:rPr>
              <w:t xml:space="preserve">Although </w:t>
            </w:r>
            <w:r w:rsidR="00EE625B">
              <w:rPr>
                <w:rFonts w:ascii="Gill Sans" w:hAnsi="Gill Sans" w:cs="Gill Sans"/>
                <w:color w:val="000000"/>
                <w:szCs w:val="22"/>
                <w:lang w:val="en-GB"/>
              </w:rPr>
              <w:t>transition into and through</w:t>
            </w:r>
            <w:r w:rsidR="00EE625B" w:rsidRPr="00EE625B">
              <w:rPr>
                <w:rFonts w:ascii="Gill Sans" w:hAnsi="Gill Sans" w:cs="Gill Sans"/>
                <w:color w:val="000000"/>
                <w:szCs w:val="22"/>
                <w:lang w:val="en-GB"/>
              </w:rPr>
              <w:t xml:space="preserve"> </w:t>
            </w:r>
            <w:r w:rsidR="00EE625B">
              <w:rPr>
                <w:rFonts w:ascii="Gill Sans" w:hAnsi="Gill Sans" w:cs="Gill Sans"/>
                <w:color w:val="000000"/>
                <w:szCs w:val="22"/>
                <w:lang w:val="en-GB"/>
              </w:rPr>
              <w:t>HE</w:t>
            </w:r>
            <w:r w:rsidR="00EE625B" w:rsidRPr="00EE625B">
              <w:rPr>
                <w:rFonts w:ascii="Gill Sans" w:hAnsi="Gill Sans" w:cs="Gill Sans"/>
                <w:color w:val="000000"/>
                <w:szCs w:val="22"/>
                <w:lang w:val="en-GB"/>
              </w:rPr>
              <w:t xml:space="preserve"> can be challenging for all learners</w:t>
            </w:r>
            <w:r w:rsidR="00EE625B">
              <w:rPr>
                <w:rFonts w:ascii="Gill Sans" w:hAnsi="Gill Sans" w:cs="Gill Sans"/>
                <w:color w:val="000000"/>
                <w:szCs w:val="22"/>
                <w:lang w:val="en-GB"/>
              </w:rPr>
              <w:t xml:space="preserve">, </w:t>
            </w:r>
            <w:r w:rsidR="00EE625B" w:rsidRPr="00EE625B">
              <w:rPr>
                <w:rFonts w:ascii="Gill Sans" w:hAnsi="Gill Sans" w:cs="Gill Sans"/>
                <w:color w:val="000000"/>
                <w:szCs w:val="22"/>
                <w:lang w:val="en-GB"/>
              </w:rPr>
              <w:t>SfRBs</w:t>
            </w:r>
            <w:r w:rsidR="00EE625B">
              <w:rPr>
                <w:rFonts w:ascii="Gill Sans" w:hAnsi="Gill Sans" w:cs="Gill Sans"/>
                <w:color w:val="000000"/>
                <w:szCs w:val="22"/>
                <w:lang w:val="en-GB"/>
              </w:rPr>
              <w:t xml:space="preserve"> often</w:t>
            </w:r>
            <w:r w:rsidR="00EE625B" w:rsidRPr="00EE625B">
              <w:rPr>
                <w:rFonts w:ascii="Gill Sans" w:hAnsi="Gill Sans" w:cs="Gill Sans"/>
                <w:color w:val="000000"/>
                <w:szCs w:val="22"/>
                <w:lang w:val="en-GB"/>
              </w:rPr>
              <w:t xml:space="preserve"> face </w:t>
            </w:r>
            <w:r w:rsidR="00EE625B">
              <w:rPr>
                <w:rFonts w:ascii="Gill Sans" w:hAnsi="Gill Sans" w:cs="Gill Sans"/>
                <w:color w:val="000000"/>
                <w:szCs w:val="22"/>
                <w:lang w:val="en-GB"/>
              </w:rPr>
              <w:t>specific</w:t>
            </w:r>
            <w:r w:rsidR="00EE625B" w:rsidRPr="00EE625B">
              <w:rPr>
                <w:rFonts w:ascii="Gill Sans" w:hAnsi="Gill Sans" w:cs="Gill Sans"/>
                <w:color w:val="000000"/>
                <w:szCs w:val="22"/>
                <w:lang w:val="en-GB"/>
              </w:rPr>
              <w:t xml:space="preserve"> difficulties due to their </w:t>
            </w:r>
            <w:r w:rsidR="006B1C21">
              <w:rPr>
                <w:rFonts w:ascii="Gill Sans" w:hAnsi="Gill Sans" w:cs="Gill Sans"/>
                <w:color w:val="000000"/>
                <w:szCs w:val="22"/>
                <w:lang w:val="en-GB"/>
              </w:rPr>
              <w:t>‘</w:t>
            </w:r>
            <w:r w:rsidR="00EE625B" w:rsidRPr="00EE625B">
              <w:rPr>
                <w:rFonts w:ascii="Gill Sans" w:hAnsi="Gill Sans" w:cs="Gill Sans"/>
                <w:color w:val="000000"/>
                <w:szCs w:val="22"/>
                <w:lang w:val="en-GB"/>
              </w:rPr>
              <w:t>culturally and linguistically diverse (CALD) backgrounds, and pre-settlement experiences of instability, insecurity, likely trauma and interrupted education</w:t>
            </w:r>
            <w:r w:rsidR="006B1C21">
              <w:rPr>
                <w:rFonts w:ascii="Gill Sans" w:hAnsi="Gill Sans" w:cs="Gill Sans"/>
                <w:color w:val="000000"/>
                <w:szCs w:val="22"/>
                <w:lang w:val="en-GB"/>
              </w:rPr>
              <w:t>’ (abstract)</w:t>
            </w:r>
            <w:r w:rsidR="00EE625B" w:rsidRPr="00EE625B">
              <w:rPr>
                <w:rFonts w:ascii="Gill Sans" w:hAnsi="Gill Sans" w:cs="Gill Sans"/>
                <w:color w:val="000000"/>
                <w:szCs w:val="22"/>
                <w:lang w:val="en-GB"/>
              </w:rPr>
              <w:t>.</w:t>
            </w:r>
            <w:r w:rsidR="006B1C21">
              <w:rPr>
                <w:rFonts w:ascii="Gill Sans" w:hAnsi="Gill Sans" w:cs="Gill Sans"/>
                <w:color w:val="000000"/>
                <w:szCs w:val="22"/>
                <w:lang w:val="en-GB"/>
              </w:rPr>
              <w:t xml:space="preserve"> The authors note that despite the recognition of these challenges in the literature, ‘scant empirical attention’ is given to how ‘SfRBs </w:t>
            </w:r>
            <w:r w:rsidR="006B1C21" w:rsidRPr="006B1C21">
              <w:rPr>
                <w:rFonts w:ascii="Gill Sans" w:hAnsi="Gill Sans" w:cs="Gill Sans"/>
                <w:color w:val="000000"/>
                <w:szCs w:val="22"/>
                <w:lang w:val="en-GB"/>
              </w:rPr>
              <w:t>experience the adaptations necessary for (a) transitioning into the ‘home’ culture(s) and language(s) of the settlement country, and (b) the expectations and practices of the academy</w:t>
            </w:r>
            <w:r w:rsidR="006B1C21">
              <w:rPr>
                <w:rFonts w:ascii="Gill Sans" w:hAnsi="Gill Sans" w:cs="Gill Sans"/>
                <w:color w:val="000000"/>
                <w:szCs w:val="22"/>
                <w:lang w:val="en-GB"/>
              </w:rPr>
              <w:t>’ (p. 2)</w:t>
            </w:r>
            <w:r w:rsidR="006B1C21" w:rsidRPr="006B1C21">
              <w:rPr>
                <w:rFonts w:ascii="Gill Sans" w:hAnsi="Gill Sans" w:cs="Gill Sans"/>
                <w:color w:val="000000"/>
                <w:szCs w:val="22"/>
                <w:lang w:val="en-GB"/>
              </w:rPr>
              <w:t xml:space="preserve">. </w:t>
            </w:r>
          </w:p>
          <w:p w14:paraId="4A472977" w14:textId="4FBB2BD9" w:rsidR="00F934ED" w:rsidRPr="006B1C21"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sidR="006B1C21">
              <w:rPr>
                <w:rFonts w:ascii="Gill Sans" w:hAnsi="Gill Sans" w:cs="Gill Sans"/>
                <w:color w:val="000000"/>
                <w:szCs w:val="22"/>
                <w:lang w:val="en-AU"/>
              </w:rPr>
              <w:t xml:space="preserve">To offer a detailed account of the transition journeys (through, out of, and back into HE) of CALDM/R participants who moved from a TAFE context into a regional Australian university, and investigate the systematic, structural and individual opportunities and limitations experienced by the student-participants. </w:t>
            </w:r>
          </w:p>
          <w:p w14:paraId="11F045AB" w14:textId="5C1F1A46" w:rsidR="006B1C21" w:rsidRPr="006B1C21" w:rsidRDefault="00F934ED" w:rsidP="006B1C21">
            <w:pPr>
              <w:rPr>
                <w:rFonts w:ascii="Gill Sans" w:hAnsi="Gill Sans" w:cs="Gill Sans"/>
                <w:color w:val="000000"/>
                <w:szCs w:val="22"/>
                <w:lang w:val="en-GB"/>
              </w:rPr>
            </w:pPr>
            <w:r w:rsidRPr="00076E76">
              <w:rPr>
                <w:rFonts w:ascii="Gill Sans" w:hAnsi="Gill Sans" w:cs="Gill Sans"/>
                <w:b/>
                <w:color w:val="000000"/>
                <w:szCs w:val="22"/>
                <w:lang w:val="en-AU"/>
              </w:rPr>
              <w:t>Theoretical frame:</w:t>
            </w:r>
            <w:r w:rsidR="006B1C21">
              <w:rPr>
                <w:rFonts w:ascii="Gill Sans" w:hAnsi="Gill Sans" w:cs="Gill Sans"/>
                <w:b/>
                <w:color w:val="000000"/>
                <w:szCs w:val="22"/>
                <w:lang w:val="en-AU"/>
              </w:rPr>
              <w:t xml:space="preserve"> </w:t>
            </w:r>
            <w:r w:rsidR="006B1C21">
              <w:rPr>
                <w:rFonts w:ascii="Gill Sans" w:hAnsi="Gill Sans" w:cs="Gill Sans"/>
                <w:color w:val="000000"/>
                <w:szCs w:val="22"/>
                <w:lang w:val="en-AU"/>
              </w:rPr>
              <w:t>1)Notion of ‘liminality’ – refers to the ‘</w:t>
            </w:r>
            <w:r w:rsidR="006B1C21" w:rsidRPr="006B1C21">
              <w:rPr>
                <w:rFonts w:ascii="Gill Sans" w:hAnsi="Gill Sans" w:cs="Gill Sans"/>
                <w:color w:val="000000"/>
                <w:szCs w:val="22"/>
                <w:lang w:val="en-GB"/>
              </w:rPr>
              <w:t xml:space="preserve">ambiguous, unstable middle ground of a ritual where the individual has moved from one state but is yet to navigate the changes to move into the next state, </w:t>
            </w:r>
            <w:r w:rsidR="006B1C21" w:rsidRPr="006B1C21">
              <w:rPr>
                <w:rFonts w:ascii="Gill Sans" w:hAnsi="Gill Sans" w:cs="Gill Sans"/>
                <w:color w:val="000000"/>
                <w:szCs w:val="22"/>
                <w:lang w:val="en-GB"/>
              </w:rPr>
              <w:lastRenderedPageBreak/>
              <w:t>or the ‘in-between period where one is no longer who previously existed, nor has yet developed into</w:t>
            </w:r>
            <w:r w:rsidR="006B1C21">
              <w:rPr>
                <w:rFonts w:ascii="Gill Sans" w:hAnsi="Gill Sans" w:cs="Gill Sans"/>
                <w:color w:val="000000"/>
                <w:szCs w:val="22"/>
                <w:lang w:val="en-GB"/>
              </w:rPr>
              <w:t>’</w:t>
            </w:r>
            <w:r w:rsidR="006B1C21" w:rsidRPr="006B1C21">
              <w:rPr>
                <w:rFonts w:ascii="Gill Sans" w:hAnsi="Gill Sans" w:cs="Gill Sans"/>
                <w:color w:val="000000"/>
                <w:szCs w:val="22"/>
                <w:lang w:val="en-GB"/>
              </w:rPr>
              <w:t xml:space="preserve"> (Keefer 2015, xx)</w:t>
            </w:r>
            <w:r w:rsidR="006B1C21">
              <w:rPr>
                <w:rFonts w:ascii="Gill Sans" w:hAnsi="Gill Sans" w:cs="Gill Sans"/>
                <w:color w:val="000000"/>
                <w:szCs w:val="22"/>
                <w:lang w:val="en-GB"/>
              </w:rPr>
              <w:t>; Liminality theories: ‘V</w:t>
            </w:r>
            <w:r w:rsidR="006B1C21" w:rsidRPr="006B1C21">
              <w:rPr>
                <w:rFonts w:ascii="Gill Sans" w:hAnsi="Gill Sans" w:cs="Gill Sans"/>
                <w:color w:val="000000"/>
                <w:szCs w:val="22"/>
                <w:lang w:val="en-GB"/>
              </w:rPr>
              <w:t>iew movements between states (rites of passage) as composed of three stages: pre-liminal, liminal and post-liminal</w:t>
            </w:r>
            <w:r w:rsidR="006B1C21">
              <w:rPr>
                <w:rFonts w:ascii="Gill Sans" w:hAnsi="Gill Sans" w:cs="Gill Sans"/>
                <w:color w:val="000000"/>
                <w:szCs w:val="22"/>
                <w:lang w:val="en-GB"/>
              </w:rPr>
              <w:t>’ (p. 5)</w:t>
            </w:r>
            <w:r w:rsidR="006B1C21" w:rsidRPr="006B1C21">
              <w:rPr>
                <w:rFonts w:ascii="Gill Sans" w:hAnsi="Gill Sans" w:cs="Gill Sans"/>
                <w:color w:val="000000"/>
                <w:szCs w:val="22"/>
                <w:lang w:val="en-GB"/>
              </w:rPr>
              <w:t xml:space="preserve"> (Turner 1969)</w:t>
            </w:r>
            <w:r w:rsidR="006B1C21">
              <w:rPr>
                <w:rFonts w:ascii="Gill Sans" w:hAnsi="Gill Sans" w:cs="Gill Sans"/>
                <w:color w:val="000000"/>
                <w:szCs w:val="22"/>
                <w:lang w:val="en-GB"/>
              </w:rPr>
              <w:t>. 2) ‘Turning points’ and ‘stuck places’ – ‘Turning Points’ – when an ‘</w:t>
            </w:r>
            <w:r w:rsidR="006B1C21" w:rsidRPr="006B1C21">
              <w:rPr>
                <w:rFonts w:ascii="Gill Sans" w:hAnsi="Gill Sans" w:cs="Gill Sans"/>
                <w:color w:val="000000"/>
                <w:szCs w:val="22"/>
                <w:lang w:val="en-GB"/>
              </w:rPr>
              <w:t>individual identifies and negotiates the changes needed for transformation to be successfully achieved and alternative subject positions become available</w:t>
            </w:r>
            <w:r w:rsidR="006B1C21">
              <w:rPr>
                <w:rFonts w:ascii="Gill Sans" w:hAnsi="Gill Sans" w:cs="Gill Sans"/>
                <w:color w:val="000000"/>
                <w:szCs w:val="22"/>
                <w:lang w:val="en-GB"/>
              </w:rPr>
              <w:t>’ (p. 6); ‘Stuck places’ – ‘antithetical concept to turning points’ (p. 6); ‘</w:t>
            </w:r>
            <w:r w:rsidR="006B1C21" w:rsidRPr="006B1C21">
              <w:rPr>
                <w:rFonts w:ascii="Gill Sans" w:hAnsi="Gill Sans" w:cs="Gill Sans"/>
                <w:color w:val="000000"/>
                <w:szCs w:val="22"/>
                <w:lang w:val="en-GB"/>
              </w:rPr>
              <w:t>the places of misunderstandings and confusion, with oscillation between states of knowledge’</w:t>
            </w:r>
            <w:r w:rsidR="00C861EA">
              <w:rPr>
                <w:rFonts w:ascii="Gill Sans" w:hAnsi="Gill Sans" w:cs="Gill Sans"/>
                <w:color w:val="000000"/>
                <w:szCs w:val="22"/>
                <w:lang w:val="en-GB"/>
              </w:rPr>
              <w:t xml:space="preserve"> (Heading &amp; Loughlin, 2018, p. 658), </w:t>
            </w:r>
            <w:r w:rsidR="006B1C21" w:rsidRPr="006B1C21">
              <w:rPr>
                <w:rFonts w:ascii="Gill Sans" w:hAnsi="Gill Sans" w:cs="Gill Sans"/>
                <w:color w:val="000000"/>
                <w:szCs w:val="22"/>
                <w:lang w:val="en-GB"/>
              </w:rPr>
              <w:t>which are often due to ‘a reluctance or inability of the learner to move from common sense or old knowledge to theoretical or new knowledge’ (</w:t>
            </w:r>
            <w:r w:rsidR="00C861EA">
              <w:rPr>
                <w:rFonts w:ascii="Gill Sans" w:hAnsi="Gill Sans" w:cs="Gill Sans"/>
                <w:color w:val="000000"/>
                <w:szCs w:val="22"/>
                <w:lang w:val="en-GB"/>
              </w:rPr>
              <w:t xml:space="preserve">p. </w:t>
            </w:r>
            <w:r w:rsidR="006B1C21" w:rsidRPr="006B1C21">
              <w:rPr>
                <w:rFonts w:ascii="Gill Sans" w:hAnsi="Gill Sans" w:cs="Gill Sans"/>
                <w:color w:val="000000"/>
                <w:szCs w:val="22"/>
                <w:lang w:val="en-GB"/>
              </w:rPr>
              <w:t xml:space="preserve">664). </w:t>
            </w:r>
          </w:p>
          <w:p w14:paraId="7689BA3E" w14:textId="0217BF19" w:rsidR="00F934ED" w:rsidRPr="00C861EA"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00C861EA">
              <w:rPr>
                <w:rFonts w:ascii="Gill Sans" w:hAnsi="Gill Sans" w:cs="Gill Sans"/>
                <w:color w:val="000000"/>
                <w:szCs w:val="22"/>
                <w:lang w:val="en-AU"/>
              </w:rPr>
              <w:t>Longitudinal, ethnographic study; Repeat interaction methodology; Participants: Newly arrived adult SfRBs from a middle Eastern war-plagued country transitioning from TAFE to university (n=7); Sampling strategy: Purposeful sampling; Data collection methods: One-on-one interviews (5</w:t>
            </w:r>
            <w:proofErr w:type="gramStart"/>
            <w:r w:rsidR="00C861EA">
              <w:rPr>
                <w:rFonts w:ascii="Gill Sans" w:hAnsi="Gill Sans" w:cs="Gill Sans"/>
                <w:color w:val="000000"/>
                <w:szCs w:val="22"/>
                <w:lang w:val="en-AU"/>
              </w:rPr>
              <w:t>);Focus</w:t>
            </w:r>
            <w:proofErr w:type="gramEnd"/>
            <w:r w:rsidR="00C861EA">
              <w:rPr>
                <w:rFonts w:ascii="Gill Sans" w:hAnsi="Gill Sans" w:cs="Gill Sans"/>
                <w:color w:val="000000"/>
                <w:szCs w:val="22"/>
                <w:lang w:val="en-AU"/>
              </w:rPr>
              <w:t xml:space="preserve"> groups (3). </w:t>
            </w:r>
          </w:p>
          <w:p w14:paraId="12E5E5EA" w14:textId="572A4F4E" w:rsidR="00113CEB" w:rsidRDefault="00F934ED" w:rsidP="00113CEB">
            <w:pPr>
              <w:rPr>
                <w:rFonts w:ascii="Gill Sans" w:hAnsi="Gill Sans" w:cs="Gill Sans"/>
                <w:color w:val="000000"/>
                <w:szCs w:val="22"/>
                <w:lang w:val="en-GB"/>
              </w:rPr>
            </w:pPr>
            <w:r w:rsidRPr="00076E76">
              <w:rPr>
                <w:rFonts w:ascii="Gill Sans" w:hAnsi="Gill Sans" w:cs="Gill Sans"/>
                <w:b/>
                <w:color w:val="000000"/>
                <w:szCs w:val="22"/>
                <w:lang w:val="en-AU"/>
              </w:rPr>
              <w:t xml:space="preserve">Findings: </w:t>
            </w:r>
            <w:r w:rsidR="00E80089">
              <w:rPr>
                <w:rFonts w:ascii="Gill Sans" w:hAnsi="Gill Sans" w:cs="Gill Sans"/>
                <w:color w:val="000000"/>
                <w:szCs w:val="22"/>
                <w:lang w:val="en-AU"/>
              </w:rPr>
              <w:t>1)Common experiences of all students: ‘</w:t>
            </w:r>
            <w:r w:rsidR="00E80089" w:rsidRPr="00E80089">
              <w:rPr>
                <w:rFonts w:ascii="Gill Sans" w:hAnsi="Gill Sans" w:cs="Gill Sans"/>
                <w:color w:val="000000"/>
                <w:szCs w:val="22"/>
                <w:lang w:val="en-GB"/>
              </w:rPr>
              <w:t>having to leave their home country abruptly, moving to a country with different values, cultural practices, educational systems and language, and being the primary translator and organiser of the family</w:t>
            </w:r>
            <w:r w:rsidR="00E80089">
              <w:rPr>
                <w:rFonts w:ascii="Gill Sans" w:hAnsi="Gill Sans" w:cs="Gill Sans"/>
                <w:color w:val="000000"/>
                <w:szCs w:val="22"/>
                <w:lang w:val="en-GB"/>
              </w:rPr>
              <w:t>’ (p. 9); 2)Significant individual differences: ‘</w:t>
            </w:r>
            <w:r w:rsidR="00E80089" w:rsidRPr="00E80089">
              <w:rPr>
                <w:rFonts w:ascii="Gill Sans" w:hAnsi="Gill Sans" w:cs="Gill Sans"/>
                <w:color w:val="000000"/>
                <w:szCs w:val="22"/>
                <w:lang w:val="en-GB"/>
              </w:rPr>
              <w:t>level of language and literacy proficiency, familiarity with Australia’s education system, and obligations falling outside of traditionally held boundaries of study</w:t>
            </w:r>
            <w:r w:rsidR="00E80089">
              <w:rPr>
                <w:rFonts w:ascii="Gill Sans" w:hAnsi="Gill Sans" w:cs="Gill Sans"/>
                <w:color w:val="000000"/>
                <w:szCs w:val="22"/>
                <w:lang w:val="en-GB"/>
              </w:rPr>
              <w:t xml:space="preserve">’ (p. 9); Three participants (Khan, John &amp; Nilofer) – relatively ‘linear’ transition from AMEP studies, into enabling program and consequently into their chosen undergraduate programs; Four participants (Ahmad, Andy, Rahman &amp; </w:t>
            </w:r>
            <w:proofErr w:type="spellStart"/>
            <w:r w:rsidR="00E80089">
              <w:rPr>
                <w:rFonts w:ascii="Gill Sans" w:hAnsi="Gill Sans" w:cs="Gill Sans"/>
                <w:color w:val="000000"/>
                <w:szCs w:val="22"/>
                <w:lang w:val="en-GB"/>
              </w:rPr>
              <w:t>Modaser</w:t>
            </w:r>
            <w:proofErr w:type="spellEnd"/>
            <w:r w:rsidR="00E80089">
              <w:rPr>
                <w:rFonts w:ascii="Gill Sans" w:hAnsi="Gill Sans" w:cs="Gill Sans"/>
                <w:color w:val="000000"/>
                <w:szCs w:val="22"/>
                <w:lang w:val="en-GB"/>
              </w:rPr>
              <w:t xml:space="preserve">) – did not complete enabling studies, and therefore failed to gain access into their desired undergraduate programs. These students returned to TAFE &amp; worked to fit studies around jobs and family responsibilities. 3)Key point of difference among participants: ‘balancing of competing demands on their time’ (p. 10); Khan, John &amp; Nilofer- able to study full time throughout the semester without working; Ahmad, Andy, Rahman &amp; </w:t>
            </w:r>
            <w:proofErr w:type="spellStart"/>
            <w:r w:rsidR="00E80089">
              <w:rPr>
                <w:rFonts w:ascii="Gill Sans" w:hAnsi="Gill Sans" w:cs="Gill Sans"/>
                <w:color w:val="000000"/>
                <w:szCs w:val="22"/>
                <w:lang w:val="en-GB"/>
              </w:rPr>
              <w:t>Modaser</w:t>
            </w:r>
            <w:proofErr w:type="spellEnd"/>
            <w:r w:rsidR="00E80089">
              <w:rPr>
                <w:rFonts w:ascii="Gill Sans" w:hAnsi="Gill Sans" w:cs="Gill Sans"/>
                <w:color w:val="000000"/>
                <w:szCs w:val="22"/>
                <w:lang w:val="en-GB"/>
              </w:rPr>
              <w:t xml:space="preserve"> – working was ‘essential’ (p. 10)</w:t>
            </w:r>
            <w:r w:rsidR="00113CEB">
              <w:rPr>
                <w:rFonts w:ascii="Gill Sans" w:hAnsi="Gill Sans" w:cs="Gill Sans"/>
                <w:color w:val="000000"/>
                <w:szCs w:val="22"/>
                <w:lang w:val="en-GB"/>
              </w:rPr>
              <w:t xml:space="preserve">. 4)Academic and cultural ‘threshold practices’ and stuck places – based on experiences of two participants (John &amp; Rahman): John - Most significant challenge: Expected level of vocabulary and linguistic knowledge; Second challenge: having to ‘learn how to learn’ (p. 12); Other challenges: Lack of access to technology; Inflexibility of the program design; heavy linguistic load of translation; and allure of a full-time wage. Rahman – Much more complex and complicated pathway to HE </w:t>
            </w:r>
            <w:proofErr w:type="spellStart"/>
            <w:r w:rsidR="00113CEB">
              <w:rPr>
                <w:rFonts w:ascii="Gill Sans" w:hAnsi="Gill Sans" w:cs="Gill Sans"/>
                <w:color w:val="000000"/>
                <w:szCs w:val="22"/>
                <w:lang w:val="en-GB"/>
              </w:rPr>
              <w:t>than</w:t>
            </w:r>
            <w:proofErr w:type="spellEnd"/>
            <w:r w:rsidR="00113CEB">
              <w:rPr>
                <w:rFonts w:ascii="Gill Sans" w:hAnsi="Gill Sans" w:cs="Gill Sans"/>
                <w:color w:val="000000"/>
                <w:szCs w:val="22"/>
                <w:lang w:val="en-GB"/>
              </w:rPr>
              <w:t xml:space="preserve"> John; Significant challenges: ‘</w:t>
            </w:r>
            <w:r w:rsidR="00113CEB" w:rsidRPr="00113CEB">
              <w:rPr>
                <w:rFonts w:ascii="Gill Sans" w:hAnsi="Gill Sans" w:cs="Gill Sans"/>
                <w:color w:val="000000"/>
                <w:szCs w:val="22"/>
                <w:lang w:val="en-GB"/>
              </w:rPr>
              <w:t>English language proficiency, academic literacies, and familiarity with academic systems and conventions</w:t>
            </w:r>
            <w:r w:rsidR="00113CEB">
              <w:rPr>
                <w:rFonts w:ascii="Gill Sans" w:hAnsi="Gill Sans" w:cs="Gill Sans"/>
                <w:color w:val="000000"/>
                <w:szCs w:val="22"/>
                <w:lang w:val="en-GB"/>
              </w:rPr>
              <w:t xml:space="preserve">’ (p. 14), balancing family &amp; study responsibilities. </w:t>
            </w:r>
          </w:p>
          <w:p w14:paraId="243AB80F" w14:textId="72981110" w:rsidR="00113CEB" w:rsidRPr="00113CEB" w:rsidRDefault="00113CEB" w:rsidP="00113CEB">
            <w:pPr>
              <w:rPr>
                <w:rFonts w:ascii="Gill Sans" w:hAnsi="Gill Sans" w:cs="Gill Sans"/>
                <w:color w:val="000000"/>
                <w:szCs w:val="22"/>
                <w:lang w:val="en-GB"/>
              </w:rPr>
            </w:pPr>
            <w:r w:rsidRPr="00113CEB">
              <w:rPr>
                <w:rFonts w:ascii="Gill Sans" w:hAnsi="Gill Sans" w:cs="Gill Sans"/>
                <w:b/>
                <w:color w:val="000000"/>
                <w:szCs w:val="22"/>
                <w:lang w:val="en-GB"/>
              </w:rPr>
              <w:t xml:space="preserve">Discussion: </w:t>
            </w:r>
            <w:r>
              <w:rPr>
                <w:rFonts w:ascii="Gill Sans" w:hAnsi="Gill Sans" w:cs="Gill Sans"/>
                <w:color w:val="000000"/>
                <w:szCs w:val="22"/>
                <w:lang w:val="en-GB"/>
              </w:rPr>
              <w:t>Transition challenges faced by participants are fuelled by several structural issues – 1) ‘</w:t>
            </w:r>
            <w:r w:rsidRPr="00113CEB">
              <w:rPr>
                <w:rFonts w:ascii="Gill Sans" w:hAnsi="Gill Sans" w:cs="Gill Sans"/>
                <w:color w:val="000000"/>
                <w:szCs w:val="22"/>
                <w:lang w:val="en-GB"/>
              </w:rPr>
              <w:t xml:space="preserve">macro understandings of transition as linear are built upon middle class ideals and assumptions about who is moving into higher education, and how, and ‘ideas about “fitting in” rest on the notion that the “middle-class” way of being a student is privileged and privileging’ (Christie, Day and Wager 2005, </w:t>
            </w:r>
            <w:r>
              <w:rPr>
                <w:rFonts w:ascii="Gill Sans" w:hAnsi="Gill Sans" w:cs="Gill Sans"/>
                <w:color w:val="000000"/>
                <w:szCs w:val="22"/>
                <w:lang w:val="en-GB"/>
              </w:rPr>
              <w:t xml:space="preserve">p. </w:t>
            </w:r>
            <w:r w:rsidRPr="00113CEB">
              <w:rPr>
                <w:rFonts w:ascii="Gill Sans" w:hAnsi="Gill Sans" w:cs="Gill Sans"/>
                <w:color w:val="000000"/>
                <w:szCs w:val="22"/>
                <w:lang w:val="en-GB"/>
              </w:rPr>
              <w:t>6)</w:t>
            </w:r>
            <w:r>
              <w:rPr>
                <w:rFonts w:ascii="Gill Sans" w:hAnsi="Gill Sans" w:cs="Gill Sans"/>
                <w:color w:val="000000"/>
                <w:szCs w:val="22"/>
                <w:lang w:val="en-GB"/>
              </w:rPr>
              <w:t>; 2) ‘C</w:t>
            </w:r>
            <w:r w:rsidRPr="00113CEB">
              <w:rPr>
                <w:rFonts w:ascii="Gill Sans" w:hAnsi="Gill Sans" w:cs="Gill Sans"/>
                <w:color w:val="000000"/>
                <w:szCs w:val="22"/>
                <w:lang w:val="en-GB"/>
              </w:rPr>
              <w:t xml:space="preserve">onceptualisations of </w:t>
            </w:r>
            <w:r w:rsidRPr="00113CEB">
              <w:rPr>
                <w:rFonts w:ascii="Gill Sans" w:hAnsi="Gill Sans" w:cs="Gill Sans"/>
                <w:color w:val="000000"/>
                <w:szCs w:val="22"/>
                <w:lang w:val="en-GB"/>
              </w:rPr>
              <w:lastRenderedPageBreak/>
              <w:t>transition as having fixed entry and exit points deny the need for many students to hit the pause button and wait for life to recalibrate in ways that offer better conditions for study</w:t>
            </w:r>
            <w:r>
              <w:rPr>
                <w:rFonts w:ascii="Gill Sans" w:hAnsi="Gill Sans" w:cs="Gill Sans"/>
                <w:color w:val="000000"/>
                <w:szCs w:val="22"/>
                <w:lang w:val="en-GB"/>
              </w:rPr>
              <w:t>’ (p. 16);  3)</w:t>
            </w:r>
            <w:r w:rsidRPr="00113CEB">
              <w:rPr>
                <w:rFonts w:ascii="Gill Sans" w:hAnsi="Gill Sans" w:cs="Gill Sans"/>
                <w:color w:val="000000"/>
                <w:szCs w:val="22"/>
                <w:lang w:val="en-GB"/>
              </w:rPr>
              <w:t xml:space="preserve"> </w:t>
            </w:r>
            <w:r>
              <w:rPr>
                <w:rFonts w:ascii="Gill Sans" w:hAnsi="Gill Sans" w:cs="Gill Sans"/>
                <w:color w:val="000000"/>
                <w:szCs w:val="22"/>
                <w:lang w:val="en-GB"/>
              </w:rPr>
              <w:t>Institutional</w:t>
            </w:r>
            <w:r w:rsidRPr="00113CEB">
              <w:rPr>
                <w:rFonts w:ascii="Gill Sans" w:hAnsi="Gill Sans" w:cs="Gill Sans"/>
                <w:color w:val="000000"/>
                <w:szCs w:val="22"/>
                <w:lang w:val="en-GB"/>
              </w:rPr>
              <w:t xml:space="preserve"> assumptions</w:t>
            </w:r>
            <w:r>
              <w:rPr>
                <w:rFonts w:ascii="Gill Sans" w:hAnsi="Gill Sans" w:cs="Gill Sans"/>
                <w:color w:val="000000"/>
                <w:szCs w:val="22"/>
                <w:lang w:val="en-GB"/>
              </w:rPr>
              <w:t xml:space="preserve"> about who students are, what they know and how they do things</w:t>
            </w:r>
            <w:r w:rsidRPr="00113CEB">
              <w:rPr>
                <w:rFonts w:ascii="Gill Sans" w:hAnsi="Gill Sans" w:cs="Gill Sans"/>
                <w:color w:val="000000"/>
                <w:szCs w:val="22"/>
                <w:lang w:val="en-GB"/>
              </w:rPr>
              <w:t xml:space="preserve"> play out at the micro (individual) level, particularly with regard to the kinds of academic practices and navigational knowledge that students are assumed to have/bring to their studies</w:t>
            </w:r>
            <w:r>
              <w:rPr>
                <w:rFonts w:ascii="Gill Sans" w:hAnsi="Gill Sans" w:cs="Gill Sans"/>
                <w:color w:val="000000"/>
                <w:szCs w:val="22"/>
                <w:lang w:val="en-GB"/>
              </w:rPr>
              <w:t>. Implications: 1) U</w:t>
            </w:r>
            <w:r w:rsidRPr="00113CEB">
              <w:rPr>
                <w:rFonts w:ascii="Gill Sans" w:hAnsi="Gill Sans" w:cs="Gill Sans"/>
                <w:color w:val="000000"/>
                <w:szCs w:val="22"/>
                <w:lang w:val="en-GB"/>
              </w:rPr>
              <w:t xml:space="preserve">niversities </w:t>
            </w:r>
            <w:r>
              <w:rPr>
                <w:rFonts w:ascii="Gill Sans" w:hAnsi="Gill Sans" w:cs="Gill Sans"/>
                <w:color w:val="000000"/>
                <w:szCs w:val="22"/>
                <w:lang w:val="en-GB"/>
              </w:rPr>
              <w:t>should ‘</w:t>
            </w:r>
            <w:r w:rsidRPr="00113CEB">
              <w:rPr>
                <w:rFonts w:ascii="Gill Sans" w:hAnsi="Gill Sans" w:cs="Gill Sans"/>
                <w:color w:val="000000"/>
                <w:szCs w:val="22"/>
                <w:lang w:val="en-GB"/>
              </w:rPr>
              <w:t>resist the complacency and assumed linearity that underpins many transition-focused initiatives by designing ongoing transition programs and activities that are people-rich, and which can better capture and respond to the needs of ‘non-traditional’ students like refugees</w:t>
            </w:r>
            <w:r>
              <w:rPr>
                <w:rFonts w:ascii="Gill Sans" w:hAnsi="Gill Sans" w:cs="Gill Sans"/>
                <w:color w:val="000000"/>
                <w:szCs w:val="22"/>
                <w:lang w:val="en-GB"/>
              </w:rPr>
              <w:t>’ (p. 16); 2) ‘U</w:t>
            </w:r>
            <w:r w:rsidRPr="00113CEB">
              <w:rPr>
                <w:rFonts w:ascii="Gill Sans" w:hAnsi="Gill Sans" w:cs="Gill Sans"/>
                <w:color w:val="000000"/>
                <w:szCs w:val="22"/>
                <w:lang w:val="en-GB"/>
              </w:rPr>
              <w:t>niversities should develop and adopt strategies that recognise and emerge from students’ ‘interim literacies’ (Paxton 2007) – hybrid, emergent and intertextual practices, which build on the varying discourses and languages that students bring with them to their studies</w:t>
            </w:r>
            <w:r w:rsidR="00DD338D">
              <w:rPr>
                <w:rFonts w:ascii="Gill Sans" w:hAnsi="Gill Sans" w:cs="Gill Sans"/>
                <w:color w:val="000000"/>
                <w:szCs w:val="22"/>
                <w:lang w:val="en-GB"/>
              </w:rPr>
              <w:t>’ (p. 16)</w:t>
            </w:r>
            <w:r w:rsidRPr="00113CEB">
              <w:rPr>
                <w:rFonts w:ascii="Gill Sans" w:hAnsi="Gill Sans" w:cs="Gill Sans"/>
                <w:color w:val="000000"/>
                <w:szCs w:val="22"/>
                <w:lang w:val="en-GB"/>
              </w:rPr>
              <w:t xml:space="preserve">. </w:t>
            </w:r>
          </w:p>
          <w:p w14:paraId="09FB784A" w14:textId="5FC77671" w:rsidR="00E91542" w:rsidRPr="00DD338D" w:rsidRDefault="00F934ED" w:rsidP="00F934ED">
            <w:pPr>
              <w:rPr>
                <w:rFonts w:ascii="Gill Sans" w:hAnsi="Gill Sans" w:cs="Gill Sans"/>
                <w:color w:val="000000"/>
                <w:szCs w:val="22"/>
                <w:lang w:val="en-GB"/>
              </w:rPr>
            </w:pPr>
            <w:r w:rsidRPr="00076E76">
              <w:rPr>
                <w:rFonts w:ascii="Gill Sans" w:hAnsi="Gill Sans" w:cs="Gill Sans"/>
                <w:b/>
                <w:color w:val="000000"/>
                <w:szCs w:val="22"/>
                <w:lang w:val="en-AU"/>
              </w:rPr>
              <w:t>Core argument:</w:t>
            </w:r>
            <w:r w:rsidR="00DD338D">
              <w:rPr>
                <w:rFonts w:ascii="Gill Sans" w:hAnsi="Gill Sans" w:cs="Gill Sans"/>
                <w:b/>
                <w:color w:val="000000"/>
                <w:szCs w:val="22"/>
                <w:lang w:val="en-AU"/>
              </w:rPr>
              <w:t xml:space="preserve"> </w:t>
            </w:r>
            <w:r w:rsidR="00DD338D">
              <w:rPr>
                <w:rFonts w:ascii="Gill Sans" w:hAnsi="Gill Sans" w:cs="Gill Sans"/>
                <w:color w:val="000000"/>
                <w:szCs w:val="22"/>
                <w:lang w:val="en-AU"/>
              </w:rPr>
              <w:t xml:space="preserve">In reality, </w:t>
            </w:r>
            <w:r w:rsidR="00DD338D">
              <w:rPr>
                <w:rFonts w:ascii="Gill Sans" w:hAnsi="Gill Sans" w:cs="Gill Sans"/>
                <w:color w:val="000000"/>
                <w:szCs w:val="22"/>
                <w:lang w:val="en-GB"/>
              </w:rPr>
              <w:t>transition is complex</w:t>
            </w:r>
            <w:r w:rsidR="00DD338D" w:rsidRPr="00DD338D">
              <w:rPr>
                <w:rFonts w:ascii="Gill Sans" w:hAnsi="Gill Sans" w:cs="Gill Sans"/>
                <w:color w:val="000000"/>
                <w:szCs w:val="22"/>
                <w:lang w:val="en-GB"/>
              </w:rPr>
              <w:t xml:space="preserve">, and despite good intentions and opportunities to access university, many </w:t>
            </w:r>
            <w:r w:rsidR="00DD338D">
              <w:rPr>
                <w:rFonts w:ascii="Gill Sans" w:hAnsi="Gill Sans" w:cs="Gill Sans"/>
                <w:color w:val="000000"/>
                <w:szCs w:val="22"/>
                <w:lang w:val="en-GB"/>
              </w:rPr>
              <w:t>students are</w:t>
            </w:r>
            <w:r w:rsidR="00DD338D" w:rsidRPr="00DD338D">
              <w:rPr>
                <w:rFonts w:ascii="Gill Sans" w:hAnsi="Gill Sans" w:cs="Gill Sans"/>
                <w:color w:val="000000"/>
                <w:szCs w:val="22"/>
                <w:lang w:val="en-GB"/>
              </w:rPr>
              <w:t xml:space="preserve"> ‘stuck’ </w:t>
            </w:r>
            <w:r w:rsidR="00DD338D">
              <w:rPr>
                <w:rFonts w:ascii="Gill Sans" w:hAnsi="Gill Sans" w:cs="Gill Sans"/>
                <w:color w:val="000000"/>
                <w:szCs w:val="22"/>
                <w:lang w:val="en-GB"/>
              </w:rPr>
              <w:t>due to</w:t>
            </w:r>
            <w:r w:rsidR="00DD338D" w:rsidRPr="00DD338D">
              <w:rPr>
                <w:rFonts w:ascii="Gill Sans" w:hAnsi="Gill Sans" w:cs="Gill Sans"/>
                <w:color w:val="000000"/>
                <w:szCs w:val="22"/>
                <w:lang w:val="en-GB"/>
              </w:rPr>
              <w:t xml:space="preserve"> </w:t>
            </w:r>
            <w:r w:rsidR="00DD338D">
              <w:rPr>
                <w:rFonts w:ascii="Gill Sans" w:hAnsi="Gill Sans" w:cs="Gill Sans"/>
                <w:color w:val="000000"/>
                <w:szCs w:val="22"/>
                <w:lang w:val="en-GB"/>
              </w:rPr>
              <w:t>‘</w:t>
            </w:r>
            <w:r w:rsidR="00DD338D" w:rsidRPr="00DD338D">
              <w:rPr>
                <w:rFonts w:ascii="Gill Sans" w:hAnsi="Gill Sans" w:cs="Gill Sans"/>
                <w:color w:val="000000"/>
                <w:szCs w:val="22"/>
                <w:lang w:val="en-GB"/>
              </w:rPr>
              <w:t>monolithic assumptions about what students bring with them and can do, and unrealistic expectations of individuals’ capacity to help themselves without targeted and responsive supports</w:t>
            </w:r>
            <w:r w:rsidR="00DD338D">
              <w:rPr>
                <w:rFonts w:ascii="Gill Sans" w:hAnsi="Gill Sans" w:cs="Gill Sans"/>
                <w:color w:val="000000"/>
                <w:szCs w:val="22"/>
                <w:lang w:val="en-GB"/>
              </w:rPr>
              <w:t>’ (p. 17)</w:t>
            </w:r>
            <w:r w:rsidR="00DD338D" w:rsidRPr="00DD338D">
              <w:rPr>
                <w:rFonts w:ascii="Gill Sans" w:hAnsi="Gill Sans" w:cs="Gill Sans"/>
                <w:color w:val="000000"/>
                <w:szCs w:val="22"/>
                <w:lang w:val="en-GB"/>
              </w:rPr>
              <w:t>.</w:t>
            </w:r>
            <w:r w:rsidR="00DD338D">
              <w:rPr>
                <w:rFonts w:ascii="Gill Sans" w:hAnsi="Gill Sans" w:cs="Gill Sans"/>
                <w:color w:val="000000"/>
                <w:szCs w:val="22"/>
                <w:lang w:val="en-GB"/>
              </w:rPr>
              <w:t xml:space="preserve"> HEIs should therefore do more to ‘</w:t>
            </w:r>
            <w:r w:rsidR="00DD338D" w:rsidRPr="00DD338D">
              <w:rPr>
                <w:rFonts w:ascii="Gill Sans" w:hAnsi="Gill Sans" w:cs="Gill Sans"/>
                <w:color w:val="000000"/>
                <w:szCs w:val="22"/>
                <w:lang w:val="en-GB"/>
              </w:rPr>
              <w:t xml:space="preserve">understand and value the rich heterogeneity of students’ </w:t>
            </w:r>
            <w:proofErr w:type="gramStart"/>
            <w:r w:rsidR="00DD338D" w:rsidRPr="00DD338D">
              <w:rPr>
                <w:rFonts w:ascii="Gill Sans" w:hAnsi="Gill Sans" w:cs="Gill Sans"/>
                <w:color w:val="000000"/>
                <w:szCs w:val="22"/>
                <w:lang w:val="en-GB"/>
              </w:rPr>
              <w:t>experiences, and</w:t>
            </w:r>
            <w:proofErr w:type="gramEnd"/>
            <w:r w:rsidR="00DD338D" w:rsidRPr="00DD338D">
              <w:rPr>
                <w:rFonts w:ascii="Gill Sans" w:hAnsi="Gill Sans" w:cs="Gill Sans"/>
                <w:color w:val="000000"/>
                <w:szCs w:val="22"/>
                <w:lang w:val="en-GB"/>
              </w:rPr>
              <w:t xml:space="preserve"> develop more nuanced and flexible teaching and learning approaches to support</w:t>
            </w:r>
            <w:r w:rsidR="00DD338D">
              <w:rPr>
                <w:rFonts w:ascii="Gill Sans" w:hAnsi="Gill Sans" w:cs="Gill Sans"/>
                <w:color w:val="000000"/>
                <w:szCs w:val="22"/>
                <w:lang w:val="en-GB"/>
              </w:rPr>
              <w:t>’ (p. 17)</w:t>
            </w:r>
            <w:r w:rsidR="00DD338D" w:rsidRPr="00DD338D">
              <w:rPr>
                <w:rFonts w:ascii="Gill Sans" w:hAnsi="Gill Sans" w:cs="Gill Sans"/>
                <w:color w:val="000000"/>
                <w:szCs w:val="22"/>
                <w:lang w:val="en-GB"/>
              </w:rPr>
              <w:t xml:space="preserve">. </w:t>
            </w:r>
          </w:p>
        </w:tc>
      </w:tr>
      <w:tr w:rsidR="008A16D2" w:rsidRPr="00076E76" w14:paraId="6D7BC926" w14:textId="77777777" w:rsidTr="002E557C">
        <w:tc>
          <w:tcPr>
            <w:tcW w:w="5529" w:type="dxa"/>
          </w:tcPr>
          <w:p w14:paraId="30BE5E34" w14:textId="56C5697D" w:rsidR="008A16D2" w:rsidRPr="00076E76" w:rsidRDefault="008A16D2" w:rsidP="008A16D2">
            <w:pPr>
              <w:rPr>
                <w:rFonts w:ascii="Gill Sans" w:eastAsiaTheme="minorHAnsi" w:hAnsi="Gill Sans" w:cs="Gill Sans"/>
                <w:szCs w:val="22"/>
              </w:rPr>
            </w:pPr>
            <w:r w:rsidRPr="00076E76">
              <w:rPr>
                <w:rFonts w:ascii="Gill Sans" w:eastAsiaTheme="minorHAnsi" w:hAnsi="Gill Sans" w:cs="Gill Sans"/>
                <w:szCs w:val="22"/>
                <w:lang w:val="en-GB"/>
              </w:rPr>
              <w:lastRenderedPageBreak/>
              <w:t xml:space="preserve">Baker, S. &amp; Stirling, E. (2016). </w:t>
            </w:r>
            <w:hyperlink r:id="rId19" w:history="1">
              <w:r w:rsidRPr="007843B0">
                <w:rPr>
                  <w:rStyle w:val="Hyperlink"/>
                  <w:rFonts w:ascii="Gill Sans" w:eastAsiaTheme="minorHAnsi" w:hAnsi="Gill Sans" w:cs="Gill Sans"/>
                  <w:szCs w:val="22"/>
                  <w:lang w:val="en-GB"/>
                </w:rPr>
                <w:t>Liminal spaces, resources and networks: Facebook as a shaping force for students’ transitions into higher education</w:t>
              </w:r>
            </w:hyperlink>
            <w:r w:rsidRPr="00076E76">
              <w:rPr>
                <w:rFonts w:ascii="Gill Sans" w:eastAsiaTheme="minorHAnsi" w:hAnsi="Gill Sans" w:cs="Gill Sans"/>
                <w:szCs w:val="22"/>
                <w:lang w:val="en-GB"/>
              </w:rPr>
              <w:t xml:space="preserve">, </w:t>
            </w:r>
            <w:r w:rsidRPr="00076E76">
              <w:rPr>
                <w:rFonts w:ascii="Gill Sans" w:eastAsiaTheme="minorHAnsi" w:hAnsi="Gill Sans" w:cs="Gill Sans"/>
                <w:i/>
                <w:iCs/>
                <w:szCs w:val="22"/>
              </w:rPr>
              <w:t xml:space="preserve">Learning and Teaching: The International Journal of Higher Education in the Social Sciences, </w:t>
            </w:r>
            <w:r w:rsidR="00971605">
              <w:rPr>
                <w:rFonts w:ascii="Gill Sans" w:eastAsiaTheme="minorHAnsi" w:hAnsi="Gill Sans" w:cs="Gill Sans"/>
                <w:szCs w:val="22"/>
              </w:rPr>
              <w:t>9(2),</w:t>
            </w:r>
            <w:r w:rsidRPr="00076E76">
              <w:rPr>
                <w:rFonts w:ascii="Gill Sans" w:eastAsiaTheme="minorHAnsi" w:hAnsi="Gill Sans" w:cs="Gill Sans"/>
                <w:szCs w:val="22"/>
              </w:rPr>
              <w:t xml:space="preserve"> 42–65. </w:t>
            </w:r>
          </w:p>
          <w:p w14:paraId="385D7B2B" w14:textId="77777777" w:rsidR="000F60CF" w:rsidRPr="00076E76" w:rsidRDefault="000F60CF" w:rsidP="008A16D2">
            <w:pPr>
              <w:rPr>
                <w:rFonts w:ascii="Gill Sans" w:eastAsiaTheme="minorHAnsi" w:hAnsi="Gill Sans" w:cs="Gill Sans"/>
                <w:szCs w:val="22"/>
              </w:rPr>
            </w:pPr>
          </w:p>
          <w:p w14:paraId="729C7399" w14:textId="5BD3C6FD" w:rsidR="008A16D2" w:rsidRPr="00076E76" w:rsidRDefault="008A16D2" w:rsidP="008A16D2">
            <w:pPr>
              <w:rPr>
                <w:rFonts w:ascii="Gill Sans" w:eastAsiaTheme="minorHAnsi" w:hAnsi="Gill Sans" w:cs="Gill Sans"/>
                <w:szCs w:val="22"/>
              </w:rPr>
            </w:pPr>
            <w:r w:rsidRPr="00076E76">
              <w:rPr>
                <w:rFonts w:ascii="Gill Sans" w:eastAsiaTheme="minorHAnsi" w:hAnsi="Gill Sans" w:cs="Gill Sans"/>
                <w:szCs w:val="22"/>
              </w:rPr>
              <w:t>UK</w:t>
            </w:r>
          </w:p>
          <w:p w14:paraId="754B0180" w14:textId="77777777" w:rsidR="000F60CF" w:rsidRPr="00076E76" w:rsidRDefault="000F60CF" w:rsidP="000F60CF">
            <w:pPr>
              <w:rPr>
                <w:rFonts w:ascii="Gill Sans" w:hAnsi="Gill Sans" w:cs="Gill Sans"/>
                <w:szCs w:val="22"/>
              </w:rPr>
            </w:pPr>
            <w:r w:rsidRPr="00076E76">
              <w:rPr>
                <w:rFonts w:ascii="Gill Sans" w:hAnsi="Gill Sans" w:cs="Gill Sans"/>
                <w:szCs w:val="22"/>
              </w:rPr>
              <w:t>Annotation by Sally Baker</w:t>
            </w:r>
          </w:p>
          <w:p w14:paraId="47C7ECC9" w14:textId="77777777" w:rsidR="008A16D2" w:rsidRPr="00076E76" w:rsidRDefault="008A16D2" w:rsidP="008A16D2">
            <w:pPr>
              <w:rPr>
                <w:rFonts w:ascii="Gill Sans" w:eastAsiaTheme="minorHAnsi" w:hAnsi="Gill Sans" w:cs="Gill Sans"/>
                <w:szCs w:val="22"/>
              </w:rPr>
            </w:pPr>
          </w:p>
          <w:p w14:paraId="770BA4AC" w14:textId="4F1BF406" w:rsidR="008A16D2" w:rsidRPr="00971605" w:rsidRDefault="008A16D2" w:rsidP="008A16D2">
            <w:pPr>
              <w:rPr>
                <w:rFonts w:ascii="Gill Sans" w:eastAsiaTheme="minorHAnsi" w:hAnsi="Gill Sans" w:cs="Gill Sans"/>
                <w:i/>
                <w:szCs w:val="22"/>
              </w:rPr>
            </w:pPr>
            <w:r w:rsidRPr="00076E76">
              <w:rPr>
                <w:rFonts w:ascii="Gill Sans" w:eastAsiaTheme="minorHAnsi" w:hAnsi="Gill Sans" w:cs="Gill Sans"/>
                <w:szCs w:val="22"/>
              </w:rPr>
              <w:t>Keywords:</w:t>
            </w:r>
            <w:r w:rsidRPr="00076E76">
              <w:rPr>
                <w:rFonts w:ascii="Gill Sans" w:hAnsi="Gill Sans" w:cs="Gill Sans"/>
                <w:sz w:val="28"/>
                <w:szCs w:val="28"/>
              </w:rPr>
              <w:t xml:space="preserve"> </w:t>
            </w:r>
            <w:r w:rsidRPr="00971605">
              <w:rPr>
                <w:rFonts w:ascii="Gill Sans" w:eastAsiaTheme="minorHAnsi" w:hAnsi="Gill Sans" w:cs="Gill Sans"/>
                <w:i/>
                <w:szCs w:val="22"/>
              </w:rPr>
              <w:t>ethnography, Facebook, higher education, liminality, transitions</w:t>
            </w:r>
          </w:p>
          <w:p w14:paraId="2401DDB9" w14:textId="77777777" w:rsidR="008A16D2" w:rsidRPr="00076E76" w:rsidRDefault="008A16D2" w:rsidP="00FA514E">
            <w:pPr>
              <w:rPr>
                <w:rFonts w:ascii="Gill Sans" w:eastAsiaTheme="minorHAnsi" w:hAnsi="Gill Sans" w:cs="Gill Sans"/>
                <w:szCs w:val="22"/>
              </w:rPr>
            </w:pPr>
          </w:p>
          <w:p w14:paraId="4F529898" w14:textId="5ED6DC9A" w:rsidR="00AF320A" w:rsidRPr="00076E76" w:rsidRDefault="00AF320A" w:rsidP="00FA514E">
            <w:pPr>
              <w:rPr>
                <w:rFonts w:ascii="Gill Sans" w:eastAsiaTheme="minorHAnsi" w:hAnsi="Gill Sans" w:cs="Gill Sans"/>
                <w:szCs w:val="22"/>
              </w:rPr>
            </w:pPr>
          </w:p>
        </w:tc>
        <w:tc>
          <w:tcPr>
            <w:tcW w:w="10064" w:type="dxa"/>
          </w:tcPr>
          <w:p w14:paraId="55EF5ED8" w14:textId="4E830F3F" w:rsidR="008A16D2" w:rsidRPr="00076E76" w:rsidRDefault="008A16D2" w:rsidP="008A16D2">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sidRPr="00076E76">
              <w:rPr>
                <w:rFonts w:ascii="Gill Sans" w:hAnsi="Gill Sans" w:cs="Gill Sans"/>
                <w:color w:val="000000"/>
                <w:szCs w:val="22"/>
                <w:lang w:val="en-AU"/>
              </w:rPr>
              <w:t xml:space="preserve">UK context of students transitioning into higher education and value of social networking sites, specifically Facebook. Draws on two PhD studies into transition. Notes increased attention to student attrition in neoliberal/ </w:t>
            </w:r>
            <w:proofErr w:type="spellStart"/>
            <w:r w:rsidRPr="00076E76">
              <w:rPr>
                <w:rFonts w:ascii="Gill Sans" w:hAnsi="Gill Sans" w:cs="Gill Sans"/>
                <w:color w:val="000000"/>
                <w:szCs w:val="22"/>
                <w:lang w:val="en-AU"/>
              </w:rPr>
              <w:t>marketised</w:t>
            </w:r>
            <w:proofErr w:type="spellEnd"/>
            <w:r w:rsidRPr="00076E76">
              <w:rPr>
                <w:rFonts w:ascii="Gill Sans" w:hAnsi="Gill Sans" w:cs="Gill Sans"/>
                <w:color w:val="000000"/>
                <w:szCs w:val="22"/>
                <w:lang w:val="en-AU"/>
              </w:rPr>
              <w:t xml:space="preserve"> higher education sector = guided partly by economic imperatives. Technology = important context because it “</w:t>
            </w:r>
            <w:r w:rsidRPr="00076E76">
              <w:rPr>
                <w:rFonts w:ascii="Gill Sans" w:hAnsi="Gill Sans" w:cs="Gill Sans"/>
                <w:color w:val="000000"/>
                <w:szCs w:val="22"/>
              </w:rPr>
              <w:t>is now pervasive and ubiquitous in the lives of undergraduate students” (p.43)</w:t>
            </w:r>
          </w:p>
          <w:p w14:paraId="5B165DDB" w14:textId="2B4BFA1C" w:rsidR="008A16D2" w:rsidRPr="00076E76" w:rsidRDefault="008A16D2" w:rsidP="008A16D2">
            <w:pPr>
              <w:rPr>
                <w:rFonts w:ascii="Gill Sans" w:hAnsi="Gill Sans" w:cs="Gill Sans"/>
                <w:color w:val="000000"/>
                <w:szCs w:val="22"/>
              </w:rPr>
            </w:pPr>
            <w:r w:rsidRPr="00076E76">
              <w:rPr>
                <w:rFonts w:ascii="Gill Sans" w:hAnsi="Gill Sans" w:cs="Gill Sans"/>
                <w:b/>
                <w:color w:val="000000"/>
                <w:szCs w:val="22"/>
                <w:lang w:val="en-AU"/>
              </w:rPr>
              <w:t xml:space="preserve">Aim: </w:t>
            </w:r>
            <w:r w:rsidRPr="00076E76">
              <w:rPr>
                <w:rFonts w:ascii="Gill Sans" w:hAnsi="Gill Sans" w:cs="Gill Sans"/>
                <w:color w:val="000000"/>
                <w:szCs w:val="22"/>
                <w:lang w:val="en-AU"/>
              </w:rPr>
              <w:t xml:space="preserve">To </w:t>
            </w:r>
            <w:r w:rsidRPr="00076E76">
              <w:rPr>
                <w:rFonts w:ascii="Gill Sans" w:hAnsi="Gill Sans" w:cs="Gill Sans"/>
                <w:color w:val="000000"/>
                <w:szCs w:val="22"/>
              </w:rPr>
              <w:t>explore how social-networking sites (SNS) influence students’ experiences as they transition into university; “to explore the ‘betwixt and between’ spaces that students inhabit as they make their status transformations from school/college students to university students” (p.44); to “explore the role that Facebook has in shaping students’ experiences of moving into higher education, focusing the lens on both social and academic dimensions of transition and how Facebook opens liminal spaces and acts as a liminal tool for facilitating their transitions” (p.44). Scopes literature on digital university, Facebook in higher education. Offers a Facebook grammar</w:t>
            </w:r>
          </w:p>
          <w:p w14:paraId="041B8F27" w14:textId="12F83982" w:rsidR="008A16D2" w:rsidRPr="00076E76" w:rsidRDefault="008A16D2" w:rsidP="008A16D2">
            <w:pPr>
              <w:rPr>
                <w:rFonts w:ascii="Gill Sans" w:hAnsi="Gill Sans" w:cs="Gill Sans"/>
                <w:color w:val="000000"/>
                <w:szCs w:val="22"/>
                <w:lang w:val="en-AU"/>
              </w:rPr>
            </w:pPr>
            <w:r w:rsidRPr="00076E76">
              <w:rPr>
                <w:rFonts w:ascii="Gill Sans" w:hAnsi="Gill Sans" w:cs="Gill Sans"/>
                <w:b/>
                <w:color w:val="000000"/>
                <w:szCs w:val="22"/>
                <w:lang w:val="en-AU"/>
              </w:rPr>
              <w:t xml:space="preserve">Theoretical frame: </w:t>
            </w:r>
            <w:r w:rsidRPr="00076E76">
              <w:rPr>
                <w:rFonts w:ascii="Gill Sans" w:hAnsi="Gill Sans" w:cs="Gill Sans"/>
                <w:color w:val="000000"/>
                <w:szCs w:val="22"/>
                <w:lang w:val="en-AU"/>
              </w:rPr>
              <w:t>Liminality</w:t>
            </w:r>
          </w:p>
          <w:p w14:paraId="304F708F" w14:textId="0E8BAE0F" w:rsidR="008A16D2" w:rsidRPr="00076E76" w:rsidRDefault="008A16D2" w:rsidP="008A16D2">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00FE3842" w:rsidRPr="00076E76">
              <w:rPr>
                <w:rFonts w:ascii="Gill Sans" w:hAnsi="Gill Sans" w:cs="Gill Sans"/>
                <w:color w:val="000000"/>
                <w:szCs w:val="22"/>
                <w:lang w:val="en-AU"/>
              </w:rPr>
              <w:t xml:space="preserve">Longitudinal/qualitative: 2 x case studies. Case Study 1 = Eve’s research on </w:t>
            </w:r>
            <w:r w:rsidR="00FE3842" w:rsidRPr="00076E76">
              <w:rPr>
                <w:rFonts w:ascii="Gill Sans" w:hAnsi="Gill Sans" w:cs="Gill Sans"/>
                <w:color w:val="000000"/>
                <w:szCs w:val="22"/>
              </w:rPr>
              <w:t xml:space="preserve">students’ use of Facebook to negotiate their transitions into university; Case Study 2 = Sally’s research on students’ transitions and engaged with Facebook methodologically, as a research tool, a research site and as research data. Notes </w:t>
            </w:r>
            <w:r w:rsidR="00FE3842" w:rsidRPr="00076E76">
              <w:rPr>
                <w:rFonts w:ascii="Gill Sans" w:hAnsi="Gill Sans" w:cs="Gill Sans"/>
                <w:color w:val="000000"/>
                <w:szCs w:val="22"/>
              </w:rPr>
              <w:lastRenderedPageBreak/>
              <w:t>complexities of representing Facebook data.</w:t>
            </w:r>
          </w:p>
          <w:p w14:paraId="4DAAF0A9" w14:textId="77777777" w:rsidR="008A16D2" w:rsidRPr="00076E76" w:rsidRDefault="008A16D2" w:rsidP="008A16D2">
            <w:pPr>
              <w:rPr>
                <w:rFonts w:ascii="Gill Sans" w:hAnsi="Gill Sans" w:cs="Gill Sans"/>
                <w:b/>
                <w:color w:val="000000"/>
                <w:szCs w:val="22"/>
                <w:lang w:val="en-AU"/>
              </w:rPr>
            </w:pPr>
            <w:r w:rsidRPr="00076E76">
              <w:rPr>
                <w:rFonts w:ascii="Gill Sans" w:hAnsi="Gill Sans" w:cs="Gill Sans"/>
                <w:b/>
                <w:color w:val="000000"/>
                <w:szCs w:val="22"/>
                <w:lang w:val="en-AU"/>
              </w:rPr>
              <w:t xml:space="preserve">Findings: </w:t>
            </w:r>
          </w:p>
          <w:p w14:paraId="06EAC3E8" w14:textId="76A2B851" w:rsidR="00FE3842" w:rsidRPr="00076E76" w:rsidRDefault="00FE3842" w:rsidP="008A16D2">
            <w:pPr>
              <w:rPr>
                <w:rFonts w:ascii="Gill Sans" w:hAnsi="Gill Sans" w:cs="Gill Sans"/>
                <w:iCs/>
                <w:szCs w:val="22"/>
              </w:rPr>
            </w:pPr>
            <w:r w:rsidRPr="00076E76">
              <w:rPr>
                <w:rFonts w:ascii="Gill Sans" w:hAnsi="Gill Sans" w:cs="Gill Sans"/>
                <w:i/>
                <w:iCs/>
                <w:szCs w:val="22"/>
              </w:rPr>
              <w:t xml:space="preserve">Facebook is the social fabric of university life: </w:t>
            </w:r>
            <w:r w:rsidRPr="00076E76">
              <w:rPr>
                <w:rFonts w:ascii="Gill Sans" w:hAnsi="Gill Sans" w:cs="Gill Sans"/>
                <w:iCs/>
                <w:szCs w:val="22"/>
              </w:rPr>
              <w:t xml:space="preserve">students in CS1 used FB to ‘meet’ students before semester started; students used FB events to socialize/ organize social events and lives. Notes how, although belonging = key part of higher education literature, in these data “the belonging is not institutionally led; instead it is local, organic and public” (p.53). Tagging = also important for public declarations of belonging (‘networked public activities’, </w:t>
            </w:r>
            <w:proofErr w:type="spellStart"/>
            <w:r w:rsidRPr="00076E76">
              <w:rPr>
                <w:rFonts w:ascii="Gill Sans" w:hAnsi="Gill Sans" w:cs="Gill Sans"/>
                <w:iCs/>
                <w:szCs w:val="22"/>
              </w:rPr>
              <w:t>boyd</w:t>
            </w:r>
            <w:proofErr w:type="spellEnd"/>
            <w:r w:rsidRPr="00076E76">
              <w:rPr>
                <w:rFonts w:ascii="Gill Sans" w:hAnsi="Gill Sans" w:cs="Gill Sans"/>
                <w:iCs/>
                <w:szCs w:val="22"/>
              </w:rPr>
              <w:t xml:space="preserve"> 2007)</w:t>
            </w:r>
          </w:p>
          <w:p w14:paraId="4741D8C8" w14:textId="7BEB9485" w:rsidR="00FE3842" w:rsidRPr="00076E76" w:rsidRDefault="00FE3842" w:rsidP="008A16D2">
            <w:pPr>
              <w:rPr>
                <w:rFonts w:ascii="Gill Sans" w:hAnsi="Gill Sans" w:cs="Gill Sans"/>
                <w:b/>
                <w:color w:val="000000"/>
                <w:szCs w:val="22"/>
              </w:rPr>
            </w:pPr>
            <w:r w:rsidRPr="00076E76">
              <w:rPr>
                <w:rFonts w:ascii="Gill Sans" w:hAnsi="Gill Sans" w:cs="Gill Sans"/>
                <w:i/>
                <w:iCs/>
                <w:color w:val="000000"/>
                <w:szCs w:val="22"/>
              </w:rPr>
              <w:t xml:space="preserve">Facebook in the academic domain: </w:t>
            </w:r>
            <w:r w:rsidRPr="00076E76">
              <w:rPr>
                <w:rFonts w:ascii="Gill Sans" w:hAnsi="Gill Sans" w:cs="Gill Sans"/>
                <w:iCs/>
                <w:color w:val="000000"/>
                <w:szCs w:val="22"/>
              </w:rPr>
              <w:t>CS2 = demonstrates use of FB for ‘crowdsourcing’ support to organize and seek peer support with academic work, “and to seek validation (acceptance and acknowl</w:t>
            </w:r>
            <w:r w:rsidRPr="00076E76">
              <w:rPr>
                <w:rFonts w:ascii="Gill Sans" w:hAnsi="Gill Sans" w:cs="Gill Sans"/>
                <w:iCs/>
                <w:color w:val="000000"/>
                <w:szCs w:val="22"/>
              </w:rPr>
              <w:softHyphen/>
              <w:t>edgment) of their emerging, liminal university identities and practices” (p.55). Students also use FB “to position themselves as particular types of students, and their shifting attitudes over time suggest they experienced oscillating levels of confidence in their academic practices and identities” (p.57). Following students into Year 2 suggests liminal phase = extends beyond end of Year 1.</w:t>
            </w:r>
          </w:p>
          <w:p w14:paraId="31DF5332" w14:textId="3D6E03CF" w:rsidR="008A16D2" w:rsidRPr="00076E76" w:rsidRDefault="008A16D2" w:rsidP="008A16D2">
            <w:pPr>
              <w:rPr>
                <w:rFonts w:ascii="Gill Sans" w:hAnsi="Gill Sans" w:cs="Gill Sans"/>
                <w:color w:val="000000"/>
                <w:szCs w:val="22"/>
              </w:rPr>
            </w:pPr>
            <w:r w:rsidRPr="00076E76">
              <w:rPr>
                <w:rFonts w:ascii="Gill Sans" w:hAnsi="Gill Sans" w:cs="Gill Sans"/>
                <w:color w:val="000000"/>
                <w:szCs w:val="22"/>
              </w:rPr>
              <w:t xml:space="preserve">“Facebook is used not only for dynamic participation in the social fabric of university life, Facebook is the go-to space to </w:t>
            </w:r>
            <w:proofErr w:type="spellStart"/>
            <w:r w:rsidRPr="00076E76">
              <w:rPr>
                <w:rFonts w:ascii="Gill Sans" w:hAnsi="Gill Sans" w:cs="Gill Sans"/>
                <w:color w:val="000000"/>
                <w:szCs w:val="22"/>
              </w:rPr>
              <w:t>organise</w:t>
            </w:r>
            <w:proofErr w:type="spellEnd"/>
            <w:r w:rsidRPr="00076E76">
              <w:rPr>
                <w:rFonts w:ascii="Gill Sans" w:hAnsi="Gill Sans" w:cs="Gill Sans"/>
                <w:color w:val="000000"/>
                <w:szCs w:val="22"/>
              </w:rPr>
              <w:t xml:space="preserve"> their academic and social lives, using it as a hybrid space to negotiate between home and university” (abstract).</w:t>
            </w:r>
            <w:r w:rsidRPr="00076E76">
              <w:rPr>
                <w:rFonts w:ascii="Gill Sans" w:hAnsi="Gill Sans" w:cs="Gill Sans"/>
                <w:b/>
                <w:color w:val="000000"/>
                <w:szCs w:val="22"/>
                <w:lang w:val="en-AU"/>
              </w:rPr>
              <w:br/>
              <w:t xml:space="preserve">Core argument: </w:t>
            </w:r>
            <w:r w:rsidR="000B2F9F" w:rsidRPr="00076E76">
              <w:rPr>
                <w:rFonts w:ascii="Gill Sans" w:hAnsi="Gill Sans" w:cs="Gill Sans"/>
                <w:b/>
                <w:color w:val="000000"/>
                <w:szCs w:val="22"/>
                <w:lang w:val="en-AU"/>
              </w:rPr>
              <w:t xml:space="preserve"> </w:t>
            </w:r>
            <w:r w:rsidR="000B2F9F" w:rsidRPr="00076E76">
              <w:rPr>
                <w:rFonts w:ascii="Gill Sans" w:hAnsi="Gill Sans" w:cs="Gill Sans"/>
                <w:color w:val="000000"/>
                <w:szCs w:val="22"/>
                <w:lang w:val="en-AU"/>
              </w:rPr>
              <w:t>Facebook can function as equitable space for students to engage in: “</w:t>
            </w:r>
            <w:r w:rsidR="000B2F9F" w:rsidRPr="00076E76">
              <w:rPr>
                <w:rFonts w:ascii="Gill Sans" w:hAnsi="Gill Sans" w:cs="Gill Sans"/>
                <w:color w:val="000000"/>
                <w:szCs w:val="22"/>
              </w:rPr>
              <w:t>Facebook can offer a ‘levelling platform’ for students: an open, free and accessible space from which to engage in liminal activities that foster belonging and access to resources and networks” (p.59).</w:t>
            </w:r>
          </w:p>
          <w:p w14:paraId="2EB4E9D8" w14:textId="5F8769CC" w:rsidR="008A16D2" w:rsidRPr="00076E76" w:rsidRDefault="008A16D2" w:rsidP="008A16D2">
            <w:pPr>
              <w:rPr>
                <w:rFonts w:ascii="Gill Sans" w:hAnsi="Gill Sans" w:cs="Gill Sans"/>
                <w:b/>
                <w:color w:val="000000"/>
                <w:szCs w:val="22"/>
                <w:lang w:val="en-AU"/>
              </w:rPr>
            </w:pPr>
            <w:r w:rsidRPr="00076E76">
              <w:rPr>
                <w:rFonts w:ascii="Gill Sans" w:hAnsi="Gill Sans" w:cs="Gill Sans"/>
                <w:color w:val="000000"/>
                <w:szCs w:val="22"/>
              </w:rPr>
              <w:t>“Facebook offers student-users a ‘liminal tool’ for negotiating and facilitating resources and networks within the first year at university” (abstract).</w:t>
            </w:r>
          </w:p>
        </w:tc>
      </w:tr>
      <w:tr w:rsidR="00A01B95" w:rsidRPr="00076E76" w14:paraId="0B8C8F38" w14:textId="77777777" w:rsidTr="007A6A23">
        <w:tc>
          <w:tcPr>
            <w:tcW w:w="5529" w:type="dxa"/>
            <w:shd w:val="clear" w:color="auto" w:fill="auto"/>
          </w:tcPr>
          <w:p w14:paraId="07B0CFB6" w14:textId="757AB958" w:rsidR="00A01B95" w:rsidRPr="00076E76" w:rsidRDefault="00A01B95" w:rsidP="008A16D2">
            <w:pPr>
              <w:rPr>
                <w:rFonts w:ascii="Gill Sans" w:eastAsiaTheme="minorHAnsi" w:hAnsi="Gill Sans" w:cs="Gill Sans"/>
                <w:szCs w:val="22"/>
                <w:lang w:val="en-GB"/>
              </w:rPr>
            </w:pPr>
            <w:r w:rsidRPr="00076E76">
              <w:rPr>
                <w:rFonts w:ascii="Gill Sans" w:eastAsiaTheme="minorHAnsi" w:hAnsi="Gill Sans" w:cs="Gill Sans"/>
                <w:szCs w:val="22"/>
                <w:lang w:val="en-GB"/>
              </w:rPr>
              <w:lastRenderedPageBreak/>
              <w:t xml:space="preserve">Ballantyne, J. (2012). </w:t>
            </w:r>
            <w:hyperlink r:id="rId20" w:history="1">
              <w:r w:rsidRPr="00E91542">
                <w:rPr>
                  <w:rStyle w:val="Hyperlink"/>
                  <w:rFonts w:ascii="Gill Sans" w:eastAsiaTheme="minorHAnsi" w:hAnsi="Gill Sans" w:cs="Gill Sans"/>
                  <w:szCs w:val="22"/>
                  <w:lang w:val="en-GB"/>
                </w:rPr>
                <w:t>Valuing students’ voices: Experiences of first year students at a new campus</w:t>
              </w:r>
            </w:hyperlink>
            <w:r w:rsidR="00D74691" w:rsidRPr="00076E76">
              <w:rPr>
                <w:rFonts w:ascii="Gill Sans" w:eastAsiaTheme="minorHAnsi" w:hAnsi="Gill Sans" w:cs="Gill Sans"/>
                <w:szCs w:val="22"/>
                <w:lang w:val="en-GB"/>
              </w:rPr>
              <w:t xml:space="preserve">, </w:t>
            </w:r>
            <w:r w:rsidR="00D74691" w:rsidRPr="00076E76">
              <w:rPr>
                <w:rFonts w:ascii="Gill Sans" w:eastAsiaTheme="minorHAnsi" w:hAnsi="Gill Sans" w:cs="Gill Sans"/>
                <w:i/>
                <w:szCs w:val="22"/>
                <w:lang w:val="en-GB"/>
              </w:rPr>
              <w:t xml:space="preserve">International Journal of Pedagogies and Learning, </w:t>
            </w:r>
            <w:r w:rsidR="007843B0">
              <w:rPr>
                <w:rFonts w:ascii="Gill Sans" w:eastAsiaTheme="minorHAnsi" w:hAnsi="Gill Sans" w:cs="Gill Sans"/>
                <w:szCs w:val="22"/>
                <w:lang w:val="en-GB"/>
              </w:rPr>
              <w:t>7(1), 41–</w:t>
            </w:r>
            <w:r w:rsidR="00D74691" w:rsidRPr="00076E76">
              <w:rPr>
                <w:rFonts w:ascii="Gill Sans" w:eastAsiaTheme="minorHAnsi" w:hAnsi="Gill Sans" w:cs="Gill Sans"/>
                <w:szCs w:val="22"/>
                <w:lang w:val="en-GB"/>
              </w:rPr>
              <w:t>50.</w:t>
            </w:r>
          </w:p>
          <w:p w14:paraId="6DD6D746" w14:textId="77777777" w:rsidR="00D74691" w:rsidRPr="00076E76" w:rsidRDefault="00D74691" w:rsidP="008A16D2">
            <w:pPr>
              <w:rPr>
                <w:rFonts w:ascii="Gill Sans" w:eastAsiaTheme="minorHAnsi" w:hAnsi="Gill Sans" w:cs="Gill Sans"/>
                <w:szCs w:val="22"/>
                <w:lang w:val="en-GB"/>
              </w:rPr>
            </w:pPr>
          </w:p>
          <w:p w14:paraId="7FCD2892" w14:textId="77777777" w:rsidR="00D74691" w:rsidRPr="00076E76" w:rsidRDefault="00D74691" w:rsidP="008A16D2">
            <w:pPr>
              <w:rPr>
                <w:rFonts w:ascii="Gill Sans" w:eastAsiaTheme="minorHAnsi" w:hAnsi="Gill Sans" w:cs="Gill Sans"/>
                <w:szCs w:val="22"/>
                <w:lang w:val="en-GB"/>
              </w:rPr>
            </w:pPr>
            <w:r w:rsidRPr="00076E76">
              <w:rPr>
                <w:rFonts w:ascii="Gill Sans" w:eastAsiaTheme="minorHAnsi" w:hAnsi="Gill Sans" w:cs="Gill Sans"/>
                <w:szCs w:val="22"/>
                <w:lang w:val="en-GB"/>
              </w:rPr>
              <w:t>AUS</w:t>
            </w:r>
          </w:p>
          <w:p w14:paraId="7C9A621F" w14:textId="587EA186" w:rsidR="00FA2E2D" w:rsidRDefault="00FA2E2D" w:rsidP="00FA2E2D">
            <w:pPr>
              <w:rPr>
                <w:rFonts w:ascii="Gill Sans" w:hAnsi="Gill Sans" w:cs="Gill Sans"/>
                <w:szCs w:val="22"/>
              </w:rPr>
            </w:pPr>
            <w:r w:rsidRPr="00076E76">
              <w:rPr>
                <w:rFonts w:ascii="Gill Sans" w:hAnsi="Gill Sans" w:cs="Gill Sans"/>
                <w:szCs w:val="22"/>
              </w:rPr>
              <w:t xml:space="preserve">Annotation by </w:t>
            </w:r>
            <w:r w:rsidR="00556F1C">
              <w:rPr>
                <w:rFonts w:ascii="Gill Sans" w:hAnsi="Gill Sans" w:cs="Gill Sans"/>
                <w:szCs w:val="22"/>
              </w:rPr>
              <w:t xml:space="preserve">Caitlyn McLoughlin </w:t>
            </w:r>
          </w:p>
          <w:p w14:paraId="05504A3B" w14:textId="77777777" w:rsidR="002028DB" w:rsidRDefault="002028DB" w:rsidP="00FA2E2D">
            <w:pPr>
              <w:rPr>
                <w:rFonts w:ascii="Gill Sans" w:hAnsi="Gill Sans" w:cs="Gill Sans"/>
                <w:szCs w:val="22"/>
              </w:rPr>
            </w:pPr>
          </w:p>
          <w:p w14:paraId="743C61AB" w14:textId="51823549" w:rsidR="002028DB" w:rsidRPr="00076E76" w:rsidRDefault="002028DB" w:rsidP="00FA2E2D">
            <w:pPr>
              <w:rPr>
                <w:rFonts w:ascii="Gill Sans" w:hAnsi="Gill Sans" w:cs="Gill Sans"/>
                <w:szCs w:val="22"/>
              </w:rPr>
            </w:pPr>
            <w:r>
              <w:rPr>
                <w:rFonts w:ascii="Gill Sans" w:hAnsi="Gill Sans" w:cs="Gill Sans"/>
                <w:szCs w:val="22"/>
              </w:rPr>
              <w:t xml:space="preserve">Keywords: </w:t>
            </w:r>
            <w:r w:rsidRPr="002028DB">
              <w:rPr>
                <w:rFonts w:ascii="Gill Sans" w:hAnsi="Gill Sans" w:cs="Gill Sans"/>
                <w:i/>
                <w:szCs w:val="22"/>
              </w:rPr>
              <w:t>first year experience, higher education, mature-aged students</w:t>
            </w:r>
          </w:p>
          <w:p w14:paraId="6F85FD83" w14:textId="36FD4609" w:rsidR="00FA2E2D" w:rsidRPr="00076E76" w:rsidRDefault="00FA2E2D" w:rsidP="008A16D2">
            <w:pPr>
              <w:rPr>
                <w:rFonts w:ascii="Gill Sans" w:eastAsiaTheme="minorHAnsi" w:hAnsi="Gill Sans" w:cs="Gill Sans"/>
                <w:szCs w:val="22"/>
                <w:lang w:val="en-GB"/>
              </w:rPr>
            </w:pPr>
          </w:p>
        </w:tc>
        <w:tc>
          <w:tcPr>
            <w:tcW w:w="10064" w:type="dxa"/>
          </w:tcPr>
          <w:p w14:paraId="0C2126C7" w14:textId="54D67203" w:rsidR="00D74691" w:rsidRPr="001D6779" w:rsidRDefault="00D74691" w:rsidP="00D74691">
            <w:pPr>
              <w:rPr>
                <w:rFonts w:ascii="Gill Sans" w:hAnsi="Gill Sans" w:cs="Gill Sans"/>
                <w:color w:val="000000"/>
                <w:szCs w:val="22"/>
              </w:rPr>
            </w:pPr>
            <w:r w:rsidRPr="00076E76">
              <w:rPr>
                <w:rFonts w:ascii="Gill Sans" w:hAnsi="Gill Sans" w:cs="Gill Sans"/>
                <w:b/>
                <w:color w:val="000000"/>
                <w:szCs w:val="22"/>
                <w:lang w:val="en-AU"/>
              </w:rPr>
              <w:t xml:space="preserve">Context: </w:t>
            </w:r>
            <w:r w:rsidR="0042260E">
              <w:rPr>
                <w:rFonts w:ascii="Gill Sans" w:hAnsi="Gill Sans" w:cs="Gill Sans"/>
                <w:color w:val="000000"/>
                <w:szCs w:val="22"/>
                <w:lang w:val="en-AU"/>
              </w:rPr>
              <w:t>The move of first year experience (FYE) studies from prioritising local issues to de</w:t>
            </w:r>
            <w:r w:rsidR="00E45750">
              <w:rPr>
                <w:rFonts w:ascii="Gill Sans" w:hAnsi="Gill Sans" w:cs="Gill Sans"/>
                <w:color w:val="000000"/>
                <w:szCs w:val="22"/>
                <w:lang w:val="en-AU"/>
              </w:rPr>
              <w:t xml:space="preserve">veloping widespread approaches, and the overall improvement of FYE while also maintaining student diversity. This paper focuses specifically on </w:t>
            </w:r>
            <w:r w:rsidR="001D6779" w:rsidRPr="001D6779">
              <w:rPr>
                <w:rFonts w:ascii="Gill Sans" w:hAnsi="Gill Sans" w:cs="Gill Sans"/>
                <w:color w:val="000000"/>
                <w:szCs w:val="22"/>
              </w:rPr>
              <w:t>the experience of mostly mature-aged students at a satellite campus</w:t>
            </w:r>
            <w:r w:rsidR="00BC7975">
              <w:rPr>
                <w:rFonts w:ascii="Gill Sans" w:hAnsi="Gill Sans" w:cs="Gill Sans"/>
                <w:color w:val="000000"/>
                <w:szCs w:val="22"/>
              </w:rPr>
              <w:t xml:space="preserve"> in Queensland</w:t>
            </w:r>
            <w:r w:rsidR="001D6779" w:rsidRPr="001D6779">
              <w:rPr>
                <w:rFonts w:ascii="Gill Sans" w:hAnsi="Gill Sans" w:cs="Gill Sans"/>
                <w:color w:val="000000"/>
                <w:szCs w:val="22"/>
              </w:rPr>
              <w:t>.</w:t>
            </w:r>
          </w:p>
          <w:p w14:paraId="6ED948AD" w14:textId="544421ED" w:rsidR="00D74691" w:rsidRPr="00152C6A" w:rsidRDefault="00D74691" w:rsidP="00D74691">
            <w:pPr>
              <w:rPr>
                <w:rFonts w:ascii="Gill Sans" w:hAnsi="Gill Sans" w:cs="Gill Sans"/>
                <w:color w:val="000000"/>
                <w:szCs w:val="22"/>
              </w:rPr>
            </w:pPr>
            <w:r w:rsidRPr="00076E76">
              <w:rPr>
                <w:rFonts w:ascii="Gill Sans" w:hAnsi="Gill Sans" w:cs="Gill Sans"/>
                <w:b/>
                <w:color w:val="000000"/>
                <w:szCs w:val="22"/>
                <w:lang w:val="en-AU"/>
              </w:rPr>
              <w:t xml:space="preserve">Aim: </w:t>
            </w:r>
            <w:r w:rsidR="00152C6A">
              <w:rPr>
                <w:rFonts w:ascii="Gill Sans" w:hAnsi="Gill Sans" w:cs="Gill Sans"/>
                <w:color w:val="000000"/>
                <w:szCs w:val="22"/>
                <w:lang w:val="en-AU"/>
              </w:rPr>
              <w:t>To ‘</w:t>
            </w:r>
            <w:r w:rsidR="00152C6A">
              <w:rPr>
                <w:rFonts w:ascii="Gill Sans" w:hAnsi="Gill Sans" w:cs="Gill Sans"/>
                <w:color w:val="000000"/>
                <w:szCs w:val="22"/>
              </w:rPr>
              <w:t>provide insights for univer</w:t>
            </w:r>
            <w:r w:rsidR="00152C6A" w:rsidRPr="00152C6A">
              <w:rPr>
                <w:rFonts w:ascii="Gill Sans" w:hAnsi="Gill Sans" w:cs="Gill Sans"/>
                <w:color w:val="000000"/>
                <w:szCs w:val="22"/>
              </w:rPr>
              <w:t>sities in better understanding what it means to provide a supp</w:t>
            </w:r>
            <w:r w:rsidR="00152C6A">
              <w:rPr>
                <w:rFonts w:ascii="Gill Sans" w:hAnsi="Gill Sans" w:cs="Gill Sans"/>
                <w:color w:val="000000"/>
                <w:szCs w:val="22"/>
              </w:rPr>
              <w:t>ortive, connected and challeng</w:t>
            </w:r>
            <w:r w:rsidR="00152C6A" w:rsidRPr="00152C6A">
              <w:rPr>
                <w:rFonts w:ascii="Gill Sans" w:hAnsi="Gill Sans" w:cs="Gill Sans"/>
                <w:color w:val="000000"/>
                <w:szCs w:val="22"/>
              </w:rPr>
              <w:t>ing envi</w:t>
            </w:r>
            <w:r w:rsidR="00152C6A">
              <w:rPr>
                <w:rFonts w:ascii="Gill Sans" w:hAnsi="Gill Sans" w:cs="Gill Sans"/>
                <w:color w:val="000000"/>
                <w:szCs w:val="22"/>
              </w:rPr>
              <w:t>ronment for first year students’ (41).</w:t>
            </w:r>
            <w:r w:rsidR="00BC7975">
              <w:rPr>
                <w:rFonts w:ascii="Gill Sans" w:hAnsi="Gill Sans" w:cs="Gill Sans"/>
                <w:color w:val="000000"/>
                <w:szCs w:val="22"/>
              </w:rPr>
              <w:t xml:space="preserve"> </w:t>
            </w:r>
          </w:p>
          <w:p w14:paraId="20C61161" w14:textId="0109D968" w:rsidR="00D74691" w:rsidRPr="007E304C" w:rsidRDefault="00D74691" w:rsidP="00D74691">
            <w:pPr>
              <w:rPr>
                <w:rFonts w:ascii="Gill Sans" w:hAnsi="Gill Sans" w:cs="Gill Sans"/>
                <w:b/>
                <w:color w:val="000000"/>
                <w:szCs w:val="22"/>
              </w:rPr>
            </w:pPr>
            <w:r w:rsidRPr="00076E76">
              <w:rPr>
                <w:rFonts w:ascii="Gill Sans" w:hAnsi="Gill Sans" w:cs="Gill Sans"/>
                <w:b/>
                <w:color w:val="000000"/>
                <w:szCs w:val="22"/>
                <w:lang w:val="en-AU"/>
              </w:rPr>
              <w:t>Theoretical frame:</w:t>
            </w:r>
            <w:r w:rsidR="007E304C">
              <w:rPr>
                <w:rFonts w:ascii="Gill Sans" w:hAnsi="Gill Sans" w:cs="Gill Sans"/>
                <w:b/>
                <w:color w:val="000000"/>
                <w:szCs w:val="22"/>
                <w:lang w:val="en-AU"/>
              </w:rPr>
              <w:t xml:space="preserve"> </w:t>
            </w:r>
            <w:r w:rsidR="007E304C" w:rsidRPr="007E304C">
              <w:rPr>
                <w:rFonts w:ascii="Gill Sans" w:hAnsi="Gill Sans" w:cs="Gill Sans"/>
                <w:color w:val="000000"/>
                <w:szCs w:val="22"/>
              </w:rPr>
              <w:t>Creswell’s (2005) stages of content analysis were applied to focus group transcripts to elicit key themes emerging from discussions in response to research questions.</w:t>
            </w:r>
          </w:p>
          <w:p w14:paraId="69958BE1" w14:textId="61915597" w:rsidR="00D74691" w:rsidRPr="00777F54" w:rsidRDefault="00D74691" w:rsidP="00D74691">
            <w:pPr>
              <w:rPr>
                <w:rFonts w:ascii="Gill Sans" w:hAnsi="Gill Sans" w:cs="Gill Sans"/>
                <w:color w:val="000000"/>
                <w:szCs w:val="22"/>
              </w:rPr>
            </w:pPr>
            <w:r w:rsidRPr="00076E76">
              <w:rPr>
                <w:rFonts w:ascii="Gill Sans" w:hAnsi="Gill Sans" w:cs="Gill Sans"/>
                <w:b/>
                <w:color w:val="000000"/>
                <w:szCs w:val="22"/>
                <w:lang w:val="en-AU"/>
              </w:rPr>
              <w:t xml:space="preserve">Methodology: </w:t>
            </w:r>
            <w:r w:rsidR="00777F54">
              <w:rPr>
                <w:rFonts w:ascii="Gill Sans" w:hAnsi="Gill Sans" w:cs="Gill Sans"/>
                <w:color w:val="000000"/>
                <w:szCs w:val="22"/>
                <w:lang w:val="en-AU"/>
              </w:rPr>
              <w:t xml:space="preserve">Qualitative – findings taken from a larger mixed-method study </w:t>
            </w:r>
            <w:r w:rsidR="00777F54" w:rsidRPr="00777F54">
              <w:rPr>
                <w:rFonts w:ascii="Gill Sans" w:hAnsi="Gill Sans" w:cs="Gill Sans"/>
                <w:color w:val="000000"/>
                <w:szCs w:val="22"/>
              </w:rPr>
              <w:t>which explored the perceptions of students enroll</w:t>
            </w:r>
            <w:r w:rsidR="00CC369E">
              <w:rPr>
                <w:rFonts w:ascii="Gill Sans" w:hAnsi="Gill Sans" w:cs="Gill Sans"/>
                <w:color w:val="000000"/>
                <w:szCs w:val="22"/>
              </w:rPr>
              <w:t xml:space="preserve">ed in their first year of study and also </w:t>
            </w:r>
            <w:r w:rsidR="00CC369E" w:rsidRPr="00CC369E">
              <w:rPr>
                <w:rFonts w:ascii="Gill Sans" w:hAnsi="Gill Sans" w:cs="Gill Sans"/>
                <w:color w:val="000000"/>
                <w:szCs w:val="22"/>
              </w:rPr>
              <w:t>draws on data from focus group interviews i</w:t>
            </w:r>
            <w:r w:rsidR="00A346A6">
              <w:rPr>
                <w:rFonts w:ascii="Gill Sans" w:hAnsi="Gill Sans" w:cs="Gill Sans"/>
                <w:color w:val="000000"/>
                <w:szCs w:val="22"/>
              </w:rPr>
              <w:t xml:space="preserve">nvolving 14 first year students and guided by an interview schedule asking about </w:t>
            </w:r>
            <w:r w:rsidR="00A346A6">
              <w:rPr>
                <w:rFonts w:ascii="Gill Sans" w:hAnsi="Gill Sans" w:cs="Gill Sans"/>
                <w:color w:val="000000"/>
                <w:szCs w:val="22"/>
              </w:rPr>
              <w:lastRenderedPageBreak/>
              <w:t>work/home/school life and the relationships between them.</w:t>
            </w:r>
          </w:p>
          <w:p w14:paraId="025B81BB" w14:textId="2A4F2FCF" w:rsidR="00A01B95" w:rsidRPr="00B929DD" w:rsidRDefault="00D74691" w:rsidP="00B929DD">
            <w:pPr>
              <w:rPr>
                <w:rFonts w:ascii="Gill Sans" w:hAnsi="Gill Sans" w:cs="Gill Sans"/>
                <w:color w:val="000000"/>
                <w:szCs w:val="22"/>
              </w:rPr>
            </w:pPr>
            <w:r w:rsidRPr="00076E76">
              <w:rPr>
                <w:rFonts w:ascii="Gill Sans" w:hAnsi="Gill Sans" w:cs="Gill Sans"/>
                <w:b/>
                <w:color w:val="000000"/>
                <w:szCs w:val="22"/>
                <w:lang w:val="en-AU"/>
              </w:rPr>
              <w:t xml:space="preserve">Findings: </w:t>
            </w:r>
            <w:r w:rsidR="00FD0809">
              <w:rPr>
                <w:rFonts w:ascii="Gill Sans" w:hAnsi="Gill Sans" w:cs="Gill Sans"/>
                <w:color w:val="000000"/>
                <w:szCs w:val="22"/>
                <w:lang w:val="en-AU"/>
              </w:rPr>
              <w:t xml:space="preserve">Themes of </w:t>
            </w:r>
            <w:r w:rsidR="00FD0809">
              <w:rPr>
                <w:rFonts w:ascii="Gill Sans" w:hAnsi="Gill Sans" w:cs="Gill Sans"/>
                <w:i/>
                <w:color w:val="000000"/>
                <w:szCs w:val="22"/>
                <w:lang w:val="en-AU"/>
              </w:rPr>
              <w:t>commitment</w:t>
            </w:r>
            <w:r w:rsidR="00FD0809">
              <w:rPr>
                <w:rFonts w:ascii="Gill Sans" w:hAnsi="Gill Sans" w:cs="Gill Sans"/>
                <w:color w:val="000000"/>
                <w:szCs w:val="22"/>
                <w:lang w:val="en-AU"/>
              </w:rPr>
              <w:t xml:space="preserve">, </w:t>
            </w:r>
            <w:r w:rsidR="00FD0809">
              <w:rPr>
                <w:rFonts w:ascii="Gill Sans" w:hAnsi="Gill Sans" w:cs="Gill Sans"/>
                <w:i/>
                <w:color w:val="000000"/>
                <w:szCs w:val="22"/>
                <w:lang w:val="en-AU"/>
              </w:rPr>
              <w:t>engagement in dialogue</w:t>
            </w:r>
            <w:r w:rsidR="00FD0809">
              <w:rPr>
                <w:rFonts w:ascii="Gill Sans" w:hAnsi="Gill Sans" w:cs="Gill Sans"/>
                <w:color w:val="000000"/>
                <w:szCs w:val="22"/>
                <w:lang w:val="en-AU"/>
              </w:rPr>
              <w:t xml:space="preserve">, and </w:t>
            </w:r>
            <w:r w:rsidR="00FD0809">
              <w:rPr>
                <w:rFonts w:ascii="Gill Sans" w:hAnsi="Gill Sans" w:cs="Gill Sans"/>
                <w:i/>
                <w:color w:val="000000"/>
                <w:szCs w:val="22"/>
                <w:lang w:val="en-AU"/>
              </w:rPr>
              <w:t>sense of ownership</w:t>
            </w:r>
            <w:r w:rsidR="00FD0809">
              <w:rPr>
                <w:rFonts w:ascii="Gill Sans" w:hAnsi="Gill Sans" w:cs="Gill Sans"/>
                <w:color w:val="000000"/>
                <w:szCs w:val="22"/>
                <w:lang w:val="en-AU"/>
              </w:rPr>
              <w:t xml:space="preserve"> emerged from the interviews. Students expected universities to reciprocate the commitment and effort students </w:t>
            </w:r>
            <w:r w:rsidR="00411594">
              <w:rPr>
                <w:rFonts w:ascii="Gill Sans" w:hAnsi="Gill Sans" w:cs="Gill Sans"/>
                <w:color w:val="000000"/>
                <w:szCs w:val="22"/>
                <w:lang w:val="en-AU"/>
              </w:rPr>
              <w:t xml:space="preserve">devoted, and to make the students ‘feel valued’. </w:t>
            </w:r>
            <w:r w:rsidR="00B13BAA">
              <w:rPr>
                <w:rFonts w:ascii="Gill Sans" w:hAnsi="Gill Sans" w:cs="Gill Sans"/>
                <w:color w:val="000000"/>
                <w:szCs w:val="22"/>
                <w:lang w:val="en-AU"/>
              </w:rPr>
              <w:t xml:space="preserve">Students also seem to understand that those of them with ‘career-driven goals’ </w:t>
            </w:r>
            <w:r w:rsidR="005E3585">
              <w:rPr>
                <w:rFonts w:ascii="Gill Sans" w:hAnsi="Gill Sans" w:cs="Gill Sans"/>
                <w:color w:val="000000"/>
                <w:szCs w:val="22"/>
                <w:lang w:val="en-AU"/>
              </w:rPr>
              <w:t xml:space="preserve">and a willingness to sacrifice </w:t>
            </w:r>
            <w:r w:rsidR="00B13BAA">
              <w:rPr>
                <w:rFonts w:ascii="Gill Sans" w:hAnsi="Gill Sans" w:cs="Gill Sans"/>
                <w:color w:val="000000"/>
                <w:szCs w:val="22"/>
                <w:lang w:val="en-AU"/>
              </w:rPr>
              <w:t xml:space="preserve">will fare better in university than those without and acknowledge a divide that for them, indicates commitment/seriousness levels. </w:t>
            </w:r>
            <w:r w:rsidR="00C7367E">
              <w:rPr>
                <w:rFonts w:ascii="Gill Sans" w:hAnsi="Gill Sans" w:cs="Gill Sans"/>
                <w:color w:val="000000"/>
                <w:szCs w:val="22"/>
                <w:lang w:val="en-AU"/>
              </w:rPr>
              <w:t>With regards to dialoguing, ‘</w:t>
            </w:r>
            <w:r w:rsidR="00C7367E" w:rsidRPr="00C7367E">
              <w:rPr>
                <w:rFonts w:ascii="Gill Sans" w:hAnsi="Gill Sans" w:cs="Gill Sans"/>
                <w:color w:val="000000"/>
                <w:szCs w:val="22"/>
              </w:rPr>
              <w:t xml:space="preserve">focus group participants saw themselves as ‘customers’ accessing services with a clear purpose in mind, rather </w:t>
            </w:r>
            <w:r w:rsidR="00C7367E">
              <w:rPr>
                <w:rFonts w:ascii="Gill Sans" w:hAnsi="Gill Sans" w:cs="Gill Sans"/>
                <w:color w:val="000000"/>
                <w:szCs w:val="22"/>
              </w:rPr>
              <w:t xml:space="preserve">than as ‘students’ being taught’ (46). </w:t>
            </w:r>
            <w:r w:rsidRPr="00076E76">
              <w:rPr>
                <w:rFonts w:ascii="Gill Sans" w:hAnsi="Gill Sans" w:cs="Gill Sans"/>
                <w:b/>
                <w:color w:val="000000"/>
                <w:szCs w:val="22"/>
                <w:lang w:val="en-AU"/>
              </w:rPr>
              <w:br/>
              <w:t>Core argument:</w:t>
            </w:r>
            <w:r w:rsidR="00494866">
              <w:rPr>
                <w:rFonts w:ascii="Gill Sans" w:hAnsi="Gill Sans" w:cs="Gill Sans"/>
                <w:b/>
                <w:color w:val="000000"/>
                <w:szCs w:val="22"/>
                <w:lang w:val="en-AU"/>
              </w:rPr>
              <w:t xml:space="preserve"> </w:t>
            </w:r>
            <w:r w:rsidR="00494866">
              <w:rPr>
                <w:rFonts w:ascii="Gill Sans" w:hAnsi="Gill Sans" w:cs="Gill Sans"/>
                <w:color w:val="000000"/>
                <w:szCs w:val="22"/>
              </w:rPr>
              <w:t>‘D</w:t>
            </w:r>
            <w:r w:rsidR="00494866" w:rsidRPr="00494866">
              <w:rPr>
                <w:rFonts w:ascii="Gill Sans" w:hAnsi="Gill Sans" w:cs="Gill Sans"/>
                <w:color w:val="000000"/>
                <w:szCs w:val="22"/>
              </w:rPr>
              <w:t xml:space="preserve">ialogue’, </w:t>
            </w:r>
            <w:r w:rsidR="00B929DD">
              <w:rPr>
                <w:rFonts w:ascii="Gill Sans" w:hAnsi="Gill Sans" w:cs="Gill Sans"/>
                <w:color w:val="000000"/>
                <w:szCs w:val="22"/>
              </w:rPr>
              <w:t>‘commitment’ and ‘sense of own</w:t>
            </w:r>
            <w:r w:rsidR="00494866" w:rsidRPr="00494866">
              <w:rPr>
                <w:rFonts w:ascii="Gill Sans" w:hAnsi="Gill Sans" w:cs="Gill Sans"/>
                <w:color w:val="000000"/>
                <w:szCs w:val="22"/>
              </w:rPr>
              <w:t>ership’ are core to a successful first year</w:t>
            </w:r>
            <w:r w:rsidR="00494866">
              <w:rPr>
                <w:rFonts w:ascii="Gill Sans" w:hAnsi="Gill Sans" w:cs="Gill Sans"/>
                <w:color w:val="000000"/>
                <w:szCs w:val="22"/>
              </w:rPr>
              <w:t xml:space="preserve"> (48)</w:t>
            </w:r>
            <w:r w:rsidR="00B929DD">
              <w:rPr>
                <w:rFonts w:ascii="Gill Sans" w:hAnsi="Gill Sans" w:cs="Gill Sans"/>
                <w:color w:val="000000"/>
                <w:szCs w:val="22"/>
              </w:rPr>
              <w:t xml:space="preserve"> and ‘</w:t>
            </w:r>
            <w:r w:rsidR="00B929DD" w:rsidRPr="00B929DD">
              <w:rPr>
                <w:rFonts w:ascii="Gill Sans" w:hAnsi="Gill Sans" w:cs="Gill Sans"/>
                <w:color w:val="000000"/>
                <w:szCs w:val="22"/>
              </w:rPr>
              <w:t>students may expect to take a greater degree of ownershi</w:t>
            </w:r>
            <w:r w:rsidR="00B929DD">
              <w:rPr>
                <w:rFonts w:ascii="Gill Sans" w:hAnsi="Gill Sans" w:cs="Gill Sans"/>
                <w:color w:val="000000"/>
                <w:szCs w:val="22"/>
              </w:rPr>
              <w:t>p over the process and be posi</w:t>
            </w:r>
            <w:r w:rsidR="00B929DD" w:rsidRPr="00B929DD">
              <w:rPr>
                <w:rFonts w:ascii="Gill Sans" w:hAnsi="Gill Sans" w:cs="Gill Sans"/>
                <w:color w:val="000000"/>
                <w:szCs w:val="22"/>
              </w:rPr>
              <w:t>tioned as valued consumers</w:t>
            </w:r>
            <w:r w:rsidR="00B929DD">
              <w:rPr>
                <w:rFonts w:ascii="Gill Sans" w:hAnsi="Gill Sans" w:cs="Gill Sans"/>
                <w:color w:val="000000"/>
                <w:szCs w:val="22"/>
              </w:rPr>
              <w:t>’ (49)</w:t>
            </w:r>
            <w:r w:rsidR="00B929DD" w:rsidRPr="00B929DD">
              <w:rPr>
                <w:rFonts w:ascii="Gill Sans" w:hAnsi="Gill Sans" w:cs="Gill Sans"/>
                <w:color w:val="000000"/>
                <w:szCs w:val="22"/>
              </w:rPr>
              <w:t>.</w:t>
            </w:r>
            <w:r w:rsidR="00AC660B">
              <w:rPr>
                <w:rFonts w:ascii="Gill Sans" w:hAnsi="Gill Sans" w:cs="Gill Sans"/>
                <w:color w:val="000000"/>
                <w:szCs w:val="22"/>
              </w:rPr>
              <w:t xml:space="preserve"> </w:t>
            </w:r>
          </w:p>
        </w:tc>
      </w:tr>
      <w:tr w:rsidR="00D74691" w:rsidRPr="00076E76" w14:paraId="74A7754D" w14:textId="77777777" w:rsidTr="001F3CF1">
        <w:tc>
          <w:tcPr>
            <w:tcW w:w="5529" w:type="dxa"/>
            <w:shd w:val="clear" w:color="auto" w:fill="auto"/>
          </w:tcPr>
          <w:p w14:paraId="27A4293B" w14:textId="4BCE1F8B" w:rsidR="00D74691" w:rsidRPr="00076E76" w:rsidRDefault="00D74691" w:rsidP="008A16D2">
            <w:pPr>
              <w:rPr>
                <w:rFonts w:ascii="Gill Sans" w:eastAsiaTheme="minorHAnsi" w:hAnsi="Gill Sans" w:cs="Gill Sans"/>
                <w:szCs w:val="22"/>
                <w:lang w:val="en-GB"/>
              </w:rPr>
            </w:pPr>
            <w:proofErr w:type="spellStart"/>
            <w:r w:rsidRPr="00076E76">
              <w:rPr>
                <w:rFonts w:ascii="Gill Sans" w:eastAsiaTheme="minorHAnsi" w:hAnsi="Gill Sans" w:cs="Gill Sans"/>
                <w:szCs w:val="22"/>
                <w:lang w:val="en-GB"/>
              </w:rPr>
              <w:lastRenderedPageBreak/>
              <w:t>Bangeni</w:t>
            </w:r>
            <w:proofErr w:type="spellEnd"/>
            <w:r w:rsidRPr="00076E76">
              <w:rPr>
                <w:rFonts w:ascii="Gill Sans" w:eastAsiaTheme="minorHAnsi" w:hAnsi="Gill Sans" w:cs="Gill Sans"/>
                <w:szCs w:val="22"/>
                <w:lang w:val="en-GB"/>
              </w:rPr>
              <w:t xml:space="preserve">, B. &amp; Kapp, R. (2005). </w:t>
            </w:r>
            <w:hyperlink r:id="rId21" w:history="1">
              <w:r w:rsidRPr="00796FDC">
                <w:rPr>
                  <w:rStyle w:val="Hyperlink"/>
                  <w:rFonts w:ascii="Gill Sans" w:eastAsiaTheme="minorHAnsi" w:hAnsi="Gill Sans" w:cs="Gill Sans"/>
                  <w:szCs w:val="22"/>
                  <w:lang w:val="en-GB"/>
                </w:rPr>
                <w:t>Identities in Transition: Shifting Conceptions of Home among ‘Black’ South African University Students</w:t>
              </w:r>
            </w:hyperlink>
            <w:r w:rsidRPr="00076E76">
              <w:rPr>
                <w:rFonts w:ascii="Gill Sans" w:eastAsiaTheme="minorHAnsi" w:hAnsi="Gill Sans" w:cs="Gill Sans"/>
                <w:szCs w:val="22"/>
                <w:lang w:val="en-GB"/>
              </w:rPr>
              <w:t xml:space="preserve">, </w:t>
            </w:r>
            <w:r w:rsidR="00EE64C8" w:rsidRPr="00076E76">
              <w:rPr>
                <w:rFonts w:ascii="Gill Sans" w:eastAsiaTheme="minorHAnsi" w:hAnsi="Gill Sans" w:cs="Gill Sans"/>
                <w:i/>
                <w:szCs w:val="22"/>
                <w:lang w:val="en-GB"/>
              </w:rPr>
              <w:t xml:space="preserve">African Studies Review, </w:t>
            </w:r>
            <w:r w:rsidR="00796FDC">
              <w:rPr>
                <w:rFonts w:ascii="Gill Sans" w:eastAsiaTheme="minorHAnsi" w:hAnsi="Gill Sans" w:cs="Gill Sans"/>
                <w:szCs w:val="22"/>
                <w:lang w:val="en-GB"/>
              </w:rPr>
              <w:t>48(3), 1–</w:t>
            </w:r>
            <w:r w:rsidR="00EE64C8" w:rsidRPr="00076E76">
              <w:rPr>
                <w:rFonts w:ascii="Gill Sans" w:eastAsiaTheme="minorHAnsi" w:hAnsi="Gill Sans" w:cs="Gill Sans"/>
                <w:szCs w:val="22"/>
                <w:lang w:val="en-GB"/>
              </w:rPr>
              <w:t>19.</w:t>
            </w:r>
          </w:p>
          <w:p w14:paraId="0E68A6A8" w14:textId="77777777" w:rsidR="00EE64C8" w:rsidRPr="00076E76" w:rsidRDefault="00EE64C8" w:rsidP="008A16D2">
            <w:pPr>
              <w:rPr>
                <w:rFonts w:ascii="Gill Sans" w:eastAsiaTheme="minorHAnsi" w:hAnsi="Gill Sans" w:cs="Gill Sans"/>
                <w:szCs w:val="22"/>
                <w:lang w:val="en-GB"/>
              </w:rPr>
            </w:pPr>
          </w:p>
          <w:p w14:paraId="66A2DD82" w14:textId="77777777" w:rsidR="00EE64C8" w:rsidRPr="00076E76" w:rsidRDefault="00EE64C8" w:rsidP="008A16D2">
            <w:pPr>
              <w:rPr>
                <w:rFonts w:ascii="Gill Sans" w:eastAsiaTheme="minorHAnsi" w:hAnsi="Gill Sans" w:cs="Gill Sans"/>
                <w:szCs w:val="22"/>
                <w:lang w:val="en-GB"/>
              </w:rPr>
            </w:pPr>
            <w:r w:rsidRPr="00076E76">
              <w:rPr>
                <w:rFonts w:ascii="Gill Sans" w:eastAsiaTheme="minorHAnsi" w:hAnsi="Gill Sans" w:cs="Gill Sans"/>
                <w:szCs w:val="22"/>
                <w:lang w:val="en-GB"/>
              </w:rPr>
              <w:t>SA</w:t>
            </w:r>
          </w:p>
          <w:p w14:paraId="49B32D7B" w14:textId="77777777" w:rsidR="00FA2E2D" w:rsidRPr="00076E76" w:rsidRDefault="00FA2E2D" w:rsidP="00FA2E2D">
            <w:pPr>
              <w:rPr>
                <w:rFonts w:ascii="Gill Sans" w:hAnsi="Gill Sans" w:cs="Gill Sans"/>
                <w:szCs w:val="22"/>
              </w:rPr>
            </w:pPr>
            <w:r w:rsidRPr="00076E76">
              <w:rPr>
                <w:rFonts w:ascii="Gill Sans" w:hAnsi="Gill Sans" w:cs="Gill Sans"/>
                <w:szCs w:val="22"/>
              </w:rPr>
              <w:t>Annotation by Sally Baker</w:t>
            </w:r>
          </w:p>
          <w:p w14:paraId="1118BF7D" w14:textId="77777777" w:rsidR="00AF320A" w:rsidRPr="00076E76" w:rsidRDefault="00AF320A" w:rsidP="008A16D2">
            <w:pPr>
              <w:rPr>
                <w:rFonts w:ascii="Gill Sans" w:eastAsiaTheme="minorHAnsi" w:hAnsi="Gill Sans" w:cs="Gill Sans"/>
                <w:szCs w:val="22"/>
                <w:lang w:val="en-GB"/>
              </w:rPr>
            </w:pPr>
          </w:p>
          <w:p w14:paraId="11D9D01C" w14:textId="0A6EDA84" w:rsidR="00AF320A" w:rsidRPr="00076E76" w:rsidRDefault="00AF320A" w:rsidP="008A16D2">
            <w:pPr>
              <w:rPr>
                <w:rFonts w:ascii="Gill Sans" w:eastAsiaTheme="minorHAnsi" w:hAnsi="Gill Sans" w:cs="Gill Sans"/>
                <w:b/>
                <w:szCs w:val="22"/>
                <w:lang w:val="en-GB"/>
              </w:rPr>
            </w:pPr>
          </w:p>
        </w:tc>
        <w:tc>
          <w:tcPr>
            <w:tcW w:w="10064" w:type="dxa"/>
          </w:tcPr>
          <w:p w14:paraId="55CA2E72" w14:textId="387B5D06" w:rsidR="00EE64C8" w:rsidRPr="00076E76" w:rsidRDefault="00EE64C8" w:rsidP="00EE64C8">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sidR="00E95159" w:rsidRPr="00076E76">
              <w:rPr>
                <w:rFonts w:ascii="Gill Sans" w:hAnsi="Gill Sans" w:cs="Gill Sans"/>
                <w:color w:val="000000"/>
                <w:szCs w:val="22"/>
                <w:lang w:val="en-AU"/>
              </w:rPr>
              <w:t xml:space="preserve">Written at time of social transition in South Africa and increasing diversity of ‘traditionally white’ universities like </w:t>
            </w:r>
            <w:r w:rsidR="007878D7" w:rsidRPr="00076E76">
              <w:rPr>
                <w:rFonts w:ascii="Gill Sans" w:hAnsi="Gill Sans" w:cs="Gill Sans"/>
                <w:color w:val="000000"/>
                <w:szCs w:val="22"/>
                <w:lang w:val="en-AU"/>
              </w:rPr>
              <w:t>the University of Cape Town</w:t>
            </w:r>
            <w:r w:rsidR="00E95159" w:rsidRPr="00076E76">
              <w:rPr>
                <w:rFonts w:ascii="Gill Sans" w:hAnsi="Gill Sans" w:cs="Gill Sans"/>
                <w:color w:val="000000"/>
                <w:szCs w:val="22"/>
                <w:lang w:val="en-AU"/>
              </w:rPr>
              <w:t>. Authors examine</w:t>
            </w:r>
            <w:r w:rsidR="00D03C53" w:rsidRPr="00076E76">
              <w:rPr>
                <w:rFonts w:ascii="Gill Sans" w:hAnsi="Gill Sans" w:cs="Gill Sans"/>
                <w:color w:val="000000"/>
                <w:szCs w:val="22"/>
                <w:lang w:val="en-AU"/>
              </w:rPr>
              <w:t xml:space="preserve"> intersection between</w:t>
            </w:r>
            <w:r w:rsidR="00F54370" w:rsidRPr="00076E76">
              <w:rPr>
                <w:rFonts w:ascii="Gill Sans" w:hAnsi="Gill Sans" w:cs="Gill Sans"/>
                <w:color w:val="000000"/>
                <w:szCs w:val="22"/>
                <w:lang w:val="en-AU"/>
              </w:rPr>
              <w:t xml:space="preserve"> language and literacies (attitudes, practices)/</w:t>
            </w:r>
            <w:r w:rsidR="00D03C53" w:rsidRPr="00076E76">
              <w:rPr>
                <w:rFonts w:ascii="Gill Sans" w:hAnsi="Gill Sans" w:cs="Gill Sans"/>
                <w:color w:val="000000"/>
                <w:szCs w:val="22"/>
                <w:lang w:val="en-AU"/>
              </w:rPr>
              <w:t xml:space="preserve"> identity and home/ university discourses</w:t>
            </w:r>
            <w:r w:rsidR="00CE7076" w:rsidRPr="00076E76">
              <w:rPr>
                <w:rFonts w:ascii="Gill Sans" w:hAnsi="Gill Sans" w:cs="Gill Sans"/>
                <w:color w:val="000000"/>
                <w:szCs w:val="22"/>
                <w:lang w:val="en-AU"/>
              </w:rPr>
              <w:t xml:space="preserve">. </w:t>
            </w:r>
            <w:proofErr w:type="gramStart"/>
            <w:r w:rsidR="00CE7076" w:rsidRPr="00076E76">
              <w:rPr>
                <w:rFonts w:ascii="Gill Sans" w:hAnsi="Gill Sans" w:cs="Gill Sans"/>
                <w:color w:val="000000"/>
                <w:szCs w:val="22"/>
                <w:lang w:val="en-AU"/>
              </w:rPr>
              <w:t>Generally</w:t>
            </w:r>
            <w:proofErr w:type="gramEnd"/>
            <w:r w:rsidR="00CE7076" w:rsidRPr="00076E76">
              <w:rPr>
                <w:rFonts w:ascii="Gill Sans" w:hAnsi="Gill Sans" w:cs="Gill Sans"/>
                <w:color w:val="000000"/>
                <w:szCs w:val="22"/>
                <w:lang w:val="en-AU"/>
              </w:rPr>
              <w:t xml:space="preserve"> research does not track students’ experiences over time</w:t>
            </w:r>
          </w:p>
          <w:p w14:paraId="4864A75A" w14:textId="71717561" w:rsidR="00EE64C8" w:rsidRPr="00076E76" w:rsidRDefault="00EE64C8" w:rsidP="00EE64C8">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sidR="00D03C53" w:rsidRPr="00076E76">
              <w:rPr>
                <w:rFonts w:ascii="Gill Sans" w:hAnsi="Gill Sans" w:cs="Gill Sans"/>
                <w:color w:val="000000"/>
                <w:szCs w:val="22"/>
                <w:lang w:val="en-AU"/>
              </w:rPr>
              <w:t>To “</w:t>
            </w:r>
            <w:r w:rsidR="00D03C53" w:rsidRPr="00076E76">
              <w:rPr>
                <w:rFonts w:ascii="Gill Sans" w:hAnsi="Gill Sans" w:cs="Gill Sans"/>
                <w:color w:val="000000"/>
                <w:szCs w:val="22"/>
              </w:rPr>
              <w:t>trace two first-generation university students' changing constructions of who they are and the concomitant changes in their relationship to home and university over the course of three years” (abstract)</w:t>
            </w:r>
            <w:r w:rsidR="0033610B" w:rsidRPr="00076E76">
              <w:rPr>
                <w:rFonts w:ascii="Gill Sans" w:hAnsi="Gill Sans" w:cs="Gill Sans"/>
                <w:color w:val="000000"/>
                <w:szCs w:val="22"/>
              </w:rPr>
              <w:t>; to explore how students mediate home and academic discourses over time.</w:t>
            </w:r>
          </w:p>
          <w:p w14:paraId="5874FCAA" w14:textId="3D9F01DE" w:rsidR="00EE64C8" w:rsidRPr="00076E76" w:rsidRDefault="00EE64C8" w:rsidP="00EE64C8">
            <w:pPr>
              <w:rPr>
                <w:rFonts w:ascii="Gill Sans" w:hAnsi="Gill Sans" w:cs="Gill Sans"/>
                <w:color w:val="000000"/>
                <w:szCs w:val="22"/>
                <w:lang w:val="en-AU"/>
              </w:rPr>
            </w:pPr>
            <w:r w:rsidRPr="00076E76">
              <w:rPr>
                <w:rFonts w:ascii="Gill Sans" w:hAnsi="Gill Sans" w:cs="Gill Sans"/>
                <w:b/>
                <w:color w:val="000000"/>
                <w:szCs w:val="22"/>
                <w:lang w:val="en-AU"/>
              </w:rPr>
              <w:t>Theoretical frame:</w:t>
            </w:r>
            <w:r w:rsidR="0033610B" w:rsidRPr="00076E76">
              <w:rPr>
                <w:rFonts w:ascii="Gill Sans" w:hAnsi="Gill Sans" w:cs="Gill Sans"/>
                <w:b/>
                <w:color w:val="000000"/>
                <w:szCs w:val="22"/>
                <w:lang w:val="en-AU"/>
              </w:rPr>
              <w:t xml:space="preserve"> </w:t>
            </w:r>
            <w:r w:rsidR="0033610B" w:rsidRPr="00076E76">
              <w:rPr>
                <w:rFonts w:ascii="Gill Sans" w:hAnsi="Gill Sans" w:cs="Gill Sans"/>
                <w:color w:val="000000"/>
                <w:szCs w:val="22"/>
                <w:lang w:val="en-AU"/>
              </w:rPr>
              <w:t>Gee’s (1990) notion of discourse (“</w:t>
            </w:r>
            <w:r w:rsidR="0033610B" w:rsidRPr="00076E76">
              <w:rPr>
                <w:rFonts w:ascii="Gill Sans" w:hAnsi="Gill Sans" w:cs="Gill Sans"/>
                <w:color w:val="000000"/>
                <w:szCs w:val="22"/>
              </w:rPr>
              <w:t xml:space="preserve">accepted ways of "saying-doing-being-valuing-believing", p.3); postmodern notion of identity as </w:t>
            </w:r>
            <w:r w:rsidR="00567A47" w:rsidRPr="00076E76">
              <w:rPr>
                <w:rFonts w:ascii="Gill Sans" w:hAnsi="Gill Sans" w:cs="Gill Sans"/>
                <w:color w:val="000000"/>
                <w:szCs w:val="22"/>
              </w:rPr>
              <w:t>fluid and multiple</w:t>
            </w:r>
          </w:p>
          <w:p w14:paraId="1B0DDEDA" w14:textId="44D83167" w:rsidR="00EE64C8" w:rsidRPr="00076E76" w:rsidRDefault="00EE64C8" w:rsidP="00EE64C8">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007878D7" w:rsidRPr="00076E76">
              <w:rPr>
                <w:rFonts w:ascii="Gill Sans" w:hAnsi="Gill Sans" w:cs="Gill Sans"/>
                <w:color w:val="000000"/>
                <w:szCs w:val="22"/>
                <w:lang w:val="en-AU"/>
              </w:rPr>
              <w:t xml:space="preserve">Longitudinal case study, tracking 20 </w:t>
            </w:r>
            <w:r w:rsidR="00F54370" w:rsidRPr="00076E76">
              <w:rPr>
                <w:rFonts w:ascii="Gill Sans" w:hAnsi="Gill Sans" w:cs="Gill Sans"/>
                <w:color w:val="000000"/>
                <w:szCs w:val="22"/>
                <w:lang w:val="en-AU"/>
              </w:rPr>
              <w:t xml:space="preserve">(mostly ESL/ working class) </w:t>
            </w:r>
            <w:r w:rsidR="007878D7" w:rsidRPr="00076E76">
              <w:rPr>
                <w:rFonts w:ascii="Gill Sans" w:hAnsi="Gill Sans" w:cs="Gill Sans"/>
                <w:color w:val="000000"/>
                <w:szCs w:val="22"/>
                <w:lang w:val="en-AU"/>
              </w:rPr>
              <w:t>students in undergraduate study at UCT</w:t>
            </w:r>
            <w:r w:rsidR="00D03C53" w:rsidRPr="00076E76">
              <w:rPr>
                <w:rFonts w:ascii="Gill Sans" w:hAnsi="Gill Sans" w:cs="Gill Sans"/>
                <w:color w:val="000000"/>
                <w:szCs w:val="22"/>
                <w:lang w:val="en-AU"/>
              </w:rPr>
              <w:t xml:space="preserve">. Two participants – </w:t>
            </w:r>
            <w:proofErr w:type="spellStart"/>
            <w:r w:rsidR="00D03C53" w:rsidRPr="00076E76">
              <w:rPr>
                <w:rFonts w:ascii="Gill Sans" w:hAnsi="Gill Sans" w:cs="Gill Sans"/>
                <w:color w:val="000000"/>
                <w:szCs w:val="22"/>
                <w:lang w:val="en-AU"/>
              </w:rPr>
              <w:t>Sisanda</w:t>
            </w:r>
            <w:proofErr w:type="spellEnd"/>
            <w:r w:rsidR="00D03C53" w:rsidRPr="00076E76">
              <w:rPr>
                <w:rFonts w:ascii="Gill Sans" w:hAnsi="Gill Sans" w:cs="Gill Sans"/>
                <w:color w:val="000000"/>
                <w:szCs w:val="22"/>
                <w:lang w:val="en-AU"/>
              </w:rPr>
              <w:t xml:space="preserve"> and Andrew - profiled</w:t>
            </w:r>
          </w:p>
          <w:p w14:paraId="6C11744C" w14:textId="04E75915" w:rsidR="00D74691" w:rsidRPr="00076E76" w:rsidRDefault="00EE64C8" w:rsidP="00C471BB">
            <w:pPr>
              <w:rPr>
                <w:rFonts w:ascii="Gill Sans" w:hAnsi="Gill Sans" w:cs="Gill Sans"/>
                <w:color w:val="000000"/>
                <w:szCs w:val="22"/>
                <w:lang w:val="en-AU"/>
              </w:rPr>
            </w:pPr>
            <w:r w:rsidRPr="00076E76">
              <w:rPr>
                <w:rFonts w:ascii="Gill Sans" w:hAnsi="Gill Sans" w:cs="Gill Sans"/>
                <w:b/>
                <w:color w:val="000000"/>
                <w:szCs w:val="22"/>
                <w:lang w:val="en-AU"/>
              </w:rPr>
              <w:t xml:space="preserve">Findings: </w:t>
            </w:r>
            <w:r w:rsidR="00CE7076" w:rsidRPr="00076E76">
              <w:rPr>
                <w:rFonts w:ascii="Gill Sans" w:hAnsi="Gill Sans" w:cs="Gill Sans"/>
                <w:color w:val="000000"/>
                <w:szCs w:val="22"/>
                <w:lang w:val="en-AU"/>
              </w:rPr>
              <w:t>Students’ shifts in transition are not linear (p.3)</w:t>
            </w:r>
            <w:r w:rsidR="00E95159" w:rsidRPr="00076E76">
              <w:rPr>
                <w:rFonts w:ascii="Gill Sans" w:hAnsi="Gill Sans" w:cs="Gill Sans"/>
                <w:color w:val="000000"/>
                <w:szCs w:val="22"/>
                <w:lang w:val="en-AU"/>
              </w:rPr>
              <w:t>: “</w:t>
            </w:r>
            <w:r w:rsidR="00E95159" w:rsidRPr="00076E76">
              <w:rPr>
                <w:rFonts w:ascii="Gill Sans" w:hAnsi="Gill Sans" w:cs="Gill Sans"/>
                <w:color w:val="000000"/>
                <w:szCs w:val="22"/>
              </w:rPr>
              <w:t>Students' relationships with, and levels of attachment to, both the university and home are characterized by fluidity, ambivalence, and change” (p.3).</w:t>
            </w:r>
            <w:r w:rsidRPr="00076E76">
              <w:rPr>
                <w:rFonts w:ascii="Gill Sans" w:hAnsi="Gill Sans" w:cs="Gill Sans"/>
                <w:b/>
                <w:color w:val="000000"/>
                <w:szCs w:val="22"/>
                <w:lang w:val="en-AU"/>
              </w:rPr>
              <w:br/>
              <w:t>Core argument:</w:t>
            </w:r>
            <w:r w:rsidR="0054776A" w:rsidRPr="00076E76">
              <w:rPr>
                <w:rFonts w:ascii="Gill Sans" w:hAnsi="Gill Sans" w:cs="Gill Sans"/>
                <w:b/>
                <w:color w:val="000000"/>
                <w:szCs w:val="22"/>
                <w:lang w:val="en-AU"/>
              </w:rPr>
              <w:t xml:space="preserve"> </w:t>
            </w:r>
            <w:r w:rsidR="0054776A" w:rsidRPr="00076E76">
              <w:rPr>
                <w:rFonts w:ascii="Gill Sans" w:hAnsi="Gill Sans" w:cs="Gill Sans"/>
                <w:color w:val="000000"/>
                <w:szCs w:val="22"/>
                <w:lang w:val="en-AU"/>
              </w:rPr>
              <w:t>Students</w:t>
            </w:r>
            <w:r w:rsidR="007A7859" w:rsidRPr="00076E76">
              <w:rPr>
                <w:rFonts w:ascii="Gill Sans" w:hAnsi="Gill Sans" w:cs="Gill Sans"/>
                <w:color w:val="000000"/>
                <w:szCs w:val="22"/>
                <w:lang w:val="en-AU"/>
              </w:rPr>
              <w:t xml:space="preserve"> “</w:t>
            </w:r>
            <w:r w:rsidR="007A7859" w:rsidRPr="00076E76">
              <w:rPr>
                <w:rFonts w:ascii="Gill Sans" w:hAnsi="Gill Sans" w:cs="Gill Sans"/>
                <w:color w:val="000000"/>
                <w:szCs w:val="22"/>
              </w:rPr>
              <w:t>are always responding to multiple and often conflicting expectations of who they are and who they should be” (p.16) – conflicts arise from individual desire to succeed, home lives and desire to socially belong</w:t>
            </w:r>
            <w:r w:rsidR="005F150A" w:rsidRPr="00076E76">
              <w:rPr>
                <w:rFonts w:ascii="Gill Sans" w:hAnsi="Gill Sans" w:cs="Gill Sans"/>
                <w:color w:val="000000"/>
                <w:szCs w:val="22"/>
              </w:rPr>
              <w:t>. Loss of ‘home’ (through adoption of new identities, subjectivities and location through university study/life); for many students “the conception of "home" narrows from being their neighboring community to being just their family” (p.17)</w:t>
            </w:r>
            <w:r w:rsidR="00C471BB" w:rsidRPr="00076E76">
              <w:rPr>
                <w:rFonts w:ascii="Gill Sans" w:hAnsi="Gill Sans" w:cs="Gill Sans"/>
                <w:color w:val="000000"/>
                <w:szCs w:val="22"/>
              </w:rPr>
              <w:t>, but university does not replace this loss</w:t>
            </w:r>
            <w:r w:rsidR="005F150A" w:rsidRPr="00076E76">
              <w:rPr>
                <w:rFonts w:ascii="Gill Sans" w:hAnsi="Gill Sans" w:cs="Gill Sans"/>
                <w:color w:val="000000"/>
                <w:szCs w:val="22"/>
              </w:rPr>
              <w:t>.</w:t>
            </w:r>
            <w:r w:rsidR="00C471BB" w:rsidRPr="00076E76">
              <w:rPr>
                <w:rFonts w:ascii="Gill Sans" w:hAnsi="Gill Sans" w:cs="Gill Sans"/>
                <w:color w:val="000000"/>
                <w:szCs w:val="22"/>
              </w:rPr>
              <w:t xml:space="preserve"> Longitudinal nature of study = enabled authors to dismiss linear notions of transition in students’ identity shifts</w:t>
            </w:r>
            <w:r w:rsidR="001C3008" w:rsidRPr="00076E76">
              <w:rPr>
                <w:rFonts w:ascii="Gill Sans" w:hAnsi="Gill Sans" w:cs="Gill Sans"/>
                <w:color w:val="000000"/>
                <w:szCs w:val="22"/>
              </w:rPr>
              <w:t>: “our data nevertheless are significant in illustrating students' transitions and the complexities of their struggles to work out who they are and where they belong in relation to U.C.T. and home” (p.17).</w:t>
            </w:r>
          </w:p>
        </w:tc>
      </w:tr>
      <w:tr w:rsidR="000710B5" w:rsidRPr="00076E76" w14:paraId="126E0276" w14:textId="77777777" w:rsidTr="007A6A23">
        <w:tc>
          <w:tcPr>
            <w:tcW w:w="5529" w:type="dxa"/>
            <w:shd w:val="clear" w:color="auto" w:fill="auto"/>
          </w:tcPr>
          <w:p w14:paraId="4431447F" w14:textId="5D3D9BB2" w:rsidR="00785355" w:rsidRDefault="00785355" w:rsidP="00785355">
            <w:pPr>
              <w:rPr>
                <w:rFonts w:ascii="Gill Sans" w:hAnsi="Gill Sans" w:cs="Gill Sans"/>
                <w:bCs/>
                <w:szCs w:val="22"/>
              </w:rPr>
            </w:pPr>
            <w:proofErr w:type="spellStart"/>
            <w:r w:rsidRPr="00076E76">
              <w:rPr>
                <w:rFonts w:ascii="Gill Sans" w:hAnsi="Gill Sans" w:cs="Gill Sans"/>
                <w:szCs w:val="22"/>
              </w:rPr>
              <w:lastRenderedPageBreak/>
              <w:t>Bathmaker</w:t>
            </w:r>
            <w:proofErr w:type="spellEnd"/>
            <w:r w:rsidRPr="00076E76">
              <w:rPr>
                <w:rFonts w:ascii="Gill Sans" w:hAnsi="Gill Sans" w:cs="Gill Sans"/>
                <w:szCs w:val="22"/>
              </w:rPr>
              <w:t>, A. &amp; Thomas</w:t>
            </w:r>
            <w:r>
              <w:rPr>
                <w:rFonts w:ascii="Gill Sans" w:hAnsi="Gill Sans" w:cs="Gill Sans"/>
                <w:szCs w:val="22"/>
              </w:rPr>
              <w:t xml:space="preserve">, W. (2009). </w:t>
            </w:r>
            <w:hyperlink r:id="rId22" w:history="1">
              <w:r w:rsidRPr="00652ED2">
                <w:rPr>
                  <w:rStyle w:val="Hyperlink"/>
                  <w:rFonts w:ascii="Gill Sans" w:hAnsi="Gill Sans" w:cs="Gill Sans"/>
                  <w:bCs/>
                  <w:szCs w:val="22"/>
                </w:rPr>
                <w:t>Positioning themselves: an exploration of the nature and meaning of transitions in the context of dual sector FE/HE institutions in England</w:t>
              </w:r>
            </w:hyperlink>
            <w:r>
              <w:rPr>
                <w:rFonts w:ascii="Gill Sans" w:hAnsi="Gill Sans" w:cs="Gill Sans"/>
                <w:bCs/>
                <w:szCs w:val="22"/>
              </w:rPr>
              <w:t xml:space="preserve">, </w:t>
            </w:r>
            <w:r w:rsidRPr="00002B77">
              <w:rPr>
                <w:rFonts w:ascii="Gill Sans" w:hAnsi="Gill Sans" w:cs="Gill Sans"/>
                <w:bCs/>
                <w:i/>
                <w:szCs w:val="22"/>
              </w:rPr>
              <w:t>Journal of Further and Higher Education</w:t>
            </w:r>
            <w:r w:rsidR="007A6A23">
              <w:rPr>
                <w:rFonts w:ascii="Gill Sans" w:hAnsi="Gill Sans" w:cs="Gill Sans"/>
                <w:bCs/>
                <w:szCs w:val="22"/>
              </w:rPr>
              <w:t>, 33(2), 119–</w:t>
            </w:r>
            <w:r>
              <w:rPr>
                <w:rFonts w:ascii="Gill Sans" w:hAnsi="Gill Sans" w:cs="Gill Sans"/>
                <w:bCs/>
                <w:szCs w:val="22"/>
              </w:rPr>
              <w:t>130.</w:t>
            </w:r>
          </w:p>
          <w:p w14:paraId="311D8245" w14:textId="77777777" w:rsidR="00785355" w:rsidRDefault="00785355" w:rsidP="00785355">
            <w:pPr>
              <w:rPr>
                <w:rFonts w:ascii="Gill Sans" w:hAnsi="Gill Sans" w:cs="Gill Sans"/>
                <w:bCs/>
                <w:szCs w:val="22"/>
              </w:rPr>
            </w:pPr>
          </w:p>
          <w:p w14:paraId="541B6B81" w14:textId="77777777" w:rsidR="00785355" w:rsidRDefault="00785355" w:rsidP="00785355">
            <w:pPr>
              <w:rPr>
                <w:rFonts w:ascii="Gill Sans" w:hAnsi="Gill Sans" w:cs="Gill Sans"/>
                <w:bCs/>
                <w:szCs w:val="22"/>
              </w:rPr>
            </w:pPr>
            <w:r>
              <w:rPr>
                <w:rFonts w:ascii="Gill Sans" w:hAnsi="Gill Sans" w:cs="Gill Sans"/>
                <w:bCs/>
                <w:szCs w:val="22"/>
              </w:rPr>
              <w:t>UK</w:t>
            </w:r>
          </w:p>
          <w:p w14:paraId="3AF816EB" w14:textId="77777777" w:rsidR="00785355" w:rsidRDefault="00785355" w:rsidP="00785355">
            <w:pPr>
              <w:rPr>
                <w:rFonts w:ascii="Gill Sans" w:hAnsi="Gill Sans" w:cs="Gill Sans"/>
                <w:bCs/>
                <w:szCs w:val="22"/>
              </w:rPr>
            </w:pPr>
            <w:r>
              <w:rPr>
                <w:rFonts w:ascii="Gill Sans" w:hAnsi="Gill Sans" w:cs="Gill Sans"/>
                <w:bCs/>
                <w:szCs w:val="22"/>
              </w:rPr>
              <w:t xml:space="preserve">Annotation by Caitlyn McLoughlin </w:t>
            </w:r>
          </w:p>
          <w:p w14:paraId="5A941427" w14:textId="77777777" w:rsidR="00785355" w:rsidRDefault="00785355" w:rsidP="00785355">
            <w:pPr>
              <w:rPr>
                <w:rFonts w:ascii="Gill Sans" w:hAnsi="Gill Sans" w:cs="Gill Sans"/>
                <w:bCs/>
                <w:szCs w:val="22"/>
              </w:rPr>
            </w:pPr>
          </w:p>
          <w:p w14:paraId="26563636" w14:textId="7DD613C0" w:rsidR="000710B5" w:rsidRPr="00076E76" w:rsidRDefault="00785355" w:rsidP="00785355">
            <w:pPr>
              <w:rPr>
                <w:rFonts w:ascii="Gill Sans" w:hAnsi="Gill Sans" w:cs="Gill Sans"/>
                <w:szCs w:val="22"/>
              </w:rPr>
            </w:pPr>
            <w:r>
              <w:rPr>
                <w:rFonts w:ascii="Gill Sans" w:hAnsi="Gill Sans" w:cs="Gill Sans"/>
                <w:bCs/>
                <w:szCs w:val="22"/>
              </w:rPr>
              <w:t xml:space="preserve">Keywords: </w:t>
            </w:r>
            <w:r w:rsidRPr="007A6A23">
              <w:rPr>
                <w:rFonts w:ascii="Gill Sans" w:hAnsi="Gill Sans" w:cs="Gill Sans"/>
                <w:bCs/>
                <w:i/>
                <w:szCs w:val="22"/>
              </w:rPr>
              <w:t>transitions; higher education; further education</w:t>
            </w:r>
          </w:p>
        </w:tc>
        <w:tc>
          <w:tcPr>
            <w:tcW w:w="10064" w:type="dxa"/>
          </w:tcPr>
          <w:p w14:paraId="2FD6F3C0" w14:textId="7880B7B1" w:rsidR="00785355" w:rsidRPr="00887EF7" w:rsidRDefault="00785355" w:rsidP="00785355">
            <w:pPr>
              <w:rPr>
                <w:rFonts w:ascii="Gill Sans" w:hAnsi="Gill Sans" w:cs="Gill Sans"/>
                <w:color w:val="000000"/>
                <w:szCs w:val="22"/>
              </w:rPr>
            </w:pPr>
            <w:r w:rsidRPr="00076E76">
              <w:rPr>
                <w:rFonts w:ascii="Gill Sans" w:hAnsi="Gill Sans" w:cs="Gill Sans"/>
                <w:b/>
                <w:color w:val="000000"/>
                <w:szCs w:val="22"/>
                <w:lang w:val="en-AU"/>
              </w:rPr>
              <w:t xml:space="preserve">Context: </w:t>
            </w:r>
            <w:r>
              <w:rPr>
                <w:rFonts w:ascii="Gill Sans" w:hAnsi="Gill Sans" w:cs="Gill Sans"/>
                <w:color w:val="000000"/>
                <w:szCs w:val="22"/>
                <w:lang w:val="en-AU"/>
              </w:rPr>
              <w:t xml:space="preserve">Inherent structural inequalities of higher education within the UK educational system with a specific focus on higher education provision by ‘dual’ sector or ‘hybrid’ institutions. </w:t>
            </w:r>
            <w:r w:rsidRPr="00887EF7">
              <w:rPr>
                <w:rFonts w:ascii="Gill Sans" w:hAnsi="Gill Sans" w:cs="Gill Sans"/>
                <w:color w:val="000000"/>
                <w:szCs w:val="22"/>
              </w:rPr>
              <w:t xml:space="preserve">Bourdieu’s work </w:t>
            </w:r>
            <w:r>
              <w:rPr>
                <w:rFonts w:ascii="Gill Sans" w:hAnsi="Gill Sans" w:cs="Gill Sans"/>
                <w:color w:val="000000"/>
                <w:szCs w:val="22"/>
              </w:rPr>
              <w:t>on</w:t>
            </w:r>
            <w:r w:rsidRPr="00887EF7">
              <w:rPr>
                <w:rFonts w:ascii="Gill Sans" w:hAnsi="Gill Sans" w:cs="Gill Sans"/>
                <w:color w:val="000000"/>
                <w:szCs w:val="22"/>
              </w:rPr>
              <w:t xml:space="preserve"> concepts of field, habitus and capital</w:t>
            </w:r>
            <w:r>
              <w:rPr>
                <w:rFonts w:ascii="Gill Sans" w:hAnsi="Gill Sans" w:cs="Gill Sans"/>
                <w:color w:val="000000"/>
                <w:szCs w:val="22"/>
              </w:rPr>
              <w:t xml:space="preserve"> inform the authors’ analysis</w:t>
            </w:r>
            <w:r w:rsidR="00D84A40">
              <w:rPr>
                <w:rFonts w:ascii="Gill Sans" w:hAnsi="Gill Sans" w:cs="Gill Sans"/>
                <w:color w:val="000000"/>
                <w:szCs w:val="22"/>
              </w:rPr>
              <w:t>,</w:t>
            </w:r>
            <w:r>
              <w:rPr>
                <w:rFonts w:ascii="Gill Sans" w:hAnsi="Gill Sans" w:cs="Gill Sans"/>
                <w:color w:val="000000"/>
                <w:szCs w:val="22"/>
              </w:rPr>
              <w:t xml:space="preserve"> which focuses on transitions; the authors identify and </w:t>
            </w:r>
            <w:r w:rsidRPr="00887EF7">
              <w:rPr>
                <w:rFonts w:ascii="Gill Sans" w:hAnsi="Gill Sans" w:cs="Gill Sans"/>
                <w:color w:val="000000"/>
                <w:szCs w:val="22"/>
              </w:rPr>
              <w:t>consider</w:t>
            </w:r>
            <w:r>
              <w:rPr>
                <w:rFonts w:ascii="Gill Sans" w:hAnsi="Gill Sans" w:cs="Gill Sans"/>
                <w:color w:val="000000"/>
                <w:szCs w:val="22"/>
              </w:rPr>
              <w:t xml:space="preserve"> these transitions</w:t>
            </w:r>
            <w:r w:rsidRPr="00887EF7">
              <w:rPr>
                <w:rFonts w:ascii="Gill Sans" w:hAnsi="Gill Sans" w:cs="Gill Sans"/>
                <w:color w:val="000000"/>
                <w:szCs w:val="22"/>
              </w:rPr>
              <w:t xml:space="preserve"> at three different, but interrelated lev</w:t>
            </w:r>
            <w:r>
              <w:rPr>
                <w:rFonts w:ascii="Gill Sans" w:hAnsi="Gill Sans" w:cs="Gill Sans"/>
                <w:color w:val="000000"/>
                <w:szCs w:val="22"/>
              </w:rPr>
              <w:t>els: institutions in transition, transitions in institutions,</w:t>
            </w:r>
            <w:r w:rsidRPr="00887EF7">
              <w:rPr>
                <w:rFonts w:ascii="Gill Sans" w:hAnsi="Gill Sans" w:cs="Gill Sans"/>
                <w:color w:val="000000"/>
                <w:szCs w:val="22"/>
              </w:rPr>
              <w:t xml:space="preserve"> and students’ experience of transition</w:t>
            </w:r>
            <w:r>
              <w:rPr>
                <w:rFonts w:ascii="Gill Sans" w:hAnsi="Gill Sans" w:cs="Gill Sans"/>
                <w:color w:val="000000"/>
                <w:szCs w:val="22"/>
              </w:rPr>
              <w:t xml:space="preserve">. Article draws on the qualitative strand of the </w:t>
            </w:r>
            <w:proofErr w:type="spellStart"/>
            <w:r>
              <w:rPr>
                <w:rFonts w:ascii="Gill Sans" w:hAnsi="Gill Sans" w:cs="Gill Sans"/>
                <w:color w:val="000000"/>
                <w:szCs w:val="22"/>
              </w:rPr>
              <w:t>FurtherHigher</w:t>
            </w:r>
            <w:proofErr w:type="spellEnd"/>
            <w:r>
              <w:rPr>
                <w:rFonts w:ascii="Gill Sans" w:hAnsi="Gill Sans" w:cs="Gill Sans"/>
                <w:color w:val="000000"/>
                <w:szCs w:val="22"/>
              </w:rPr>
              <w:t xml:space="preserve"> Project – which uses qualitative and quantitative methods to ‘</w:t>
            </w:r>
            <w:r w:rsidRPr="0076781C">
              <w:rPr>
                <w:rFonts w:ascii="Gill Sans" w:hAnsi="Gill Sans" w:cs="Gill Sans"/>
                <w:color w:val="000000"/>
                <w:szCs w:val="22"/>
              </w:rPr>
              <w:t>investigate the changing shape and experience of higher education (HE) in England</w:t>
            </w:r>
            <w:r>
              <w:rPr>
                <w:rFonts w:ascii="Gill Sans" w:hAnsi="Gill Sans" w:cs="Gill Sans"/>
                <w:color w:val="000000"/>
                <w:szCs w:val="22"/>
              </w:rPr>
              <w:t xml:space="preserve">’ – specifically the case study focused </w:t>
            </w:r>
            <w:r w:rsidR="00D84A40">
              <w:rPr>
                <w:rFonts w:ascii="Gill Sans" w:hAnsi="Gill Sans" w:cs="Gill Sans"/>
                <w:color w:val="000000"/>
                <w:szCs w:val="22"/>
              </w:rPr>
              <w:t xml:space="preserve">on East Heath College which implemented a </w:t>
            </w:r>
            <w:r w:rsidR="00D84A40" w:rsidRPr="00D84A40">
              <w:rPr>
                <w:rFonts w:ascii="Gill Sans" w:hAnsi="Gill Sans" w:cs="Gill Sans"/>
                <w:color w:val="000000"/>
                <w:szCs w:val="22"/>
              </w:rPr>
              <w:t>formal separation of East Heath College into two separate organisations</w:t>
            </w:r>
            <w:r>
              <w:rPr>
                <w:rFonts w:ascii="Gill Sans" w:hAnsi="Gill Sans" w:cs="Gill Sans"/>
                <w:color w:val="000000"/>
                <w:szCs w:val="22"/>
              </w:rPr>
              <w:t xml:space="preserve"> </w:t>
            </w:r>
            <w:r w:rsidR="00D84A40">
              <w:rPr>
                <w:rFonts w:ascii="Gill Sans" w:hAnsi="Gill Sans" w:cs="Gill Sans"/>
                <w:color w:val="000000"/>
                <w:szCs w:val="22"/>
              </w:rPr>
              <w:t xml:space="preserve">– one HE and one FE – in 2007. </w:t>
            </w:r>
            <w:r>
              <w:rPr>
                <w:rFonts w:ascii="Gill Sans" w:hAnsi="Gill Sans" w:cs="Gill Sans"/>
                <w:color w:val="000000"/>
                <w:szCs w:val="22"/>
              </w:rPr>
              <w:t xml:space="preserve"> </w:t>
            </w:r>
          </w:p>
          <w:p w14:paraId="6451E430" w14:textId="77777777" w:rsidR="00785355" w:rsidRPr="00CA0021" w:rsidRDefault="00785355" w:rsidP="00785355">
            <w:pPr>
              <w:rPr>
                <w:rFonts w:ascii="Gill Sans" w:hAnsi="Gill Sans" w:cs="Gill Sans"/>
                <w:color w:val="000000"/>
                <w:szCs w:val="22"/>
              </w:rPr>
            </w:pPr>
            <w:r w:rsidRPr="00076E76">
              <w:rPr>
                <w:rFonts w:ascii="Gill Sans" w:hAnsi="Gill Sans" w:cs="Gill Sans"/>
                <w:b/>
                <w:color w:val="000000"/>
                <w:szCs w:val="22"/>
                <w:lang w:val="en-AU"/>
              </w:rPr>
              <w:t xml:space="preserve">Aim: </w:t>
            </w:r>
            <w:r>
              <w:rPr>
                <w:rFonts w:ascii="Gill Sans" w:hAnsi="Gill Sans" w:cs="Gill Sans"/>
                <w:color w:val="000000"/>
                <w:szCs w:val="22"/>
                <w:lang w:val="en-AU"/>
              </w:rPr>
              <w:t xml:space="preserve">To </w:t>
            </w:r>
            <w:r>
              <w:rPr>
                <w:rFonts w:ascii="Gill Sans" w:hAnsi="Gill Sans" w:cs="Gill Sans"/>
                <w:color w:val="000000"/>
                <w:szCs w:val="22"/>
              </w:rPr>
              <w:t>uncover</w:t>
            </w:r>
            <w:r w:rsidRPr="00CA0021">
              <w:rPr>
                <w:rFonts w:ascii="Gill Sans" w:hAnsi="Gill Sans" w:cs="Gill Sans"/>
                <w:color w:val="000000"/>
                <w:szCs w:val="22"/>
              </w:rPr>
              <w:t xml:space="preserve"> how higher education in </w:t>
            </w:r>
            <w:r>
              <w:rPr>
                <w:rFonts w:ascii="Gill Sans" w:hAnsi="Gill Sans" w:cs="Gill Sans"/>
                <w:color w:val="000000"/>
                <w:szCs w:val="22"/>
              </w:rPr>
              <w:t>dual sector/hybrid institutions</w:t>
            </w:r>
            <w:r w:rsidRPr="00CA0021">
              <w:rPr>
                <w:rFonts w:ascii="Gill Sans" w:hAnsi="Gill Sans" w:cs="Gill Sans"/>
                <w:color w:val="000000"/>
                <w:szCs w:val="22"/>
              </w:rPr>
              <w:t xml:space="preserve"> may be shaped, and also in how</w:t>
            </w:r>
            <w:r>
              <w:rPr>
                <w:rFonts w:ascii="Gill Sans" w:hAnsi="Gill Sans" w:cs="Gill Sans"/>
                <w:color w:val="000000"/>
                <w:szCs w:val="22"/>
              </w:rPr>
              <w:t xml:space="preserve"> it will affect higher ed institutions moving forward. </w:t>
            </w:r>
          </w:p>
          <w:p w14:paraId="34AC04AB" w14:textId="051490A9" w:rsidR="00785355" w:rsidRPr="00207572" w:rsidRDefault="00785355" w:rsidP="00785355">
            <w:pPr>
              <w:rPr>
                <w:rFonts w:ascii="Gill Sans" w:hAnsi="Gill Sans" w:cs="Gill Sans"/>
                <w:color w:val="000000"/>
                <w:szCs w:val="22"/>
              </w:rPr>
            </w:pPr>
            <w:r w:rsidRPr="00076E76">
              <w:rPr>
                <w:rFonts w:ascii="Gill Sans" w:hAnsi="Gill Sans" w:cs="Gill Sans"/>
                <w:b/>
                <w:color w:val="000000"/>
                <w:szCs w:val="22"/>
                <w:lang w:val="en-AU"/>
              </w:rPr>
              <w:t>Theoretical frame:</w:t>
            </w:r>
            <w:r>
              <w:rPr>
                <w:rFonts w:ascii="Gill Sans" w:hAnsi="Gill Sans" w:cs="Gill Sans"/>
                <w:b/>
                <w:color w:val="000000"/>
                <w:szCs w:val="22"/>
                <w:lang w:val="en-AU"/>
              </w:rPr>
              <w:t xml:space="preserve"> </w:t>
            </w:r>
            <w:r>
              <w:rPr>
                <w:rFonts w:ascii="Gill Sans" w:hAnsi="Gill Sans" w:cs="Gill Sans"/>
                <w:color w:val="000000"/>
                <w:szCs w:val="22"/>
              </w:rPr>
              <w:t>‘T</w:t>
            </w:r>
            <w:r w:rsidRPr="00207572">
              <w:rPr>
                <w:rFonts w:ascii="Gill Sans" w:hAnsi="Gill Sans" w:cs="Gill Sans"/>
                <w:color w:val="000000"/>
                <w:szCs w:val="22"/>
              </w:rPr>
              <w:t xml:space="preserve">ransition’ </w:t>
            </w:r>
            <w:r>
              <w:rPr>
                <w:rFonts w:ascii="Gill Sans" w:hAnsi="Gill Sans" w:cs="Gill Sans"/>
                <w:color w:val="000000"/>
                <w:szCs w:val="22"/>
              </w:rPr>
              <w:t>works</w:t>
            </w:r>
            <w:r w:rsidRPr="00207572">
              <w:rPr>
                <w:rFonts w:ascii="Gill Sans" w:hAnsi="Gill Sans" w:cs="Gill Sans"/>
                <w:color w:val="000000"/>
                <w:szCs w:val="22"/>
              </w:rPr>
              <w:t xml:space="preserve"> at different levels to shape and construct meanings and identities in higher education.</w:t>
            </w:r>
            <w:r w:rsidR="0063244F">
              <w:rPr>
                <w:rFonts w:ascii="Gill Sans" w:hAnsi="Gill Sans" w:cs="Gill Sans"/>
                <w:color w:val="000000"/>
                <w:szCs w:val="22"/>
              </w:rPr>
              <w:t xml:space="preserve"> Current higher ed system incorporates</w:t>
            </w:r>
            <w:r w:rsidR="0063244F" w:rsidRPr="0063244F">
              <w:rPr>
                <w:rFonts w:ascii="Gill Sans" w:hAnsi="Gill Sans" w:cs="Gill Sans"/>
                <w:color w:val="000000"/>
                <w:szCs w:val="22"/>
              </w:rPr>
              <w:t xml:space="preserve"> </w:t>
            </w:r>
            <w:r w:rsidR="00047034">
              <w:rPr>
                <w:rFonts w:ascii="Gill Sans" w:hAnsi="Gill Sans" w:cs="Gill Sans"/>
                <w:color w:val="000000"/>
                <w:szCs w:val="22"/>
              </w:rPr>
              <w:t>‘</w:t>
            </w:r>
            <w:r w:rsidR="0063244F" w:rsidRPr="0063244F">
              <w:rPr>
                <w:rFonts w:ascii="Gill Sans" w:hAnsi="Gill Sans" w:cs="Gill Sans"/>
                <w:color w:val="000000"/>
                <w:szCs w:val="22"/>
              </w:rPr>
              <w:t xml:space="preserve">elite, mass and universal features all at the same time, with different parts of the system functioning in different </w:t>
            </w:r>
            <w:proofErr w:type="gramStart"/>
            <w:r w:rsidR="0063244F" w:rsidRPr="0063244F">
              <w:rPr>
                <w:rFonts w:ascii="Gill Sans" w:hAnsi="Gill Sans" w:cs="Gill Sans"/>
                <w:color w:val="000000"/>
                <w:szCs w:val="22"/>
              </w:rPr>
              <w:t>ways, and</w:t>
            </w:r>
            <w:proofErr w:type="gramEnd"/>
            <w:r w:rsidR="0063244F" w:rsidRPr="0063244F">
              <w:rPr>
                <w:rFonts w:ascii="Gill Sans" w:hAnsi="Gill Sans" w:cs="Gill Sans"/>
                <w:color w:val="000000"/>
                <w:szCs w:val="22"/>
              </w:rPr>
              <w:t xml:space="preserve"> serving different purposes</w:t>
            </w:r>
            <w:r w:rsidR="00047034">
              <w:rPr>
                <w:rFonts w:ascii="Gill Sans" w:hAnsi="Gill Sans" w:cs="Gill Sans"/>
                <w:color w:val="000000"/>
                <w:szCs w:val="22"/>
              </w:rPr>
              <w:t>’ (121).</w:t>
            </w:r>
            <w:r w:rsidR="001022F0">
              <w:rPr>
                <w:rFonts w:ascii="Gill Sans" w:hAnsi="Gill Sans" w:cs="Gill Sans"/>
                <w:color w:val="000000"/>
                <w:szCs w:val="22"/>
              </w:rPr>
              <w:t xml:space="preserve"> ‘H</w:t>
            </w:r>
            <w:r w:rsidR="001022F0" w:rsidRPr="001022F0">
              <w:rPr>
                <w:rFonts w:ascii="Gill Sans" w:hAnsi="Gill Sans" w:cs="Gill Sans"/>
                <w:color w:val="000000"/>
                <w:szCs w:val="22"/>
              </w:rPr>
              <w:t xml:space="preserve">abitus’ as a way of </w:t>
            </w:r>
            <w:proofErr w:type="spellStart"/>
            <w:r w:rsidR="001022F0" w:rsidRPr="001022F0">
              <w:rPr>
                <w:rFonts w:ascii="Gill Sans" w:hAnsi="Gill Sans" w:cs="Gill Sans"/>
                <w:color w:val="000000"/>
                <w:szCs w:val="22"/>
              </w:rPr>
              <w:t>conceptualising</w:t>
            </w:r>
            <w:proofErr w:type="spellEnd"/>
            <w:r w:rsidR="001022F0" w:rsidRPr="001022F0">
              <w:rPr>
                <w:rFonts w:ascii="Gill Sans" w:hAnsi="Gill Sans" w:cs="Gill Sans"/>
                <w:color w:val="000000"/>
                <w:szCs w:val="22"/>
              </w:rPr>
              <w:t xml:space="preserve"> institutional cultures</w:t>
            </w:r>
            <w:r w:rsidR="001022F0">
              <w:rPr>
                <w:rFonts w:ascii="Gill Sans" w:hAnsi="Gill Sans" w:cs="Gill Sans"/>
                <w:color w:val="000000"/>
                <w:szCs w:val="22"/>
              </w:rPr>
              <w:t xml:space="preserve"> and e</w:t>
            </w:r>
            <w:r w:rsidR="001022F0" w:rsidRPr="001022F0">
              <w:rPr>
                <w:rFonts w:ascii="Gill Sans" w:hAnsi="Gill Sans" w:cs="Gill Sans"/>
                <w:color w:val="000000"/>
                <w:szCs w:val="22"/>
              </w:rPr>
              <w:t xml:space="preserve">mbodies structures in the wider </w:t>
            </w:r>
            <w:proofErr w:type="gramStart"/>
            <w:r w:rsidR="001022F0" w:rsidRPr="001022F0">
              <w:rPr>
                <w:rFonts w:ascii="Gill Sans" w:hAnsi="Gill Sans" w:cs="Gill Sans"/>
                <w:color w:val="000000"/>
                <w:szCs w:val="22"/>
              </w:rPr>
              <w:t>field, but</w:t>
            </w:r>
            <w:proofErr w:type="gramEnd"/>
            <w:r w:rsidR="001022F0" w:rsidRPr="001022F0">
              <w:rPr>
                <w:rFonts w:ascii="Gill Sans" w:hAnsi="Gill Sans" w:cs="Gill Sans"/>
                <w:color w:val="000000"/>
                <w:szCs w:val="22"/>
              </w:rPr>
              <w:t xml:space="preserve"> </w:t>
            </w:r>
            <w:r w:rsidR="001022F0">
              <w:rPr>
                <w:rFonts w:ascii="Gill Sans" w:hAnsi="Gill Sans" w:cs="Gill Sans"/>
                <w:color w:val="000000"/>
                <w:szCs w:val="22"/>
              </w:rPr>
              <w:t>is ‘</w:t>
            </w:r>
            <w:r w:rsidR="001022F0" w:rsidRPr="001022F0">
              <w:rPr>
                <w:rFonts w:ascii="Gill Sans" w:hAnsi="Gill Sans" w:cs="Gill Sans"/>
                <w:color w:val="000000"/>
                <w:szCs w:val="22"/>
              </w:rPr>
              <w:t>also a process of mutual shaping and reshaping – an interplay of structure and agency, though always within the context of the power of the field</w:t>
            </w:r>
            <w:r w:rsidR="001022F0">
              <w:rPr>
                <w:rFonts w:ascii="Gill Sans" w:hAnsi="Gill Sans" w:cs="Gill Sans"/>
                <w:color w:val="000000"/>
                <w:szCs w:val="22"/>
              </w:rPr>
              <w:t>’ (121)</w:t>
            </w:r>
            <w:r w:rsidR="001022F0" w:rsidRPr="001022F0">
              <w:rPr>
                <w:rFonts w:ascii="Gill Sans" w:hAnsi="Gill Sans" w:cs="Gill Sans"/>
                <w:color w:val="000000"/>
                <w:szCs w:val="22"/>
              </w:rPr>
              <w:t>.</w:t>
            </w:r>
            <w:r w:rsidR="00A563A4">
              <w:rPr>
                <w:rFonts w:ascii="Gill Sans" w:hAnsi="Gill Sans" w:cs="Gill Sans"/>
                <w:color w:val="000000"/>
                <w:szCs w:val="22"/>
              </w:rPr>
              <w:t xml:space="preserve"> </w:t>
            </w:r>
            <w:r w:rsidR="00A563A4" w:rsidRPr="00A563A4">
              <w:rPr>
                <w:rFonts w:ascii="Gill Sans" w:hAnsi="Gill Sans" w:cs="Gill Sans"/>
                <w:color w:val="000000"/>
                <w:szCs w:val="22"/>
              </w:rPr>
              <w:t xml:space="preserve">Bourdieu and </w:t>
            </w:r>
            <w:proofErr w:type="spellStart"/>
            <w:r w:rsidR="00A563A4" w:rsidRPr="00A563A4">
              <w:rPr>
                <w:rFonts w:ascii="Gill Sans" w:hAnsi="Gill Sans" w:cs="Gill Sans"/>
                <w:color w:val="000000"/>
                <w:szCs w:val="22"/>
              </w:rPr>
              <w:t>Passeron</w:t>
            </w:r>
            <w:r w:rsidR="00A563A4">
              <w:rPr>
                <w:rFonts w:ascii="Gill Sans" w:hAnsi="Gill Sans" w:cs="Gill Sans"/>
                <w:color w:val="000000"/>
                <w:szCs w:val="22"/>
              </w:rPr>
              <w:t>’s</w:t>
            </w:r>
            <w:proofErr w:type="spellEnd"/>
            <w:r w:rsidR="00A563A4">
              <w:rPr>
                <w:rFonts w:ascii="Gill Sans" w:hAnsi="Gill Sans" w:cs="Gill Sans"/>
                <w:color w:val="000000"/>
                <w:szCs w:val="22"/>
              </w:rPr>
              <w:t xml:space="preserve"> theory that higher education </w:t>
            </w:r>
            <w:r w:rsidR="00A563A4" w:rsidRPr="00A563A4">
              <w:rPr>
                <w:rFonts w:ascii="Gill Sans" w:hAnsi="Gill Sans" w:cs="Gill Sans"/>
                <w:color w:val="000000"/>
                <w:szCs w:val="22"/>
              </w:rPr>
              <w:t>system contributes to reproducing and legitimating the social structure</w:t>
            </w:r>
            <w:r w:rsidR="00A563A4">
              <w:rPr>
                <w:rFonts w:ascii="Gill Sans" w:hAnsi="Gill Sans" w:cs="Gill Sans"/>
                <w:color w:val="000000"/>
                <w:szCs w:val="22"/>
              </w:rPr>
              <w:t xml:space="preserve"> and ‘</w:t>
            </w:r>
            <w:r w:rsidR="00A563A4" w:rsidRPr="00A563A4">
              <w:rPr>
                <w:rFonts w:ascii="Gill Sans" w:hAnsi="Gill Sans" w:cs="Gill Sans"/>
                <w:color w:val="000000"/>
                <w:szCs w:val="22"/>
              </w:rPr>
              <w:t>selects students according to a social classificati</w:t>
            </w:r>
            <w:r w:rsidR="00A563A4">
              <w:rPr>
                <w:rFonts w:ascii="Gill Sans" w:hAnsi="Gill Sans" w:cs="Gill Sans"/>
                <w:color w:val="000000"/>
                <w:szCs w:val="22"/>
              </w:rPr>
              <w:t>on which is implicit and repro</w:t>
            </w:r>
            <w:r w:rsidR="00A563A4" w:rsidRPr="00A563A4">
              <w:rPr>
                <w:rFonts w:ascii="Gill Sans" w:hAnsi="Gill Sans" w:cs="Gill Sans"/>
                <w:color w:val="000000"/>
                <w:szCs w:val="22"/>
              </w:rPr>
              <w:t>duces them according to an academic classification</w:t>
            </w:r>
            <w:r w:rsidR="00A563A4">
              <w:rPr>
                <w:rFonts w:ascii="Gill Sans" w:hAnsi="Gill Sans" w:cs="Gill Sans"/>
                <w:color w:val="000000"/>
                <w:szCs w:val="22"/>
              </w:rPr>
              <w:t xml:space="preserve">’ (121). </w:t>
            </w:r>
            <w:r w:rsidR="00A563A4" w:rsidRPr="00A563A4">
              <w:rPr>
                <w:rFonts w:ascii="Gill Sans" w:hAnsi="Gill Sans" w:cs="Gill Sans"/>
                <w:color w:val="000000"/>
                <w:szCs w:val="22"/>
              </w:rPr>
              <w:t xml:space="preserve"> </w:t>
            </w:r>
          </w:p>
          <w:p w14:paraId="546A7096" w14:textId="60B4F583" w:rsidR="000710B5" w:rsidRPr="00274631" w:rsidRDefault="009572D0" w:rsidP="0029526A">
            <w:pPr>
              <w:rPr>
                <w:rFonts w:ascii="Gill Sans" w:hAnsi="Gill Sans" w:cs="Gill Sans"/>
                <w:color w:val="000000"/>
                <w:szCs w:val="22"/>
              </w:rPr>
            </w:pPr>
            <w:r w:rsidRPr="00076E76">
              <w:rPr>
                <w:rFonts w:ascii="Gill Sans" w:hAnsi="Gill Sans" w:cs="Gill Sans"/>
                <w:b/>
                <w:color w:val="000000"/>
                <w:szCs w:val="22"/>
                <w:lang w:val="en-AU"/>
              </w:rPr>
              <w:t xml:space="preserve">Findings: </w:t>
            </w:r>
            <w:r w:rsidR="0029526A" w:rsidRPr="0029526A">
              <w:rPr>
                <w:rFonts w:ascii="Gill Sans" w:hAnsi="Gill Sans" w:cs="Gill Sans"/>
                <w:color w:val="000000"/>
                <w:szCs w:val="22"/>
              </w:rPr>
              <w:t xml:space="preserve">The division of FE and HE at East Heath College </w:t>
            </w:r>
            <w:r w:rsidR="0029526A">
              <w:rPr>
                <w:rFonts w:ascii="Gill Sans" w:hAnsi="Gill Sans" w:cs="Gill Sans"/>
                <w:color w:val="000000"/>
                <w:szCs w:val="22"/>
              </w:rPr>
              <w:t xml:space="preserve">has </w:t>
            </w:r>
            <w:r w:rsidR="0029526A" w:rsidRPr="0029526A">
              <w:rPr>
                <w:rFonts w:ascii="Gill Sans" w:hAnsi="Gill Sans" w:cs="Gill Sans"/>
                <w:color w:val="000000"/>
                <w:szCs w:val="22"/>
              </w:rPr>
              <w:t xml:space="preserve">had a negative effect on transitions within the institution. </w:t>
            </w:r>
            <w:r w:rsidR="0029526A">
              <w:rPr>
                <w:rFonts w:ascii="Gill Sans" w:hAnsi="Gill Sans" w:cs="Gill Sans"/>
                <w:color w:val="000000"/>
                <w:szCs w:val="22"/>
              </w:rPr>
              <w:t>‘</w:t>
            </w:r>
            <w:r w:rsidR="0029526A" w:rsidRPr="0029526A">
              <w:rPr>
                <w:rFonts w:ascii="Gill Sans" w:hAnsi="Gill Sans" w:cs="Gill Sans"/>
                <w:color w:val="000000"/>
                <w:szCs w:val="22"/>
              </w:rPr>
              <w:t>Communication between FE and HE tutors within the same subject area is limited: there is no formal facility such as a subject area group for sharing information</w:t>
            </w:r>
            <w:r w:rsidR="0029526A">
              <w:rPr>
                <w:rFonts w:ascii="Gill Sans" w:hAnsi="Gill Sans" w:cs="Gill Sans"/>
                <w:color w:val="000000"/>
                <w:szCs w:val="22"/>
              </w:rPr>
              <w:t>’ (125)</w:t>
            </w:r>
            <w:r w:rsidR="0029526A" w:rsidRPr="0029526A">
              <w:rPr>
                <w:rFonts w:ascii="Gill Sans" w:hAnsi="Gill Sans" w:cs="Gill Sans"/>
                <w:color w:val="000000"/>
                <w:szCs w:val="22"/>
              </w:rPr>
              <w:t>.</w:t>
            </w:r>
            <w:r w:rsidR="00274631">
              <w:rPr>
                <w:rFonts w:ascii="Gill Sans" w:hAnsi="Gill Sans" w:cs="Gill Sans"/>
                <w:color w:val="000000"/>
                <w:szCs w:val="22"/>
              </w:rPr>
              <w:t xml:space="preserve"> ‘</w:t>
            </w:r>
            <w:r w:rsidR="00274631" w:rsidRPr="00274631">
              <w:rPr>
                <w:rFonts w:ascii="Gill Sans" w:hAnsi="Gill Sans" w:cs="Gill Sans"/>
                <w:color w:val="000000"/>
                <w:szCs w:val="22"/>
              </w:rPr>
              <w:t xml:space="preserve">East Heath College may be characterised as displaying two different cultures or </w:t>
            </w:r>
            <w:proofErr w:type="spellStart"/>
            <w:r w:rsidR="00274631" w:rsidRPr="00274631">
              <w:rPr>
                <w:rFonts w:ascii="Gill Sans" w:hAnsi="Gill Sans" w:cs="Gill Sans"/>
                <w:color w:val="000000"/>
                <w:szCs w:val="22"/>
              </w:rPr>
              <w:t>habituses</w:t>
            </w:r>
            <w:proofErr w:type="spellEnd"/>
            <w:r w:rsidR="00274631" w:rsidRPr="00274631">
              <w:rPr>
                <w:rFonts w:ascii="Gill Sans" w:hAnsi="Gill Sans" w:cs="Gill Sans"/>
                <w:color w:val="000000"/>
                <w:szCs w:val="22"/>
              </w:rPr>
              <w:t>: one of FE study, and one of HE study</w:t>
            </w:r>
            <w:r w:rsidR="00274631">
              <w:rPr>
                <w:rFonts w:ascii="Gill Sans" w:hAnsi="Gill Sans" w:cs="Gill Sans"/>
                <w:color w:val="000000"/>
                <w:szCs w:val="22"/>
              </w:rPr>
              <w:t>’</w:t>
            </w:r>
            <w:r w:rsidR="002B4A11">
              <w:rPr>
                <w:rFonts w:ascii="Gill Sans" w:hAnsi="Gill Sans" w:cs="Gill Sans"/>
                <w:color w:val="000000"/>
                <w:szCs w:val="22"/>
              </w:rPr>
              <w:t xml:space="preserve"> (126 which has ultimately resulted in students rarely progressing from FE to HE</w:t>
            </w:r>
            <w:r w:rsidR="00274631" w:rsidRPr="00274631">
              <w:rPr>
                <w:rFonts w:ascii="Gill Sans" w:hAnsi="Gill Sans" w:cs="Gill Sans"/>
                <w:color w:val="000000"/>
                <w:szCs w:val="22"/>
              </w:rPr>
              <w:t>.</w:t>
            </w:r>
            <w:r w:rsidRPr="0029526A">
              <w:rPr>
                <w:rFonts w:ascii="Gill Sans" w:hAnsi="Gill Sans" w:cs="Gill Sans"/>
                <w:color w:val="000000"/>
                <w:szCs w:val="22"/>
                <w:lang w:val="en-AU"/>
              </w:rPr>
              <w:br/>
            </w:r>
            <w:r w:rsidRPr="00076E76">
              <w:rPr>
                <w:rFonts w:ascii="Gill Sans" w:hAnsi="Gill Sans" w:cs="Gill Sans"/>
                <w:b/>
                <w:color w:val="000000"/>
                <w:szCs w:val="22"/>
                <w:lang w:val="en-AU"/>
              </w:rPr>
              <w:t>Core argument:</w:t>
            </w:r>
            <w:r w:rsidR="00A5294C">
              <w:rPr>
                <w:rFonts w:ascii="Gill Sans" w:hAnsi="Gill Sans" w:cs="Gill Sans"/>
                <w:b/>
                <w:color w:val="000000"/>
                <w:szCs w:val="22"/>
                <w:lang w:val="en-AU"/>
              </w:rPr>
              <w:t xml:space="preserve"> </w:t>
            </w:r>
            <w:r w:rsidR="00A5294C" w:rsidRPr="00A5294C">
              <w:rPr>
                <w:rFonts w:ascii="Gill Sans" w:hAnsi="Gill Sans" w:cs="Gill Sans"/>
                <w:color w:val="000000"/>
                <w:szCs w:val="22"/>
              </w:rPr>
              <w:t>H</w:t>
            </w:r>
            <w:r w:rsidR="00A5294C">
              <w:rPr>
                <w:rFonts w:ascii="Gill Sans" w:hAnsi="Gill Sans" w:cs="Gill Sans"/>
                <w:color w:val="000000"/>
                <w:szCs w:val="22"/>
              </w:rPr>
              <w:t>igher ed</w:t>
            </w:r>
            <w:r w:rsidR="00A5294C" w:rsidRPr="00A5294C">
              <w:rPr>
                <w:rFonts w:ascii="Gill Sans" w:hAnsi="Gill Sans" w:cs="Gill Sans"/>
                <w:color w:val="000000"/>
                <w:szCs w:val="22"/>
              </w:rPr>
              <w:t xml:space="preserve"> institutions are not just </w:t>
            </w:r>
            <w:r w:rsidR="00A5294C" w:rsidRPr="00A5294C">
              <w:rPr>
                <w:rFonts w:ascii="Gill Sans" w:hAnsi="Gill Sans" w:cs="Gill Sans"/>
                <w:i/>
                <w:iCs/>
                <w:color w:val="000000"/>
                <w:szCs w:val="22"/>
              </w:rPr>
              <w:t xml:space="preserve">placed </w:t>
            </w:r>
            <w:r w:rsidR="00A5294C" w:rsidRPr="00A5294C">
              <w:rPr>
                <w:rFonts w:ascii="Gill Sans" w:hAnsi="Gill Sans" w:cs="Gill Sans"/>
                <w:color w:val="000000"/>
                <w:szCs w:val="22"/>
              </w:rPr>
              <w:t>within the field of HE, but have to</w:t>
            </w:r>
            <w:r w:rsidR="00A5294C">
              <w:rPr>
                <w:rFonts w:ascii="Gill Sans" w:hAnsi="Gill Sans" w:cs="Gill Sans"/>
                <w:color w:val="000000"/>
                <w:szCs w:val="22"/>
              </w:rPr>
              <w:t xml:space="preserve"> diligently and intentionally</w:t>
            </w:r>
            <w:r w:rsidR="00A5294C" w:rsidRPr="00A5294C">
              <w:rPr>
                <w:rFonts w:ascii="Gill Sans" w:hAnsi="Gill Sans" w:cs="Gill Sans"/>
                <w:color w:val="000000"/>
                <w:szCs w:val="22"/>
              </w:rPr>
              <w:t xml:space="preserve"> work </w:t>
            </w:r>
            <w:r w:rsidR="00A5294C">
              <w:rPr>
                <w:rFonts w:ascii="Gill Sans" w:hAnsi="Gill Sans" w:cs="Gill Sans"/>
                <w:color w:val="000000"/>
                <w:szCs w:val="22"/>
              </w:rPr>
              <w:t>to construct</w:t>
            </w:r>
            <w:r w:rsidR="00A5294C" w:rsidRPr="00A5294C">
              <w:rPr>
                <w:rFonts w:ascii="Gill Sans" w:hAnsi="Gill Sans" w:cs="Gill Sans"/>
                <w:color w:val="000000"/>
                <w:szCs w:val="22"/>
              </w:rPr>
              <w:t xml:space="preserve"> a place for themselves within the field, </w:t>
            </w:r>
            <w:r w:rsidR="00A5294C">
              <w:rPr>
                <w:rFonts w:ascii="Gill Sans" w:hAnsi="Gill Sans" w:cs="Gill Sans"/>
                <w:color w:val="000000"/>
                <w:szCs w:val="22"/>
              </w:rPr>
              <w:t xml:space="preserve">which more and more resembles a </w:t>
            </w:r>
            <w:r w:rsidR="00A5294C" w:rsidRPr="00A5294C">
              <w:rPr>
                <w:rFonts w:ascii="Gill Sans" w:hAnsi="Gill Sans" w:cs="Gill Sans"/>
                <w:color w:val="000000"/>
                <w:szCs w:val="22"/>
              </w:rPr>
              <w:t>market</w:t>
            </w:r>
            <w:r w:rsidR="00A5294C">
              <w:rPr>
                <w:rFonts w:ascii="Gill Sans" w:hAnsi="Gill Sans" w:cs="Gill Sans"/>
                <w:color w:val="000000"/>
                <w:szCs w:val="22"/>
              </w:rPr>
              <w:t>.</w:t>
            </w:r>
            <w:r w:rsidR="00DF751C">
              <w:rPr>
                <w:rFonts w:ascii="Gill Sans" w:hAnsi="Gill Sans" w:cs="Gill Sans"/>
                <w:color w:val="000000"/>
                <w:szCs w:val="22"/>
              </w:rPr>
              <w:t xml:space="preserve"> Senior managers of these institutions </w:t>
            </w:r>
            <w:r w:rsidR="00FD0C7D">
              <w:rPr>
                <w:rFonts w:ascii="Gill Sans" w:hAnsi="Gill Sans" w:cs="Gill Sans"/>
                <w:color w:val="000000"/>
                <w:szCs w:val="22"/>
              </w:rPr>
              <w:t xml:space="preserve">fail to align strategic positioning and operation with student expectation. </w:t>
            </w:r>
            <w:r w:rsidR="002F0999">
              <w:rPr>
                <w:rFonts w:ascii="Gill Sans" w:hAnsi="Gill Sans" w:cs="Gill Sans"/>
                <w:color w:val="000000"/>
                <w:szCs w:val="22"/>
              </w:rPr>
              <w:t xml:space="preserve">Currently, transition creates further nuance for stratification and inequalities that are already in the system. </w:t>
            </w:r>
          </w:p>
        </w:tc>
      </w:tr>
      <w:tr w:rsidR="00FC3249" w:rsidRPr="00076E76" w14:paraId="4494ADF3" w14:textId="77777777" w:rsidTr="002E557C">
        <w:tc>
          <w:tcPr>
            <w:tcW w:w="5529" w:type="dxa"/>
          </w:tcPr>
          <w:p w14:paraId="4791F498" w14:textId="29C7C94B" w:rsidR="00FC3249" w:rsidRPr="00076E76" w:rsidRDefault="00FC3249" w:rsidP="00FC3249">
            <w:pPr>
              <w:rPr>
                <w:rFonts w:ascii="Gill Sans" w:hAnsi="Gill Sans" w:cs="Gill Sans"/>
                <w:szCs w:val="22"/>
              </w:rPr>
            </w:pPr>
            <w:proofErr w:type="spellStart"/>
            <w:r w:rsidRPr="00076E76">
              <w:rPr>
                <w:rFonts w:ascii="Gill Sans" w:hAnsi="Gill Sans" w:cs="Gill Sans"/>
                <w:szCs w:val="22"/>
              </w:rPr>
              <w:t>Bathmaker</w:t>
            </w:r>
            <w:proofErr w:type="spellEnd"/>
            <w:r w:rsidRPr="00076E76">
              <w:rPr>
                <w:rFonts w:ascii="Gill Sans" w:hAnsi="Gill Sans" w:cs="Gill Sans"/>
                <w:szCs w:val="22"/>
              </w:rPr>
              <w:t xml:space="preserve">, A.; Brooks, G.; Parry, G. &amp; Smith, D. (2008). </w:t>
            </w:r>
            <w:hyperlink r:id="rId23" w:history="1">
              <w:r w:rsidRPr="00796FDC">
                <w:rPr>
                  <w:rStyle w:val="Hyperlink"/>
                  <w:rFonts w:ascii="Gill Sans" w:hAnsi="Gill Sans" w:cs="Gill Sans"/>
                  <w:szCs w:val="22"/>
                </w:rPr>
                <w:t>Dual-sector further and higher education: policies, organisations and students in transition</w:t>
              </w:r>
            </w:hyperlink>
            <w:r w:rsidRPr="00076E76">
              <w:rPr>
                <w:rFonts w:ascii="Gill Sans" w:hAnsi="Gill Sans" w:cs="Gill Sans"/>
                <w:szCs w:val="22"/>
              </w:rPr>
              <w:t xml:space="preserve">, </w:t>
            </w:r>
            <w:r w:rsidRPr="00076E76">
              <w:rPr>
                <w:rFonts w:ascii="Gill Sans" w:hAnsi="Gill Sans" w:cs="Gill Sans"/>
                <w:i/>
                <w:szCs w:val="22"/>
              </w:rPr>
              <w:t xml:space="preserve">Research Papers in </w:t>
            </w:r>
            <w:r w:rsidRPr="00076E76">
              <w:rPr>
                <w:rFonts w:ascii="Gill Sans" w:hAnsi="Gill Sans" w:cs="Gill Sans"/>
                <w:i/>
                <w:szCs w:val="22"/>
              </w:rPr>
              <w:lastRenderedPageBreak/>
              <w:t xml:space="preserve">Education, </w:t>
            </w:r>
            <w:r w:rsidR="00796FDC">
              <w:rPr>
                <w:rFonts w:ascii="Gill Sans" w:hAnsi="Gill Sans" w:cs="Gill Sans"/>
                <w:szCs w:val="22"/>
              </w:rPr>
              <w:t>23(2), 125–</w:t>
            </w:r>
            <w:r w:rsidRPr="00076E76">
              <w:rPr>
                <w:rFonts w:ascii="Gill Sans" w:hAnsi="Gill Sans" w:cs="Gill Sans"/>
                <w:szCs w:val="22"/>
              </w:rPr>
              <w:t>137.</w:t>
            </w:r>
          </w:p>
          <w:p w14:paraId="456146B5" w14:textId="77777777" w:rsidR="00FC3249" w:rsidRPr="00076E76" w:rsidRDefault="00FC3249" w:rsidP="00FC3249">
            <w:pPr>
              <w:rPr>
                <w:rFonts w:ascii="Gill Sans" w:hAnsi="Gill Sans" w:cs="Gill Sans"/>
                <w:szCs w:val="22"/>
              </w:rPr>
            </w:pPr>
          </w:p>
          <w:p w14:paraId="3FE25F47" w14:textId="77777777" w:rsidR="00FC3249" w:rsidRPr="00076E76" w:rsidRDefault="00FC3249" w:rsidP="00FC3249">
            <w:pPr>
              <w:rPr>
                <w:rFonts w:ascii="Gill Sans" w:hAnsi="Gill Sans" w:cs="Gill Sans"/>
                <w:szCs w:val="22"/>
              </w:rPr>
            </w:pPr>
            <w:r w:rsidRPr="00076E76">
              <w:rPr>
                <w:rFonts w:ascii="Gill Sans" w:hAnsi="Gill Sans" w:cs="Gill Sans"/>
                <w:szCs w:val="22"/>
              </w:rPr>
              <w:t>UK</w:t>
            </w:r>
          </w:p>
          <w:p w14:paraId="7281333E" w14:textId="77777777" w:rsidR="000F60CF" w:rsidRPr="00076E76" w:rsidRDefault="000F60CF" w:rsidP="000F60CF">
            <w:pPr>
              <w:rPr>
                <w:rFonts w:ascii="Gill Sans" w:hAnsi="Gill Sans" w:cs="Gill Sans"/>
                <w:szCs w:val="22"/>
              </w:rPr>
            </w:pPr>
            <w:r w:rsidRPr="00076E76">
              <w:rPr>
                <w:rFonts w:ascii="Gill Sans" w:hAnsi="Gill Sans" w:cs="Gill Sans"/>
                <w:szCs w:val="22"/>
              </w:rPr>
              <w:t>Annotation by Sally Baker</w:t>
            </w:r>
          </w:p>
          <w:p w14:paraId="59858662" w14:textId="77777777" w:rsidR="000F60CF" w:rsidRPr="00076E76" w:rsidRDefault="000F60CF" w:rsidP="00FC3249">
            <w:pPr>
              <w:rPr>
                <w:rFonts w:ascii="Gill Sans" w:hAnsi="Gill Sans" w:cs="Gill Sans"/>
                <w:szCs w:val="22"/>
              </w:rPr>
            </w:pPr>
          </w:p>
          <w:p w14:paraId="6A6DF23E" w14:textId="77777777" w:rsidR="00FC3249" w:rsidRPr="00076E76" w:rsidRDefault="00FC3249" w:rsidP="00FC3249">
            <w:pPr>
              <w:rPr>
                <w:rFonts w:ascii="Gill Sans" w:hAnsi="Gill Sans" w:cs="Gill Sans"/>
                <w:szCs w:val="22"/>
              </w:rPr>
            </w:pPr>
          </w:p>
          <w:p w14:paraId="6E832841" w14:textId="16F3315B" w:rsidR="00FC3249" w:rsidRPr="00076E76" w:rsidRDefault="00FC3249" w:rsidP="00FA514E">
            <w:pPr>
              <w:rPr>
                <w:rFonts w:ascii="Gill Sans" w:hAnsi="Gill Sans" w:cs="Gill Sans"/>
                <w:szCs w:val="22"/>
              </w:rPr>
            </w:pPr>
            <w:r w:rsidRPr="00076E76">
              <w:rPr>
                <w:rFonts w:ascii="Gill Sans" w:hAnsi="Gill Sans" w:cs="Gill Sans"/>
                <w:szCs w:val="22"/>
              </w:rPr>
              <w:t xml:space="preserve">Keywords: </w:t>
            </w:r>
            <w:r w:rsidRPr="00076E76">
              <w:rPr>
                <w:rFonts w:ascii="Gill Sans" w:hAnsi="Gill Sans" w:cs="Gill Sans"/>
                <w:i/>
                <w:szCs w:val="22"/>
              </w:rPr>
              <w:t>further education; higher education; participation; policy; organisation; sector; transition</w:t>
            </w:r>
          </w:p>
        </w:tc>
        <w:tc>
          <w:tcPr>
            <w:tcW w:w="10064" w:type="dxa"/>
          </w:tcPr>
          <w:p w14:paraId="0AB93B11" w14:textId="77777777" w:rsidR="00FC3249" w:rsidRPr="00076E76" w:rsidRDefault="00FC3249" w:rsidP="00FC3249">
            <w:pPr>
              <w:rPr>
                <w:rFonts w:ascii="Gill Sans" w:hAnsi="Gill Sans" w:cs="Gill Sans"/>
                <w:color w:val="000000"/>
                <w:szCs w:val="22"/>
                <w:lang w:val="en-AU"/>
              </w:rPr>
            </w:pPr>
            <w:r w:rsidRPr="00076E76">
              <w:rPr>
                <w:rFonts w:ascii="Gill Sans" w:hAnsi="Gill Sans" w:cs="Gill Sans"/>
                <w:b/>
                <w:color w:val="000000"/>
                <w:szCs w:val="22"/>
                <w:lang w:val="en-AU"/>
              </w:rPr>
              <w:lastRenderedPageBreak/>
              <w:t xml:space="preserve">Context: </w:t>
            </w:r>
            <w:r w:rsidRPr="00076E76">
              <w:rPr>
                <w:rFonts w:ascii="Gill Sans" w:hAnsi="Gill Sans" w:cs="Gill Sans"/>
                <w:color w:val="000000"/>
                <w:szCs w:val="22"/>
                <w:lang w:val="en-AU"/>
              </w:rPr>
              <w:t xml:space="preserve">Reports on ESRC/ TLRP- funded project (‘The </w:t>
            </w:r>
            <w:proofErr w:type="spellStart"/>
            <w:r w:rsidRPr="00076E76">
              <w:rPr>
                <w:rFonts w:ascii="Gill Sans" w:hAnsi="Gill Sans" w:cs="Gill Sans"/>
                <w:color w:val="000000"/>
                <w:szCs w:val="22"/>
                <w:lang w:val="en-AU"/>
              </w:rPr>
              <w:t>FurtherHigher</w:t>
            </w:r>
            <w:proofErr w:type="spellEnd"/>
            <w:r w:rsidRPr="00076E76">
              <w:rPr>
                <w:rFonts w:ascii="Gill Sans" w:hAnsi="Gill Sans" w:cs="Gill Sans"/>
                <w:color w:val="000000"/>
                <w:szCs w:val="22"/>
                <w:lang w:val="en-AU"/>
              </w:rPr>
              <w:t xml:space="preserve"> Project’) which examines dual-sector (FE and HE) institutions in the UK. Argues = relatively under-explored context/ space. Makes connection between wider discourses about unified system - discourses and policy – “</w:t>
            </w:r>
            <w:r w:rsidRPr="00076E76">
              <w:rPr>
                <w:rFonts w:ascii="Gill Sans" w:hAnsi="Gill Sans" w:cs="Gill Sans"/>
                <w:color w:val="000000"/>
                <w:szCs w:val="22"/>
              </w:rPr>
              <w:t xml:space="preserve">connect with larger </w:t>
            </w:r>
            <w:r w:rsidRPr="00076E76">
              <w:rPr>
                <w:rFonts w:ascii="Gill Sans" w:hAnsi="Gill Sans" w:cs="Gill Sans"/>
                <w:color w:val="000000"/>
                <w:szCs w:val="22"/>
              </w:rPr>
              <w:lastRenderedPageBreak/>
              <w:t xml:space="preserve">debates about how governments structure their tertiary arrangements to achieve a shift from mass to near-universal levels of participation, and how to reconcile pressures for diversification and greater differentiation with demands for access and equity” (p.126). Who takes responsibility (“the bulk of expansion”) = directed by policy and funding </w:t>
            </w:r>
            <w:proofErr w:type="gramStart"/>
            <w:r w:rsidRPr="00076E76">
              <w:rPr>
                <w:rFonts w:ascii="Gill Sans" w:hAnsi="Gill Sans" w:cs="Gill Sans"/>
                <w:color w:val="000000"/>
                <w:szCs w:val="22"/>
              </w:rPr>
              <w:t>decisions.</w:t>
            </w:r>
            <w:proofErr w:type="gramEnd"/>
            <w:r w:rsidRPr="00076E76">
              <w:rPr>
                <w:rFonts w:ascii="Gill Sans" w:hAnsi="Gill Sans" w:cs="Gill Sans"/>
                <w:color w:val="000000"/>
                <w:szCs w:val="22"/>
              </w:rPr>
              <w:t xml:space="preserve"> Creates “more complex and changing forms of differentiation” (p.126). Scopes evolution of ‘policy contours’ that collapsed binary higher education (HE, polytechnics) into binary (HE and FE) system, although qualifications = remain stratified. FE = supposed to help bear some of the load of the New </w:t>
            </w:r>
            <w:proofErr w:type="spellStart"/>
            <w:r w:rsidRPr="00076E76">
              <w:rPr>
                <w:rFonts w:ascii="Gill Sans" w:hAnsi="Gill Sans" w:cs="Gill Sans"/>
                <w:color w:val="000000"/>
                <w:szCs w:val="22"/>
              </w:rPr>
              <w:t>Labour</w:t>
            </w:r>
            <w:proofErr w:type="spellEnd"/>
            <w:r w:rsidRPr="00076E76">
              <w:rPr>
                <w:rFonts w:ascii="Gill Sans" w:hAnsi="Gill Sans" w:cs="Gill Sans"/>
                <w:color w:val="000000"/>
                <w:szCs w:val="22"/>
              </w:rPr>
              <w:t xml:space="preserve"> WP targets (50% of population) but “no consistent or coherent policy for dual-sector further and higher education has emerged in the post-Dearing period” (p.128)</w:t>
            </w:r>
          </w:p>
          <w:p w14:paraId="7F1BA7D4" w14:textId="77777777" w:rsidR="00FC3249" w:rsidRPr="00076E76" w:rsidRDefault="00FC3249" w:rsidP="00FC3249">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sidRPr="00076E76">
              <w:rPr>
                <w:rFonts w:ascii="Gill Sans" w:hAnsi="Gill Sans" w:cs="Gill Sans"/>
                <w:color w:val="000000"/>
                <w:szCs w:val="22"/>
                <w:lang w:val="en-AU"/>
              </w:rPr>
              <w:t>To unpack questions related to dual-sector institutions, probing why some institutions have chosen to bring further and higher education inside the organisations and to consciously develop different identities to rest of organisational field: why, how does this impact on WP, is the goal = WP or something else? (p.130)</w:t>
            </w:r>
          </w:p>
          <w:p w14:paraId="63027A1B" w14:textId="77777777" w:rsidR="00FC3249" w:rsidRPr="00076E76" w:rsidRDefault="00FC3249" w:rsidP="00FC3249">
            <w:pPr>
              <w:rPr>
                <w:rFonts w:ascii="Gill Sans" w:hAnsi="Gill Sans" w:cs="Gill Sans"/>
                <w:color w:val="000000"/>
                <w:szCs w:val="22"/>
                <w:lang w:val="en-AU"/>
              </w:rPr>
            </w:pPr>
            <w:r w:rsidRPr="00076E76">
              <w:rPr>
                <w:rFonts w:ascii="Gill Sans" w:hAnsi="Gill Sans" w:cs="Gill Sans"/>
                <w:b/>
                <w:color w:val="000000"/>
                <w:szCs w:val="22"/>
                <w:lang w:val="en-AU"/>
              </w:rPr>
              <w:t xml:space="preserve">Theoretical frame: </w:t>
            </w:r>
            <w:r w:rsidRPr="00076E76">
              <w:rPr>
                <w:rFonts w:ascii="Gill Sans" w:hAnsi="Gill Sans" w:cs="Gill Sans"/>
                <w:color w:val="000000"/>
                <w:szCs w:val="22"/>
                <w:lang w:val="en-AU"/>
              </w:rPr>
              <w:t>Scopes a theorised definition of boundary: distinction made between physical, social and cognitive (see p.134). Discusses ‘boundary-marking’ and ‘boundary-crossing’ in context of transition</w:t>
            </w:r>
          </w:p>
          <w:p w14:paraId="71135504" w14:textId="77777777" w:rsidR="00FC3249" w:rsidRPr="00076E76" w:rsidRDefault="00FC3249" w:rsidP="00FC3249">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Interviewed former senior government officials (n=20 from 8 different institutions/ case studies of 4 models of education = Model A = dual sector; Model B = specialist college transferring to FE into HE; Model C= FE college with small offering of HE; Model D = FE college offering lot of HE… definitions offered p.131-2). Interviews with students (n=82) from 4 models (A-D</w:t>
            </w:r>
            <w:proofErr w:type="gramStart"/>
            <w:r w:rsidRPr="00076E76">
              <w:rPr>
                <w:rFonts w:ascii="Gill Sans" w:hAnsi="Gill Sans" w:cs="Gill Sans"/>
                <w:color w:val="000000"/>
                <w:szCs w:val="22"/>
                <w:lang w:val="en-AU"/>
              </w:rPr>
              <w:t>)  at</w:t>
            </w:r>
            <w:proofErr w:type="gramEnd"/>
            <w:r w:rsidRPr="00076E76">
              <w:rPr>
                <w:rFonts w:ascii="Gill Sans" w:hAnsi="Gill Sans" w:cs="Gill Sans"/>
                <w:color w:val="000000"/>
                <w:szCs w:val="22"/>
                <w:lang w:val="en-AU"/>
              </w:rPr>
              <w:t xml:space="preserve"> two points of transition (moving from FE to HE or completing foundation degree and moving to bachelor degree) + 45 x lecturers. Also interviewed people tasked with leading new sector bodies/ documentary analysis</w:t>
            </w:r>
          </w:p>
          <w:p w14:paraId="0DB17A49" w14:textId="77777777" w:rsidR="00FC3249" w:rsidRPr="00076E76" w:rsidRDefault="00FC3249" w:rsidP="00FC3249">
            <w:pPr>
              <w:rPr>
                <w:rFonts w:ascii="Gill Sans" w:hAnsi="Gill Sans" w:cs="Gill Sans"/>
                <w:color w:val="000000"/>
                <w:szCs w:val="22"/>
                <w:lang w:val="en-AU"/>
              </w:rPr>
            </w:pPr>
            <w:r w:rsidRPr="00076E76">
              <w:rPr>
                <w:rFonts w:ascii="Gill Sans" w:hAnsi="Gill Sans" w:cs="Gill Sans"/>
                <w:b/>
                <w:color w:val="000000"/>
                <w:szCs w:val="22"/>
                <w:lang w:val="en-AU"/>
              </w:rPr>
              <w:t xml:space="preserve">Findings: </w:t>
            </w:r>
            <w:r w:rsidRPr="00076E76">
              <w:rPr>
                <w:rFonts w:ascii="Gill Sans" w:hAnsi="Gill Sans" w:cs="Gill Sans"/>
                <w:color w:val="000000"/>
                <w:szCs w:val="22"/>
                <w:lang w:val="en-AU"/>
              </w:rPr>
              <w:t xml:space="preserve">Of the 4 case study institutions, only 1 = evidence of ‘seamlessness’ progression at institution which branded itself a dual-sector. One = specialisation translates into progression into vocational/ academic areas; one case study = strategic alliance with one HEI; other case study =had expanded UG provision and progression = students moving on to other HEIs. </w:t>
            </w:r>
          </w:p>
          <w:p w14:paraId="38AC49B6" w14:textId="6CACF17F" w:rsidR="00FC3249" w:rsidRPr="00076E76" w:rsidRDefault="00FC3249" w:rsidP="00FA514E">
            <w:pPr>
              <w:rPr>
                <w:rFonts w:ascii="Gill Sans" w:hAnsi="Gill Sans" w:cs="Gill Sans"/>
                <w:b/>
                <w:color w:val="000000"/>
                <w:szCs w:val="22"/>
                <w:lang w:val="en-AU"/>
              </w:rPr>
            </w:pPr>
            <w:r w:rsidRPr="00076E76">
              <w:rPr>
                <w:rFonts w:ascii="Gill Sans" w:hAnsi="Gill Sans" w:cs="Gill Sans"/>
                <w:color w:val="000000"/>
                <w:szCs w:val="22"/>
                <w:lang w:val="en-AU"/>
              </w:rPr>
              <w:t>Disciplinary/ course differences: some foundation degrees and higher diplomas = “highly articulated” with programs above and below level = “ladder of progression”, although higher level courses = centred on teaching in workplace (employment focused)</w:t>
            </w:r>
            <w:r w:rsidRPr="00076E76">
              <w:rPr>
                <w:rFonts w:ascii="Gill Sans" w:hAnsi="Gill Sans" w:cs="Gill Sans"/>
                <w:b/>
                <w:color w:val="000000"/>
                <w:szCs w:val="22"/>
                <w:lang w:val="en-AU"/>
              </w:rPr>
              <w:br/>
              <w:t xml:space="preserve">Core argument: </w:t>
            </w:r>
            <w:r w:rsidRPr="00076E76">
              <w:rPr>
                <w:rFonts w:ascii="Gill Sans" w:hAnsi="Gill Sans" w:cs="Gill Sans"/>
                <w:color w:val="000000"/>
                <w:szCs w:val="22"/>
                <w:lang w:val="en-AU"/>
              </w:rPr>
              <w:t>In English HE, FE colleges are on one end of spectrum and Russell Group universities (Oxbridge) are on other end; dual-sector institutions = in middle. As teaching-only institutions with no power to accredit own qualifications, dual-sector = rely on other institutions for funding and validation. “</w:t>
            </w:r>
            <w:r w:rsidRPr="00076E76">
              <w:rPr>
                <w:rFonts w:ascii="Gill Sans" w:hAnsi="Gill Sans" w:cs="Gill Sans"/>
                <w:color w:val="000000"/>
                <w:szCs w:val="22"/>
              </w:rPr>
              <w:t xml:space="preserve">In these circumstances, duality is associated with dependence and difficulty. In other respects, dual regimes have been permissive” (p.135). At policy level, duality suggest permeable boundaries: “These arrangements continue, as do strategies for widening participation that look to integration rather than elimination of sector regimes and </w:t>
            </w:r>
            <w:r w:rsidRPr="00076E76">
              <w:rPr>
                <w:rFonts w:ascii="Gill Sans" w:hAnsi="Gill Sans" w:cs="Gill Sans"/>
                <w:color w:val="000000"/>
                <w:szCs w:val="22"/>
              </w:rPr>
              <w:lastRenderedPageBreak/>
              <w:t>territories” (p.135).</w:t>
            </w:r>
          </w:p>
        </w:tc>
      </w:tr>
      <w:tr w:rsidR="00FC3249" w:rsidRPr="00076E76" w14:paraId="6D3D07DD" w14:textId="77777777" w:rsidTr="007A6A23">
        <w:tc>
          <w:tcPr>
            <w:tcW w:w="5529" w:type="dxa"/>
            <w:shd w:val="clear" w:color="auto" w:fill="auto"/>
          </w:tcPr>
          <w:p w14:paraId="25C1B0BF" w14:textId="4B614322" w:rsidR="00FC3249" w:rsidRPr="00076E76" w:rsidRDefault="00FC3249" w:rsidP="00FA514E">
            <w:pPr>
              <w:rPr>
                <w:rFonts w:ascii="Gill Sans" w:hAnsi="Gill Sans" w:cs="Gill Sans"/>
                <w:szCs w:val="22"/>
              </w:rPr>
            </w:pPr>
            <w:r w:rsidRPr="00076E76">
              <w:rPr>
                <w:rFonts w:ascii="Gill Sans" w:hAnsi="Gill Sans" w:cs="Gill Sans"/>
                <w:szCs w:val="22"/>
              </w:rPr>
              <w:lastRenderedPageBreak/>
              <w:t xml:space="preserve">Beaumont, C.; </w:t>
            </w:r>
            <w:proofErr w:type="spellStart"/>
            <w:r w:rsidRPr="00076E76">
              <w:rPr>
                <w:rFonts w:ascii="Gill Sans" w:hAnsi="Gill Sans" w:cs="Gill Sans"/>
                <w:szCs w:val="22"/>
              </w:rPr>
              <w:t>Moscrop</w:t>
            </w:r>
            <w:proofErr w:type="spellEnd"/>
            <w:r w:rsidRPr="00076E76">
              <w:rPr>
                <w:rFonts w:ascii="Gill Sans" w:hAnsi="Gill Sans" w:cs="Gill Sans"/>
                <w:szCs w:val="22"/>
              </w:rPr>
              <w:t xml:space="preserve">, C. &amp; Canning, S. (2016). </w:t>
            </w:r>
            <w:hyperlink r:id="rId24" w:history="1">
              <w:r w:rsidRPr="002531BB">
                <w:rPr>
                  <w:rStyle w:val="Hyperlink"/>
                  <w:rFonts w:ascii="Gill Sans" w:hAnsi="Gill Sans" w:cs="Gill Sans"/>
                  <w:szCs w:val="22"/>
                </w:rPr>
                <w:t>Easing the transition from school to HE: scaffolding the development of self-regulated learning through a dialogic approach to feedback</w:t>
              </w:r>
            </w:hyperlink>
            <w:r w:rsidRPr="00076E76">
              <w:rPr>
                <w:rFonts w:ascii="Gill Sans" w:hAnsi="Gill Sans" w:cs="Gill Sans"/>
                <w:szCs w:val="22"/>
              </w:rPr>
              <w:t xml:space="preserve">, </w:t>
            </w:r>
            <w:r w:rsidRPr="00076E76">
              <w:rPr>
                <w:rFonts w:ascii="Gill Sans" w:hAnsi="Gill Sans" w:cs="Gill Sans"/>
                <w:i/>
                <w:szCs w:val="22"/>
              </w:rPr>
              <w:t xml:space="preserve">Journal of Further and Higher Education, </w:t>
            </w:r>
            <w:r w:rsidR="00DA69FD">
              <w:rPr>
                <w:rFonts w:ascii="Gill Sans" w:hAnsi="Gill Sans" w:cs="Gill Sans"/>
                <w:szCs w:val="22"/>
              </w:rPr>
              <w:t>40(3), 331–</w:t>
            </w:r>
            <w:r w:rsidRPr="00076E76">
              <w:rPr>
                <w:rFonts w:ascii="Gill Sans" w:hAnsi="Gill Sans" w:cs="Gill Sans"/>
                <w:szCs w:val="22"/>
              </w:rPr>
              <w:t>350.</w:t>
            </w:r>
          </w:p>
          <w:p w14:paraId="10B8DA71" w14:textId="77777777" w:rsidR="00FC3249" w:rsidRPr="00076E76" w:rsidRDefault="00FC3249" w:rsidP="00FA514E">
            <w:pPr>
              <w:rPr>
                <w:rFonts w:ascii="Gill Sans" w:hAnsi="Gill Sans" w:cs="Gill Sans"/>
                <w:szCs w:val="22"/>
              </w:rPr>
            </w:pPr>
          </w:p>
          <w:p w14:paraId="75580206" w14:textId="77777777" w:rsidR="00FC3249" w:rsidRPr="00076E76" w:rsidRDefault="00FC3249" w:rsidP="00FA514E">
            <w:pPr>
              <w:rPr>
                <w:rFonts w:ascii="Gill Sans" w:hAnsi="Gill Sans" w:cs="Gill Sans"/>
                <w:szCs w:val="22"/>
              </w:rPr>
            </w:pPr>
            <w:r w:rsidRPr="00076E76">
              <w:rPr>
                <w:rFonts w:ascii="Gill Sans" w:hAnsi="Gill Sans" w:cs="Gill Sans"/>
                <w:szCs w:val="22"/>
              </w:rPr>
              <w:t>UK</w:t>
            </w:r>
          </w:p>
          <w:p w14:paraId="091C273D" w14:textId="114F53C6" w:rsidR="00FA2E2D" w:rsidRDefault="00567851" w:rsidP="00FA2E2D">
            <w:pPr>
              <w:rPr>
                <w:rFonts w:ascii="Gill Sans" w:hAnsi="Gill Sans" w:cs="Gill Sans"/>
                <w:szCs w:val="22"/>
              </w:rPr>
            </w:pPr>
            <w:r>
              <w:rPr>
                <w:rFonts w:ascii="Gill Sans" w:hAnsi="Gill Sans" w:cs="Gill Sans"/>
                <w:szCs w:val="22"/>
              </w:rPr>
              <w:t xml:space="preserve">Annotation by </w:t>
            </w:r>
            <w:r w:rsidR="00B80ABD" w:rsidRPr="00B80ABD">
              <w:rPr>
                <w:rFonts w:ascii="Gill Sans" w:hAnsi="Gill Sans" w:cs="Gill Sans"/>
                <w:szCs w:val="22"/>
              </w:rPr>
              <w:t>Caitlyn McLoughlin</w:t>
            </w:r>
          </w:p>
          <w:p w14:paraId="2B4D8642" w14:textId="77777777" w:rsidR="00B80ABD" w:rsidRDefault="00B80ABD" w:rsidP="00FA2E2D">
            <w:pPr>
              <w:rPr>
                <w:rFonts w:ascii="Gill Sans" w:hAnsi="Gill Sans" w:cs="Gill Sans"/>
                <w:szCs w:val="22"/>
              </w:rPr>
            </w:pPr>
          </w:p>
          <w:p w14:paraId="582455B6" w14:textId="14B93D7A" w:rsidR="00B80ABD" w:rsidRPr="00B80ABD" w:rsidRDefault="00B80ABD" w:rsidP="00FA2E2D">
            <w:pPr>
              <w:rPr>
                <w:rFonts w:ascii="Gill Sans" w:hAnsi="Gill Sans" w:cs="Gill Sans"/>
                <w:i/>
                <w:szCs w:val="22"/>
              </w:rPr>
            </w:pPr>
            <w:r w:rsidRPr="00B80ABD">
              <w:rPr>
                <w:rFonts w:ascii="Gill Sans" w:hAnsi="Gill Sans" w:cs="Gill Sans"/>
                <w:szCs w:val="22"/>
              </w:rPr>
              <w:t xml:space="preserve">Keywords: </w:t>
            </w:r>
            <w:r w:rsidRPr="00B80ABD">
              <w:rPr>
                <w:rFonts w:ascii="Gill Sans" w:hAnsi="Gill Sans" w:cs="Gill Sans"/>
                <w:i/>
                <w:szCs w:val="22"/>
              </w:rPr>
              <w:t>feedback; feed-forward; dialogical feedback cycle (DFC); assessment; self-regulated learning; transition; computing</w:t>
            </w:r>
          </w:p>
          <w:p w14:paraId="4C528CC0" w14:textId="77777777" w:rsidR="00FC3249" w:rsidRPr="00076E76" w:rsidRDefault="00FC3249" w:rsidP="00FA514E">
            <w:pPr>
              <w:rPr>
                <w:rFonts w:ascii="Gill Sans" w:hAnsi="Gill Sans" w:cs="Gill Sans"/>
                <w:szCs w:val="22"/>
              </w:rPr>
            </w:pPr>
          </w:p>
          <w:p w14:paraId="6BCAFDD6" w14:textId="39C92224" w:rsidR="00FC3249" w:rsidRPr="00076E76" w:rsidRDefault="00FC3249" w:rsidP="00FA514E">
            <w:pPr>
              <w:rPr>
                <w:rFonts w:ascii="Gill Sans" w:hAnsi="Gill Sans" w:cs="Gill Sans"/>
                <w:b/>
                <w:szCs w:val="22"/>
              </w:rPr>
            </w:pPr>
          </w:p>
        </w:tc>
        <w:tc>
          <w:tcPr>
            <w:tcW w:w="10064" w:type="dxa"/>
          </w:tcPr>
          <w:p w14:paraId="29BF3C34" w14:textId="7D5343BC" w:rsidR="00FC3249" w:rsidRPr="00304D77" w:rsidRDefault="00FC3249" w:rsidP="003A1417">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sidR="00304D77">
              <w:rPr>
                <w:rFonts w:ascii="Gill Sans" w:hAnsi="Gill Sans" w:cs="Gill Sans"/>
                <w:color w:val="000000"/>
                <w:szCs w:val="22"/>
                <w:lang w:val="en-AU"/>
              </w:rPr>
              <w:t>High quality feedback as essential to learning but a problem area in the UK</w:t>
            </w:r>
            <w:r w:rsidR="003A0EA3">
              <w:rPr>
                <w:rFonts w:ascii="Gill Sans" w:hAnsi="Gill Sans" w:cs="Gill Sans"/>
                <w:color w:val="000000"/>
                <w:szCs w:val="22"/>
                <w:lang w:val="en-AU"/>
              </w:rPr>
              <w:t xml:space="preserve">; the divide between highly-structured guidance systems in schools and colleges and the promotion of ‘independent learning’ in </w:t>
            </w:r>
            <w:r w:rsidR="00DE4B2F">
              <w:rPr>
                <w:rFonts w:ascii="Gill Sans" w:hAnsi="Gill Sans" w:cs="Gill Sans"/>
                <w:color w:val="000000"/>
                <w:szCs w:val="22"/>
                <w:lang w:val="en-AU"/>
              </w:rPr>
              <w:t>higher education</w:t>
            </w:r>
            <w:r w:rsidR="00813416">
              <w:rPr>
                <w:rFonts w:ascii="Gill Sans" w:hAnsi="Gill Sans" w:cs="Gill Sans"/>
                <w:color w:val="000000"/>
                <w:szCs w:val="22"/>
                <w:lang w:val="en-AU"/>
              </w:rPr>
              <w:t xml:space="preserve"> as a major contributor to</w:t>
            </w:r>
            <w:r w:rsidR="00DB7078">
              <w:rPr>
                <w:rFonts w:ascii="Gill Sans" w:hAnsi="Gill Sans" w:cs="Gill Sans"/>
                <w:color w:val="000000"/>
                <w:szCs w:val="22"/>
                <w:lang w:val="en-AU"/>
              </w:rPr>
              <w:t xml:space="preserve"> student</w:t>
            </w:r>
            <w:r w:rsidR="00813416">
              <w:rPr>
                <w:rFonts w:ascii="Gill Sans" w:hAnsi="Gill Sans" w:cs="Gill Sans"/>
                <w:color w:val="000000"/>
                <w:szCs w:val="22"/>
                <w:lang w:val="en-AU"/>
              </w:rPr>
              <w:t xml:space="preserve"> difficulties with transition</w:t>
            </w:r>
            <w:r w:rsidR="003A0EA3">
              <w:rPr>
                <w:rFonts w:ascii="Gill Sans" w:hAnsi="Gill Sans" w:cs="Gill Sans"/>
                <w:color w:val="000000"/>
                <w:szCs w:val="22"/>
                <w:lang w:val="en-AU"/>
              </w:rPr>
              <w:t xml:space="preserve">. </w:t>
            </w:r>
          </w:p>
          <w:p w14:paraId="28757155" w14:textId="7AD470B8" w:rsidR="00FC3249" w:rsidRPr="00DB7078" w:rsidRDefault="00FC3249" w:rsidP="003A1417">
            <w:pPr>
              <w:rPr>
                <w:rFonts w:ascii="Gill Sans" w:hAnsi="Gill Sans" w:cs="Gill Sans"/>
                <w:color w:val="000000"/>
                <w:szCs w:val="22"/>
              </w:rPr>
            </w:pPr>
            <w:r w:rsidRPr="00076E76">
              <w:rPr>
                <w:rFonts w:ascii="Gill Sans" w:hAnsi="Gill Sans" w:cs="Gill Sans"/>
                <w:b/>
                <w:color w:val="000000"/>
                <w:szCs w:val="22"/>
                <w:lang w:val="en-AU"/>
              </w:rPr>
              <w:t xml:space="preserve">Aim: </w:t>
            </w:r>
            <w:r w:rsidR="00DB7078">
              <w:rPr>
                <w:rFonts w:ascii="Gill Sans" w:hAnsi="Gill Sans" w:cs="Gill Sans"/>
                <w:color w:val="000000"/>
                <w:szCs w:val="22"/>
                <w:lang w:val="en-AU"/>
              </w:rPr>
              <w:t>“</w:t>
            </w:r>
            <w:r w:rsidR="00DB7078">
              <w:rPr>
                <w:rFonts w:ascii="Gill Sans" w:hAnsi="Gill Sans" w:cs="Gill Sans"/>
                <w:color w:val="000000"/>
                <w:szCs w:val="22"/>
              </w:rPr>
              <w:t>T</w:t>
            </w:r>
            <w:r w:rsidR="00DB7078" w:rsidRPr="00DB7078">
              <w:rPr>
                <w:rFonts w:ascii="Gill Sans" w:hAnsi="Gill Sans" w:cs="Gill Sans"/>
                <w:color w:val="000000"/>
                <w:szCs w:val="22"/>
              </w:rPr>
              <w:t>o improve the transition for first-year undergraduates by providing a structured set of guidance activities (scaffolding) as a means of an extended induction into the assessment processes in higher education</w:t>
            </w:r>
            <w:r w:rsidR="00DB7078">
              <w:rPr>
                <w:rFonts w:ascii="Gill Sans" w:hAnsi="Gill Sans" w:cs="Gill Sans"/>
                <w:color w:val="000000"/>
                <w:szCs w:val="22"/>
              </w:rPr>
              <w:t>” (331) by reporting research</w:t>
            </w:r>
            <w:r w:rsidR="00DB7078" w:rsidRPr="00DB7078">
              <w:rPr>
                <w:rFonts w:ascii="Gill Sans" w:hAnsi="Gill Sans" w:cs="Gill Sans"/>
                <w:color w:val="000000"/>
                <w:szCs w:val="22"/>
              </w:rPr>
              <w:t>.</w:t>
            </w:r>
          </w:p>
          <w:p w14:paraId="3C898692" w14:textId="48D9D32C" w:rsidR="00FC3249" w:rsidRDefault="00FC3249" w:rsidP="003A1417">
            <w:pPr>
              <w:rPr>
                <w:rFonts w:ascii="Gill Sans" w:hAnsi="Gill Sans" w:cs="Gill Sans"/>
                <w:color w:val="000000"/>
                <w:szCs w:val="22"/>
              </w:rPr>
            </w:pPr>
            <w:r w:rsidRPr="00076E76">
              <w:rPr>
                <w:rFonts w:ascii="Gill Sans" w:hAnsi="Gill Sans" w:cs="Gill Sans"/>
                <w:b/>
                <w:color w:val="000000"/>
                <w:szCs w:val="22"/>
                <w:lang w:val="en-AU"/>
              </w:rPr>
              <w:t>Theoretical frame:</w:t>
            </w:r>
            <w:r w:rsidR="00444644">
              <w:rPr>
                <w:rFonts w:ascii="Gill Sans" w:hAnsi="Gill Sans" w:cs="Gill Sans"/>
                <w:b/>
                <w:color w:val="000000"/>
                <w:szCs w:val="22"/>
                <w:lang w:val="en-AU"/>
              </w:rPr>
              <w:t xml:space="preserve"> </w:t>
            </w:r>
            <w:r w:rsidR="00444644">
              <w:rPr>
                <w:rFonts w:ascii="Gill Sans" w:hAnsi="Gill Sans" w:cs="Gill Sans"/>
                <w:color w:val="000000"/>
                <w:szCs w:val="22"/>
                <w:lang w:val="en-AU"/>
              </w:rPr>
              <w:t xml:space="preserve">Constructive feedback is essential for improving performance: </w:t>
            </w:r>
            <w:proofErr w:type="spellStart"/>
            <w:r w:rsidR="00444644" w:rsidRPr="00444644">
              <w:rPr>
                <w:rFonts w:ascii="Gill Sans" w:hAnsi="Gill Sans" w:cs="Gill Sans"/>
                <w:color w:val="000000"/>
                <w:szCs w:val="22"/>
              </w:rPr>
              <w:t>Laurillard</w:t>
            </w:r>
            <w:r w:rsidR="00444644">
              <w:rPr>
                <w:rFonts w:ascii="Gill Sans" w:hAnsi="Gill Sans" w:cs="Gill Sans"/>
                <w:color w:val="000000"/>
                <w:szCs w:val="22"/>
              </w:rPr>
              <w:t>’s</w:t>
            </w:r>
            <w:proofErr w:type="spellEnd"/>
            <w:r w:rsidR="00444644">
              <w:rPr>
                <w:rFonts w:ascii="Gill Sans" w:hAnsi="Gill Sans" w:cs="Gill Sans"/>
                <w:color w:val="000000"/>
                <w:szCs w:val="22"/>
              </w:rPr>
              <w:t xml:space="preserve"> claim</w:t>
            </w:r>
            <w:r w:rsidR="00444644" w:rsidRPr="00444644">
              <w:rPr>
                <w:rFonts w:ascii="Gill Sans" w:hAnsi="Gill Sans" w:cs="Gill Sans"/>
                <w:color w:val="000000"/>
                <w:szCs w:val="22"/>
              </w:rPr>
              <w:t xml:space="preserve"> that ‘action without feedback is completely unproductive for a learner’ and it has been shown that ‘high quality feedback is </w:t>
            </w:r>
            <w:r w:rsidR="00444644">
              <w:rPr>
                <w:rFonts w:ascii="Gill Sans" w:hAnsi="Gill Sans" w:cs="Gill Sans"/>
                <w:color w:val="000000"/>
                <w:szCs w:val="22"/>
              </w:rPr>
              <w:t>the most powerful single influ</w:t>
            </w:r>
            <w:r w:rsidR="00444644" w:rsidRPr="00444644">
              <w:rPr>
                <w:rFonts w:ascii="Gill Sans" w:hAnsi="Gill Sans" w:cs="Gill Sans"/>
                <w:color w:val="000000"/>
                <w:szCs w:val="22"/>
              </w:rPr>
              <w:t xml:space="preserve">ence on student achievement’ (2002, 55; see also Black and </w:t>
            </w:r>
            <w:proofErr w:type="spellStart"/>
            <w:r w:rsidR="00444644" w:rsidRPr="00444644">
              <w:rPr>
                <w:rFonts w:ascii="Gill Sans" w:hAnsi="Gill Sans" w:cs="Gill Sans"/>
                <w:color w:val="000000"/>
                <w:szCs w:val="22"/>
              </w:rPr>
              <w:t>Wiliam</w:t>
            </w:r>
            <w:proofErr w:type="spellEnd"/>
            <w:r w:rsidR="00444644" w:rsidRPr="00444644">
              <w:rPr>
                <w:rFonts w:ascii="Gill Sans" w:hAnsi="Gill Sans" w:cs="Gill Sans"/>
                <w:color w:val="000000"/>
                <w:szCs w:val="22"/>
              </w:rPr>
              <w:t xml:space="preserve"> 1998; Hattie 1987)</w:t>
            </w:r>
            <w:r w:rsidR="00444644">
              <w:rPr>
                <w:rFonts w:ascii="Gill Sans" w:hAnsi="Gill Sans" w:cs="Gill Sans"/>
                <w:color w:val="000000"/>
                <w:szCs w:val="22"/>
              </w:rPr>
              <w:t>” (332)</w:t>
            </w:r>
            <w:r w:rsidR="00444644" w:rsidRPr="00444644">
              <w:rPr>
                <w:rFonts w:ascii="Gill Sans" w:hAnsi="Gill Sans" w:cs="Gill Sans"/>
                <w:color w:val="000000"/>
                <w:szCs w:val="22"/>
              </w:rPr>
              <w:t>.</w:t>
            </w:r>
            <w:r w:rsidR="00ED7F79">
              <w:rPr>
                <w:rFonts w:ascii="Gill Sans" w:hAnsi="Gill Sans" w:cs="Gill Sans"/>
                <w:color w:val="000000"/>
                <w:szCs w:val="22"/>
              </w:rPr>
              <w:t xml:space="preserve"> Molloy and </w:t>
            </w:r>
            <w:proofErr w:type="spellStart"/>
            <w:r w:rsidR="00ED7F79">
              <w:rPr>
                <w:rFonts w:ascii="Gill Sans" w:hAnsi="Gill Sans" w:cs="Gill Sans"/>
                <w:color w:val="000000"/>
                <w:szCs w:val="22"/>
              </w:rPr>
              <w:t>Boud’s</w:t>
            </w:r>
            <w:proofErr w:type="spellEnd"/>
            <w:r w:rsidR="00ED7F79">
              <w:rPr>
                <w:rFonts w:ascii="Gill Sans" w:hAnsi="Gill Sans" w:cs="Gill Sans"/>
                <w:color w:val="000000"/>
                <w:szCs w:val="22"/>
              </w:rPr>
              <w:t xml:space="preserve"> (2013) conceptualization of feedback that holds “</w:t>
            </w:r>
            <w:r w:rsidR="00ED7F79" w:rsidRPr="00ED7F79">
              <w:rPr>
                <w:rFonts w:ascii="Gill Sans" w:hAnsi="Gill Sans" w:cs="Gill Sans"/>
                <w:color w:val="000000"/>
                <w:szCs w:val="22"/>
              </w:rPr>
              <w:t>students should not be passive recipients of teachers’ comments (transmission model); instead, they should be central to the feedback process, taking an active role</w:t>
            </w:r>
            <w:r w:rsidR="00ED7F79">
              <w:rPr>
                <w:rFonts w:ascii="Gill Sans" w:hAnsi="Gill Sans" w:cs="Gill Sans"/>
                <w:color w:val="000000"/>
                <w:szCs w:val="22"/>
              </w:rPr>
              <w:t>”</w:t>
            </w:r>
            <w:r w:rsidR="008A5839">
              <w:rPr>
                <w:rFonts w:ascii="Gill Sans" w:hAnsi="Gill Sans" w:cs="Gill Sans"/>
                <w:color w:val="000000"/>
                <w:szCs w:val="22"/>
              </w:rPr>
              <w:t xml:space="preserve"> (333</w:t>
            </w:r>
            <w:r w:rsidR="00ED7F79">
              <w:rPr>
                <w:rFonts w:ascii="Gill Sans" w:hAnsi="Gill Sans" w:cs="Gill Sans"/>
                <w:color w:val="000000"/>
                <w:szCs w:val="22"/>
              </w:rPr>
              <w:t>)</w:t>
            </w:r>
            <w:r w:rsidR="00ED7F79" w:rsidRPr="00ED7F79">
              <w:rPr>
                <w:rFonts w:ascii="Gill Sans" w:hAnsi="Gill Sans" w:cs="Gill Sans"/>
                <w:color w:val="000000"/>
                <w:szCs w:val="22"/>
              </w:rPr>
              <w:t>.</w:t>
            </w:r>
            <w:r w:rsidR="003C140F">
              <w:rPr>
                <w:rFonts w:ascii="Gill Sans" w:hAnsi="Gill Sans" w:cs="Gill Sans"/>
                <w:color w:val="000000"/>
                <w:szCs w:val="22"/>
              </w:rPr>
              <w:t xml:space="preserve"> The dialogic feedback cycle: </w:t>
            </w:r>
          </w:p>
          <w:p w14:paraId="33B042C1" w14:textId="754BC2F9" w:rsidR="00205A48" w:rsidRPr="00205A48" w:rsidRDefault="00205A48" w:rsidP="00205A48">
            <w:pPr>
              <w:rPr>
                <w:rFonts w:ascii="Gill Sans" w:hAnsi="Gill Sans" w:cs="Gill Sans"/>
                <w:color w:val="000000"/>
                <w:szCs w:val="22"/>
              </w:rPr>
            </w:pPr>
            <w:r w:rsidRPr="00205A48">
              <w:rPr>
                <w:rFonts w:ascii="Gill Sans" w:hAnsi="Gill Sans" w:cs="Gill Sans"/>
                <w:noProof/>
                <w:color w:val="000000"/>
                <w:szCs w:val="22"/>
              </w:rPr>
              <w:drawing>
                <wp:inline distT="0" distB="0" distL="0" distR="0" wp14:anchorId="47A22D4A" wp14:editId="441BB06B">
                  <wp:extent cx="4538345" cy="3081655"/>
                  <wp:effectExtent l="0" t="0" r="825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38345" cy="3081655"/>
                          </a:xfrm>
                          <a:prstGeom prst="rect">
                            <a:avLst/>
                          </a:prstGeom>
                          <a:noFill/>
                          <a:ln>
                            <a:noFill/>
                          </a:ln>
                        </pic:spPr>
                      </pic:pic>
                    </a:graphicData>
                  </a:graphic>
                </wp:inline>
              </w:drawing>
            </w:r>
          </w:p>
          <w:p w14:paraId="3CBE7DF4" w14:textId="77777777" w:rsidR="00205A48" w:rsidRPr="00444644" w:rsidRDefault="00205A48" w:rsidP="003A1417">
            <w:pPr>
              <w:rPr>
                <w:rFonts w:ascii="Gill Sans" w:hAnsi="Gill Sans" w:cs="Gill Sans"/>
                <w:color w:val="000000"/>
                <w:szCs w:val="22"/>
              </w:rPr>
            </w:pPr>
          </w:p>
          <w:p w14:paraId="02FC6DD4" w14:textId="024A58FC" w:rsidR="00FC3249" w:rsidRPr="00BF480F" w:rsidRDefault="00FC3249" w:rsidP="00BF480F">
            <w:pPr>
              <w:rPr>
                <w:rFonts w:ascii="Gill Sans" w:hAnsi="Gill Sans" w:cs="Gill Sans"/>
                <w:b/>
                <w:color w:val="000000"/>
                <w:szCs w:val="22"/>
              </w:rPr>
            </w:pPr>
            <w:r w:rsidRPr="00076E76">
              <w:rPr>
                <w:rFonts w:ascii="Gill Sans" w:hAnsi="Gill Sans" w:cs="Gill Sans"/>
                <w:b/>
                <w:color w:val="000000"/>
                <w:szCs w:val="22"/>
                <w:lang w:val="en-AU"/>
              </w:rPr>
              <w:t xml:space="preserve">Methodology: </w:t>
            </w:r>
            <w:r w:rsidR="00BF480F">
              <w:rPr>
                <w:rFonts w:ascii="Gill Sans" w:hAnsi="Gill Sans" w:cs="Gill Sans"/>
                <w:color w:val="000000"/>
                <w:szCs w:val="22"/>
              </w:rPr>
              <w:t>F</w:t>
            </w:r>
            <w:r w:rsidR="00BF480F" w:rsidRPr="00BF480F">
              <w:rPr>
                <w:rFonts w:ascii="Gill Sans" w:hAnsi="Gill Sans" w:cs="Gill Sans"/>
                <w:color w:val="000000"/>
                <w:szCs w:val="22"/>
              </w:rPr>
              <w:t xml:space="preserve">our-stage AR model: planning the intervention using the DFC; implementing </w:t>
            </w:r>
            <w:r w:rsidR="00BF480F">
              <w:rPr>
                <w:rFonts w:ascii="Gill Sans" w:hAnsi="Gill Sans" w:cs="Gill Sans"/>
                <w:color w:val="000000"/>
                <w:szCs w:val="22"/>
              </w:rPr>
              <w:t>it; collecting data (</w:t>
            </w:r>
            <w:r w:rsidR="00BF480F" w:rsidRPr="00B27E62">
              <w:rPr>
                <w:rFonts w:ascii="Gill Sans" w:hAnsi="Gill Sans" w:cs="Gill Sans"/>
                <w:color w:val="000000"/>
                <w:szCs w:val="22"/>
              </w:rPr>
              <w:t xml:space="preserve">questionnaire and </w:t>
            </w:r>
            <w:r w:rsidR="00124252">
              <w:rPr>
                <w:rFonts w:ascii="Gill Sans" w:hAnsi="Gill Sans" w:cs="Gill Sans"/>
                <w:color w:val="000000"/>
                <w:szCs w:val="22"/>
              </w:rPr>
              <w:t xml:space="preserve">semi-structured </w:t>
            </w:r>
            <w:r w:rsidR="00BF480F" w:rsidRPr="00B27E62">
              <w:rPr>
                <w:rFonts w:ascii="Gill Sans" w:hAnsi="Gill Sans" w:cs="Gill Sans"/>
                <w:color w:val="000000"/>
                <w:szCs w:val="22"/>
              </w:rPr>
              <w:t>focus groups</w:t>
            </w:r>
            <w:r w:rsidR="00BF480F">
              <w:rPr>
                <w:rFonts w:ascii="Gill Sans" w:hAnsi="Gill Sans" w:cs="Gill Sans"/>
                <w:color w:val="000000"/>
                <w:szCs w:val="22"/>
              </w:rPr>
              <w:t>); and evalu</w:t>
            </w:r>
            <w:r w:rsidR="00BF480F" w:rsidRPr="00BF480F">
              <w:rPr>
                <w:rFonts w:ascii="Gill Sans" w:hAnsi="Gill Sans" w:cs="Gill Sans"/>
                <w:color w:val="000000"/>
                <w:szCs w:val="22"/>
              </w:rPr>
              <w:t>ating/reflecting on the results</w:t>
            </w:r>
            <w:r w:rsidR="00BF480F">
              <w:rPr>
                <w:rFonts w:ascii="Gill Sans" w:hAnsi="Gill Sans" w:cs="Gill Sans"/>
                <w:b/>
                <w:color w:val="000000"/>
                <w:szCs w:val="22"/>
              </w:rPr>
              <w:t xml:space="preserve"> </w:t>
            </w:r>
          </w:p>
          <w:p w14:paraId="6578FADE" w14:textId="4E7F9109" w:rsidR="00FC3249" w:rsidRPr="003F5B49" w:rsidRDefault="00FC3249" w:rsidP="00EE4322">
            <w:pPr>
              <w:rPr>
                <w:rFonts w:ascii="Gill Sans" w:hAnsi="Gill Sans" w:cs="Gill Sans"/>
                <w:b/>
                <w:color w:val="000000"/>
                <w:szCs w:val="22"/>
              </w:rPr>
            </w:pPr>
            <w:r w:rsidRPr="00076E76">
              <w:rPr>
                <w:rFonts w:ascii="Gill Sans" w:hAnsi="Gill Sans" w:cs="Gill Sans"/>
                <w:b/>
                <w:color w:val="000000"/>
                <w:szCs w:val="22"/>
                <w:lang w:val="en-AU"/>
              </w:rPr>
              <w:t xml:space="preserve">Findings: </w:t>
            </w:r>
            <w:r w:rsidR="004F68A9">
              <w:rPr>
                <w:rFonts w:ascii="Gill Sans" w:hAnsi="Gill Sans" w:cs="Gill Sans"/>
                <w:color w:val="000000"/>
                <w:szCs w:val="22"/>
              </w:rPr>
              <w:t>S</w:t>
            </w:r>
            <w:r w:rsidR="003F5B49" w:rsidRPr="003F5B49">
              <w:rPr>
                <w:rFonts w:ascii="Gill Sans" w:hAnsi="Gill Sans" w:cs="Gill Sans"/>
                <w:color w:val="000000"/>
                <w:szCs w:val="22"/>
              </w:rPr>
              <w:t>tatistically significant improvements in students’ perceptions of their understanding of assessment tasks and criteria and increased confidence in terms of completing assessment tasks and self-regulated learning.</w:t>
            </w:r>
            <w:r w:rsidRPr="003F5B49">
              <w:rPr>
                <w:rFonts w:ascii="Gill Sans" w:hAnsi="Gill Sans" w:cs="Gill Sans"/>
                <w:color w:val="000000"/>
                <w:szCs w:val="22"/>
                <w:lang w:val="en-AU"/>
              </w:rPr>
              <w:br/>
            </w:r>
            <w:r w:rsidRPr="00076E76">
              <w:rPr>
                <w:rFonts w:ascii="Gill Sans" w:hAnsi="Gill Sans" w:cs="Gill Sans"/>
                <w:b/>
                <w:color w:val="000000"/>
                <w:szCs w:val="22"/>
                <w:lang w:val="en-AU"/>
              </w:rPr>
              <w:t>Core argument:</w:t>
            </w:r>
            <w:r w:rsidR="004F68A9">
              <w:rPr>
                <w:rFonts w:ascii="Gill Sans" w:hAnsi="Gill Sans" w:cs="Gill Sans"/>
                <w:b/>
                <w:color w:val="000000"/>
                <w:szCs w:val="22"/>
                <w:lang w:val="en-AU"/>
              </w:rPr>
              <w:t xml:space="preserve"> </w:t>
            </w:r>
            <w:r w:rsidR="004F68A9">
              <w:rPr>
                <w:rFonts w:ascii="Gill Sans" w:hAnsi="Gill Sans" w:cs="Gill Sans"/>
                <w:color w:val="000000"/>
                <w:szCs w:val="22"/>
              </w:rPr>
              <w:t>Incorporation of</w:t>
            </w:r>
            <w:r w:rsidR="004F68A9" w:rsidRPr="004F68A9">
              <w:rPr>
                <w:rFonts w:ascii="Gill Sans" w:hAnsi="Gill Sans" w:cs="Gill Sans"/>
                <w:color w:val="000000"/>
                <w:szCs w:val="22"/>
              </w:rPr>
              <w:t xml:space="preserve"> principles from the DFC into other first-year modules, increasing the emphasis o</w:t>
            </w:r>
            <w:r w:rsidR="004F68A9">
              <w:rPr>
                <w:rFonts w:ascii="Gill Sans" w:hAnsi="Gill Sans" w:cs="Gill Sans"/>
                <w:color w:val="000000"/>
                <w:szCs w:val="22"/>
              </w:rPr>
              <w:t>n stage 1 and 2 activities will provide improved consis</w:t>
            </w:r>
            <w:r w:rsidR="004F68A9" w:rsidRPr="004F68A9">
              <w:rPr>
                <w:rFonts w:ascii="Gill Sans" w:hAnsi="Gill Sans" w:cs="Gill Sans"/>
                <w:color w:val="000000"/>
                <w:szCs w:val="22"/>
              </w:rPr>
              <w:t xml:space="preserve">tency of experience and reinforce the principles of self-regulated learning, helping students develop, through practice, </w:t>
            </w:r>
            <w:r w:rsidR="00EE4322">
              <w:rPr>
                <w:rFonts w:ascii="Gill Sans" w:hAnsi="Gill Sans" w:cs="Gill Sans"/>
                <w:color w:val="000000"/>
                <w:szCs w:val="22"/>
              </w:rPr>
              <w:t>essential</w:t>
            </w:r>
            <w:r w:rsidR="004F68A9" w:rsidRPr="004F68A9">
              <w:rPr>
                <w:rFonts w:ascii="Gill Sans" w:hAnsi="Gill Sans" w:cs="Gill Sans"/>
                <w:color w:val="000000"/>
                <w:szCs w:val="22"/>
              </w:rPr>
              <w:t xml:space="preserve"> self-assessment capabilities.</w:t>
            </w:r>
          </w:p>
        </w:tc>
      </w:tr>
      <w:tr w:rsidR="00FC3249" w:rsidRPr="00076E76" w14:paraId="6D8782CC" w14:textId="77777777" w:rsidTr="002E557C">
        <w:tc>
          <w:tcPr>
            <w:tcW w:w="5529" w:type="dxa"/>
          </w:tcPr>
          <w:p w14:paraId="05507FA2" w14:textId="72AD7284" w:rsidR="00FC3249" w:rsidRPr="00076E76" w:rsidRDefault="00FC3249" w:rsidP="00FA514E">
            <w:pPr>
              <w:rPr>
                <w:rFonts w:ascii="Gill Sans" w:hAnsi="Gill Sans" w:cs="Gill Sans"/>
                <w:szCs w:val="22"/>
              </w:rPr>
            </w:pPr>
            <w:r w:rsidRPr="00076E76">
              <w:rPr>
                <w:rFonts w:ascii="Gill Sans" w:hAnsi="Gill Sans" w:cs="Gill Sans"/>
                <w:szCs w:val="22"/>
              </w:rPr>
              <w:lastRenderedPageBreak/>
              <w:t xml:space="preserve">Bowles, A.; Fisher, R.; McPhail, R.; </w:t>
            </w:r>
            <w:proofErr w:type="spellStart"/>
            <w:r w:rsidRPr="00076E76">
              <w:rPr>
                <w:rFonts w:ascii="Gill Sans" w:hAnsi="Gill Sans" w:cs="Gill Sans"/>
                <w:szCs w:val="22"/>
              </w:rPr>
              <w:t>Rosenstreich</w:t>
            </w:r>
            <w:proofErr w:type="spellEnd"/>
            <w:r w:rsidRPr="00076E76">
              <w:rPr>
                <w:rFonts w:ascii="Gill Sans" w:hAnsi="Gill Sans" w:cs="Gill Sans"/>
                <w:szCs w:val="22"/>
              </w:rPr>
              <w:t xml:space="preserve">, D.; &amp; Dobson, A. (2014). </w:t>
            </w:r>
            <w:hyperlink r:id="rId26" w:history="1">
              <w:r w:rsidRPr="009D7F61">
                <w:rPr>
                  <w:rStyle w:val="Hyperlink"/>
                  <w:rFonts w:ascii="Gill Sans" w:hAnsi="Gill Sans" w:cs="Gill Sans"/>
                  <w:szCs w:val="22"/>
                </w:rPr>
                <w:t>Staying the distance: students’ perceptions of enablers of transition to higher education</w:t>
              </w:r>
            </w:hyperlink>
            <w:r w:rsidRPr="00076E76">
              <w:rPr>
                <w:rFonts w:ascii="Gill Sans" w:hAnsi="Gill Sans" w:cs="Gill Sans"/>
                <w:szCs w:val="22"/>
              </w:rPr>
              <w:t xml:space="preserve">, </w:t>
            </w:r>
            <w:r w:rsidRPr="00076E76">
              <w:rPr>
                <w:rFonts w:ascii="Gill Sans" w:hAnsi="Gill Sans" w:cs="Gill Sans"/>
                <w:i/>
                <w:szCs w:val="22"/>
              </w:rPr>
              <w:t xml:space="preserve">Higher Education Research &amp; Development, </w:t>
            </w:r>
            <w:r w:rsidR="00DA69FD">
              <w:rPr>
                <w:rFonts w:ascii="Gill Sans" w:hAnsi="Gill Sans" w:cs="Gill Sans"/>
                <w:szCs w:val="22"/>
              </w:rPr>
              <w:t>33(2), 212–</w:t>
            </w:r>
            <w:r w:rsidRPr="00076E76">
              <w:rPr>
                <w:rFonts w:ascii="Gill Sans" w:hAnsi="Gill Sans" w:cs="Gill Sans"/>
                <w:szCs w:val="22"/>
              </w:rPr>
              <w:t>225.</w:t>
            </w:r>
          </w:p>
          <w:p w14:paraId="7C3D2F62" w14:textId="77777777" w:rsidR="00FC3249" w:rsidRPr="00076E76" w:rsidRDefault="00FC3249" w:rsidP="00FA514E">
            <w:pPr>
              <w:rPr>
                <w:rFonts w:ascii="Gill Sans" w:hAnsi="Gill Sans" w:cs="Gill Sans"/>
                <w:szCs w:val="22"/>
              </w:rPr>
            </w:pPr>
          </w:p>
          <w:p w14:paraId="03C2732A" w14:textId="073F3010" w:rsidR="00FC3249" w:rsidRPr="00076E76" w:rsidRDefault="00FC3249" w:rsidP="002E557C">
            <w:pPr>
              <w:rPr>
                <w:rFonts w:ascii="Gill Sans" w:hAnsi="Gill Sans" w:cs="Gill Sans"/>
                <w:szCs w:val="22"/>
              </w:rPr>
            </w:pPr>
            <w:r w:rsidRPr="00076E76">
              <w:rPr>
                <w:rFonts w:ascii="Gill Sans" w:hAnsi="Gill Sans" w:cs="Gill Sans"/>
                <w:szCs w:val="22"/>
              </w:rPr>
              <w:t>AUS</w:t>
            </w:r>
          </w:p>
          <w:p w14:paraId="6197C2F7" w14:textId="77777777" w:rsidR="000F60CF" w:rsidRPr="00076E76" w:rsidRDefault="000F60CF" w:rsidP="000F60CF">
            <w:pPr>
              <w:rPr>
                <w:rFonts w:ascii="Gill Sans" w:hAnsi="Gill Sans" w:cs="Gill Sans"/>
                <w:szCs w:val="22"/>
              </w:rPr>
            </w:pPr>
            <w:r w:rsidRPr="00076E76">
              <w:rPr>
                <w:rFonts w:ascii="Gill Sans" w:hAnsi="Gill Sans" w:cs="Gill Sans"/>
                <w:szCs w:val="22"/>
              </w:rPr>
              <w:t>Annotation by Sally Baker</w:t>
            </w:r>
          </w:p>
          <w:p w14:paraId="5B32175A" w14:textId="77777777" w:rsidR="00FC3249" w:rsidRPr="00076E76" w:rsidRDefault="00FC3249" w:rsidP="002E557C">
            <w:pPr>
              <w:rPr>
                <w:rFonts w:ascii="Gill Sans" w:hAnsi="Gill Sans" w:cs="Gill Sans"/>
                <w:szCs w:val="22"/>
              </w:rPr>
            </w:pPr>
          </w:p>
          <w:p w14:paraId="6C8E5625" w14:textId="77777777" w:rsidR="00FC3249" w:rsidRPr="00076E76" w:rsidRDefault="00FC3249" w:rsidP="000963A1">
            <w:pPr>
              <w:rPr>
                <w:rFonts w:ascii="Gill Sans" w:hAnsi="Gill Sans" w:cs="Gill Sans"/>
                <w:i/>
                <w:szCs w:val="22"/>
              </w:rPr>
            </w:pPr>
            <w:r w:rsidRPr="00076E76">
              <w:rPr>
                <w:rFonts w:ascii="Gill Sans" w:hAnsi="Gill Sans" w:cs="Gill Sans"/>
                <w:szCs w:val="22"/>
              </w:rPr>
              <w:t xml:space="preserve">Keywords: </w:t>
            </w:r>
            <w:r w:rsidRPr="00076E76">
              <w:rPr>
                <w:rFonts w:ascii="Gill Sans" w:hAnsi="Gill Sans" w:cs="Gill Sans"/>
                <w:i/>
                <w:szCs w:val="22"/>
              </w:rPr>
              <w:t>enablers; first-year experience; higher education; retention; student-centred; transition; university-led</w:t>
            </w:r>
          </w:p>
          <w:p w14:paraId="2B8BA9F3" w14:textId="77777777" w:rsidR="00FC3249" w:rsidRPr="00076E76" w:rsidRDefault="00FC3249" w:rsidP="000963A1">
            <w:pPr>
              <w:rPr>
                <w:rFonts w:ascii="Gill Sans" w:hAnsi="Gill Sans" w:cs="Gill Sans"/>
                <w:i/>
                <w:szCs w:val="22"/>
              </w:rPr>
            </w:pPr>
          </w:p>
          <w:p w14:paraId="2ADF566A" w14:textId="268A0B7A" w:rsidR="00FC3249" w:rsidRPr="00076E76" w:rsidRDefault="00FC3249" w:rsidP="000963A1">
            <w:pPr>
              <w:rPr>
                <w:rFonts w:ascii="Gill Sans" w:hAnsi="Gill Sans" w:cs="Gill Sans"/>
                <w:b/>
                <w:szCs w:val="22"/>
              </w:rPr>
            </w:pPr>
          </w:p>
        </w:tc>
        <w:tc>
          <w:tcPr>
            <w:tcW w:w="10064" w:type="dxa"/>
          </w:tcPr>
          <w:p w14:paraId="566D478D" w14:textId="3FB92621" w:rsidR="00FC3249" w:rsidRPr="00076E76" w:rsidRDefault="00FC3249" w:rsidP="00FA514E">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sidRPr="00076E76">
              <w:rPr>
                <w:rFonts w:ascii="Gill Sans" w:hAnsi="Gill Sans" w:cs="Gill Sans"/>
                <w:color w:val="000000"/>
                <w:szCs w:val="22"/>
                <w:lang w:val="en-AU"/>
              </w:rPr>
              <w:t>Attrition and retention in large first year course in Australian higher education context. First semester = constructed as critical for students making decisions about whether to stay or not – makes the case that students’ perceptions of what helps make a successful transition = underexplored. Scopes literature on reasons for attrition</w:t>
            </w:r>
          </w:p>
          <w:p w14:paraId="395ECEFB" w14:textId="1D8CBD81" w:rsidR="00FC3249" w:rsidRPr="00076E76" w:rsidRDefault="00FC3249" w:rsidP="00FA514E">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sidRPr="00076E76">
              <w:rPr>
                <w:rFonts w:ascii="Gill Sans" w:hAnsi="Gill Sans" w:cs="Gill Sans"/>
                <w:color w:val="000000"/>
                <w:szCs w:val="22"/>
                <w:lang w:val="en-AU"/>
              </w:rPr>
              <w:t>To examine students’ perceptions of what factors enable successful transition to university x</w:t>
            </w:r>
          </w:p>
          <w:p w14:paraId="05373619" w14:textId="25D966B8" w:rsidR="00FC3249" w:rsidRPr="00076E76" w:rsidRDefault="00FC3249" w:rsidP="00FA514E">
            <w:pPr>
              <w:rPr>
                <w:rFonts w:ascii="Gill Sans" w:hAnsi="Gill Sans" w:cs="Gill Sans"/>
                <w:color w:val="000000"/>
                <w:szCs w:val="22"/>
                <w:lang w:val="en-AU"/>
              </w:rPr>
            </w:pPr>
            <w:r w:rsidRPr="00076E76">
              <w:rPr>
                <w:rFonts w:ascii="Gill Sans" w:hAnsi="Gill Sans" w:cs="Gill Sans"/>
                <w:b/>
                <w:color w:val="000000"/>
                <w:szCs w:val="22"/>
                <w:lang w:val="en-AU"/>
              </w:rPr>
              <w:t xml:space="preserve">Theoretical frame: </w:t>
            </w:r>
            <w:r w:rsidRPr="00076E76">
              <w:rPr>
                <w:rFonts w:ascii="Gill Sans" w:hAnsi="Gill Sans" w:cs="Gill Sans"/>
                <w:color w:val="000000"/>
                <w:szCs w:val="22"/>
                <w:lang w:val="en-AU"/>
              </w:rPr>
              <w:t>No theorisation of transition</w:t>
            </w:r>
          </w:p>
          <w:p w14:paraId="3223186D" w14:textId="3196BA85" w:rsidR="00FC3249" w:rsidRPr="00076E76" w:rsidRDefault="00FC3249" w:rsidP="00FA514E">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Qualitative/ mixed methods/ ‘pragmatic’: in-depth interviews (n=8) and focus groups (n=22) – themes led to development of questionnaire for measuring existing students against new students (n=771). Analysis of quant data = interval scales/ factor analysis</w:t>
            </w:r>
          </w:p>
          <w:p w14:paraId="590737F5" w14:textId="77777777" w:rsidR="00FC3249" w:rsidRPr="00076E76" w:rsidRDefault="00FC3249" w:rsidP="002E557C">
            <w:pPr>
              <w:rPr>
                <w:rFonts w:ascii="Gill Sans" w:hAnsi="Gill Sans" w:cs="Gill Sans"/>
                <w:b/>
                <w:color w:val="000000"/>
                <w:szCs w:val="22"/>
                <w:lang w:val="en-AU"/>
              </w:rPr>
            </w:pPr>
            <w:r w:rsidRPr="00076E76">
              <w:rPr>
                <w:rFonts w:ascii="Gill Sans" w:hAnsi="Gill Sans" w:cs="Gill Sans"/>
                <w:b/>
                <w:color w:val="000000"/>
                <w:szCs w:val="22"/>
                <w:lang w:val="en-AU"/>
              </w:rPr>
              <w:t xml:space="preserve">Findings: </w:t>
            </w:r>
          </w:p>
          <w:p w14:paraId="1F0F5E63" w14:textId="77777777" w:rsidR="00FC3249" w:rsidRPr="00076E76" w:rsidRDefault="00FC3249" w:rsidP="002E557C">
            <w:pPr>
              <w:rPr>
                <w:rFonts w:ascii="Gill Sans" w:hAnsi="Gill Sans" w:cs="Gill Sans"/>
                <w:color w:val="000000"/>
                <w:szCs w:val="22"/>
                <w:lang w:val="en-AU"/>
              </w:rPr>
            </w:pPr>
            <w:r w:rsidRPr="00076E76">
              <w:rPr>
                <w:rFonts w:ascii="Gill Sans" w:hAnsi="Gill Sans" w:cs="Gill Sans"/>
                <w:color w:val="000000"/>
                <w:szCs w:val="22"/>
                <w:lang w:val="en-AU"/>
              </w:rPr>
              <w:t>Themes from interviews:</w:t>
            </w:r>
          </w:p>
          <w:p w14:paraId="7E7E5EA3" w14:textId="188139D6" w:rsidR="00FC3249" w:rsidRPr="00076E76" w:rsidRDefault="00FC3249" w:rsidP="00F03C74">
            <w:pPr>
              <w:rPr>
                <w:rFonts w:ascii="Gill Sans" w:hAnsi="Gill Sans" w:cs="Gill Sans"/>
                <w:b/>
                <w:color w:val="000000"/>
                <w:szCs w:val="22"/>
                <w:lang w:val="en-AU"/>
              </w:rPr>
            </w:pPr>
            <w:r w:rsidRPr="00076E76">
              <w:rPr>
                <w:rFonts w:ascii="Gill Sans" w:hAnsi="Gill Sans" w:cs="Gill Sans"/>
                <w:color w:val="000000"/>
                <w:szCs w:val="22"/>
                <w:lang w:val="en-AU"/>
              </w:rPr>
              <w:t xml:space="preserve">Administration, Attachment, Classes, Effort, Expectations, Facilities, </w:t>
            </w:r>
            <w:proofErr w:type="gramStart"/>
            <w:r w:rsidRPr="00076E76">
              <w:rPr>
                <w:rFonts w:ascii="Gill Sans" w:hAnsi="Gill Sans" w:cs="Gill Sans"/>
                <w:color w:val="000000"/>
                <w:szCs w:val="22"/>
                <w:lang w:val="en-AU"/>
              </w:rPr>
              <w:t>Learning</w:t>
            </w:r>
            <w:proofErr w:type="gramEnd"/>
            <w:r w:rsidRPr="00076E76">
              <w:rPr>
                <w:rFonts w:ascii="Gill Sans" w:hAnsi="Gill Sans" w:cs="Gill Sans"/>
                <w:color w:val="000000"/>
                <w:szCs w:val="22"/>
                <w:lang w:val="en-AU"/>
              </w:rPr>
              <w:t xml:space="preserve"> at university, Motivation, Orientation, Qualifications, Resources, Staff, Social, Study, Work (see p.217)</w:t>
            </w:r>
          </w:p>
          <w:p w14:paraId="30948FB9" w14:textId="77777777" w:rsidR="00FC3249" w:rsidRPr="00076E76" w:rsidRDefault="00FC3249" w:rsidP="00F03C74">
            <w:pPr>
              <w:rPr>
                <w:rFonts w:ascii="Gill Sans" w:hAnsi="Gill Sans" w:cs="Gill Sans"/>
                <w:color w:val="000000"/>
                <w:szCs w:val="22"/>
                <w:lang w:val="en-AU"/>
              </w:rPr>
            </w:pPr>
            <w:r w:rsidRPr="00076E76">
              <w:rPr>
                <w:rFonts w:ascii="Gill Sans" w:hAnsi="Gill Sans" w:cs="Gill Sans"/>
                <w:color w:val="000000"/>
                <w:szCs w:val="22"/>
                <w:lang w:val="en-AU"/>
              </w:rPr>
              <w:t>Seven of these factors = perceived factors that impact on successful transition:</w:t>
            </w:r>
          </w:p>
          <w:p w14:paraId="574548E3" w14:textId="77777777" w:rsidR="00FC3249" w:rsidRPr="00076E76" w:rsidRDefault="00FC3249" w:rsidP="00CB3272">
            <w:pPr>
              <w:pStyle w:val="ListParagraph"/>
              <w:numPr>
                <w:ilvl w:val="0"/>
                <w:numId w:val="8"/>
              </w:numPr>
              <w:rPr>
                <w:rFonts w:ascii="Gill Sans" w:hAnsi="Gill Sans" w:cs="Gill Sans"/>
                <w:color w:val="000000"/>
                <w:szCs w:val="22"/>
                <w:lang w:val="en-AU"/>
              </w:rPr>
            </w:pPr>
            <w:r w:rsidRPr="00076E76">
              <w:rPr>
                <w:rFonts w:ascii="Gill Sans" w:hAnsi="Gill Sans" w:cs="Gill Sans"/>
                <w:color w:val="000000"/>
                <w:szCs w:val="22"/>
                <w:lang w:val="en-AU"/>
              </w:rPr>
              <w:t>Study</w:t>
            </w:r>
          </w:p>
          <w:p w14:paraId="0A7B5942" w14:textId="77777777" w:rsidR="00FC3249" w:rsidRPr="00076E76" w:rsidRDefault="00FC3249" w:rsidP="00CB3272">
            <w:pPr>
              <w:pStyle w:val="ListParagraph"/>
              <w:numPr>
                <w:ilvl w:val="0"/>
                <w:numId w:val="8"/>
              </w:numPr>
              <w:rPr>
                <w:rFonts w:ascii="Gill Sans" w:hAnsi="Gill Sans" w:cs="Gill Sans"/>
                <w:color w:val="000000"/>
                <w:szCs w:val="22"/>
                <w:lang w:val="en-AU"/>
              </w:rPr>
            </w:pPr>
            <w:r w:rsidRPr="00076E76">
              <w:rPr>
                <w:rFonts w:ascii="Gill Sans" w:hAnsi="Gill Sans" w:cs="Gill Sans"/>
                <w:color w:val="000000"/>
                <w:szCs w:val="22"/>
                <w:lang w:val="en-AU"/>
              </w:rPr>
              <w:t>Effort</w:t>
            </w:r>
          </w:p>
          <w:p w14:paraId="7E7ED8FE" w14:textId="77777777" w:rsidR="00FC3249" w:rsidRPr="00076E76" w:rsidRDefault="00FC3249" w:rsidP="00CB3272">
            <w:pPr>
              <w:pStyle w:val="ListParagraph"/>
              <w:numPr>
                <w:ilvl w:val="0"/>
                <w:numId w:val="8"/>
              </w:numPr>
              <w:rPr>
                <w:rFonts w:ascii="Gill Sans" w:hAnsi="Gill Sans" w:cs="Gill Sans"/>
                <w:color w:val="000000"/>
                <w:szCs w:val="22"/>
                <w:lang w:val="en-AU"/>
              </w:rPr>
            </w:pPr>
            <w:r w:rsidRPr="00076E76">
              <w:rPr>
                <w:rFonts w:ascii="Gill Sans" w:hAnsi="Gill Sans" w:cs="Gill Sans"/>
                <w:color w:val="000000"/>
                <w:szCs w:val="22"/>
                <w:lang w:val="en-AU"/>
              </w:rPr>
              <w:t>Orientation</w:t>
            </w:r>
          </w:p>
          <w:p w14:paraId="2DE53B9F" w14:textId="77777777" w:rsidR="00FC3249" w:rsidRPr="00076E76" w:rsidRDefault="00FC3249" w:rsidP="00CB3272">
            <w:pPr>
              <w:pStyle w:val="ListParagraph"/>
              <w:numPr>
                <w:ilvl w:val="0"/>
                <w:numId w:val="8"/>
              </w:numPr>
              <w:rPr>
                <w:rFonts w:ascii="Gill Sans" w:hAnsi="Gill Sans" w:cs="Gill Sans"/>
                <w:color w:val="000000"/>
                <w:szCs w:val="22"/>
                <w:lang w:val="en-AU"/>
              </w:rPr>
            </w:pPr>
            <w:proofErr w:type="spellStart"/>
            <w:r w:rsidRPr="00076E76">
              <w:rPr>
                <w:rFonts w:ascii="Gill Sans" w:hAnsi="Gill Sans" w:cs="Gill Sans"/>
                <w:color w:val="000000"/>
                <w:szCs w:val="22"/>
                <w:lang w:val="en-AU"/>
              </w:rPr>
              <w:t>Learning@Uni</w:t>
            </w:r>
            <w:proofErr w:type="spellEnd"/>
          </w:p>
          <w:p w14:paraId="30E351D2" w14:textId="77777777" w:rsidR="00FC3249" w:rsidRPr="00076E76" w:rsidRDefault="00FC3249" w:rsidP="00CB3272">
            <w:pPr>
              <w:pStyle w:val="ListParagraph"/>
              <w:numPr>
                <w:ilvl w:val="0"/>
                <w:numId w:val="8"/>
              </w:numPr>
              <w:rPr>
                <w:rFonts w:ascii="Gill Sans" w:hAnsi="Gill Sans" w:cs="Gill Sans"/>
                <w:color w:val="000000"/>
                <w:szCs w:val="22"/>
                <w:lang w:val="en-AU"/>
              </w:rPr>
            </w:pPr>
            <w:r w:rsidRPr="00076E76">
              <w:rPr>
                <w:rFonts w:ascii="Gill Sans" w:hAnsi="Gill Sans" w:cs="Gill Sans"/>
                <w:color w:val="000000"/>
                <w:szCs w:val="22"/>
                <w:lang w:val="en-AU"/>
              </w:rPr>
              <w:t>Culture</w:t>
            </w:r>
          </w:p>
          <w:p w14:paraId="0DF165C2" w14:textId="77777777" w:rsidR="00FC3249" w:rsidRPr="00076E76" w:rsidRDefault="00FC3249" w:rsidP="00CB3272">
            <w:pPr>
              <w:pStyle w:val="ListParagraph"/>
              <w:numPr>
                <w:ilvl w:val="0"/>
                <w:numId w:val="8"/>
              </w:numPr>
              <w:rPr>
                <w:rFonts w:ascii="Gill Sans" w:hAnsi="Gill Sans" w:cs="Gill Sans"/>
                <w:color w:val="000000"/>
                <w:szCs w:val="22"/>
                <w:lang w:val="en-AU"/>
              </w:rPr>
            </w:pPr>
            <w:r w:rsidRPr="00076E76">
              <w:rPr>
                <w:rFonts w:ascii="Gill Sans" w:hAnsi="Gill Sans" w:cs="Gill Sans"/>
                <w:color w:val="000000"/>
                <w:szCs w:val="22"/>
                <w:lang w:val="en-AU"/>
              </w:rPr>
              <w:t>Facilities</w:t>
            </w:r>
          </w:p>
          <w:p w14:paraId="15A52999" w14:textId="77777777" w:rsidR="00FC3249" w:rsidRPr="00076E76" w:rsidRDefault="00FC3249" w:rsidP="00CB3272">
            <w:pPr>
              <w:pStyle w:val="ListParagraph"/>
              <w:numPr>
                <w:ilvl w:val="0"/>
                <w:numId w:val="8"/>
              </w:numPr>
              <w:rPr>
                <w:rFonts w:ascii="Gill Sans" w:hAnsi="Gill Sans" w:cs="Gill Sans"/>
                <w:color w:val="000000"/>
                <w:szCs w:val="22"/>
                <w:lang w:val="en-AU"/>
              </w:rPr>
            </w:pPr>
            <w:r w:rsidRPr="00076E76">
              <w:rPr>
                <w:rFonts w:ascii="Gill Sans" w:hAnsi="Gill Sans" w:cs="Gill Sans"/>
                <w:color w:val="000000"/>
                <w:szCs w:val="22"/>
                <w:lang w:val="en-AU"/>
              </w:rPr>
              <w:t>Social</w:t>
            </w:r>
          </w:p>
          <w:p w14:paraId="3A076999" w14:textId="77777777" w:rsidR="00FC3249" w:rsidRPr="00076E76" w:rsidRDefault="00FC3249" w:rsidP="00CB3272">
            <w:pPr>
              <w:rPr>
                <w:rFonts w:ascii="Gill Sans" w:hAnsi="Gill Sans" w:cs="Gill Sans"/>
                <w:color w:val="000000"/>
                <w:szCs w:val="22"/>
                <w:lang w:val="en-AU"/>
              </w:rPr>
            </w:pPr>
            <w:r w:rsidRPr="00076E76">
              <w:rPr>
                <w:rFonts w:ascii="Gill Sans" w:hAnsi="Gill Sans" w:cs="Gill Sans"/>
                <w:color w:val="000000"/>
                <w:szCs w:val="22"/>
                <w:lang w:val="en-AU"/>
              </w:rPr>
              <w:t>These factors fell into two categories: student-centred enablers and university-led enablers</w:t>
            </w:r>
          </w:p>
          <w:p w14:paraId="4858B32F" w14:textId="5B5A7FAE" w:rsidR="00FC3249" w:rsidRPr="00076E76" w:rsidRDefault="00FC3249" w:rsidP="00CB3272">
            <w:pPr>
              <w:rPr>
                <w:rFonts w:ascii="Gill Sans" w:hAnsi="Gill Sans" w:cs="Gill Sans"/>
                <w:color w:val="000000"/>
                <w:szCs w:val="22"/>
                <w:lang w:val="en-AU"/>
              </w:rPr>
            </w:pPr>
            <w:r w:rsidRPr="00076E76">
              <w:rPr>
                <w:rFonts w:ascii="Gill Sans" w:hAnsi="Gill Sans" w:cs="Gill Sans"/>
                <w:color w:val="000000"/>
                <w:szCs w:val="22"/>
                <w:lang w:val="en-AU"/>
              </w:rPr>
              <w:lastRenderedPageBreak/>
              <w:t>Study, Effort &amp; Culture = endogenous [intrinsic] = STUDENT-CENTRED</w:t>
            </w:r>
          </w:p>
          <w:p w14:paraId="5502F540" w14:textId="795D1A2F" w:rsidR="00FC3249" w:rsidRPr="00076E76" w:rsidRDefault="00FC3249" w:rsidP="00CB3272">
            <w:pPr>
              <w:rPr>
                <w:rFonts w:ascii="Gill Sans" w:hAnsi="Gill Sans" w:cs="Gill Sans"/>
                <w:color w:val="000000"/>
                <w:szCs w:val="22"/>
                <w:lang w:val="en-AU"/>
              </w:rPr>
            </w:pPr>
            <w:r w:rsidRPr="00076E76">
              <w:rPr>
                <w:rFonts w:ascii="Gill Sans" w:hAnsi="Gill Sans" w:cs="Gill Sans"/>
                <w:color w:val="000000"/>
                <w:szCs w:val="22"/>
                <w:lang w:val="en-AU"/>
              </w:rPr>
              <w:t xml:space="preserve">Orientation, </w:t>
            </w:r>
            <w:proofErr w:type="spellStart"/>
            <w:r w:rsidRPr="00076E76">
              <w:rPr>
                <w:rFonts w:ascii="Gill Sans" w:hAnsi="Gill Sans" w:cs="Gill Sans"/>
                <w:color w:val="000000"/>
                <w:szCs w:val="22"/>
                <w:lang w:val="en-AU"/>
              </w:rPr>
              <w:t>Learning@Uni</w:t>
            </w:r>
            <w:proofErr w:type="spellEnd"/>
            <w:r w:rsidRPr="00076E76">
              <w:rPr>
                <w:rFonts w:ascii="Gill Sans" w:hAnsi="Gill Sans" w:cs="Gill Sans"/>
                <w:color w:val="000000"/>
                <w:szCs w:val="22"/>
                <w:lang w:val="en-AU"/>
              </w:rPr>
              <w:t>, Facilities and Social = exogenous [extrinsic] = UNIVERSITY-LED</w:t>
            </w:r>
            <w:r w:rsidRPr="00076E76">
              <w:rPr>
                <w:rFonts w:ascii="Gill Sans" w:hAnsi="Gill Sans" w:cs="Gill Sans"/>
                <w:b/>
                <w:color w:val="000000"/>
                <w:szCs w:val="22"/>
                <w:lang w:val="en-AU"/>
              </w:rPr>
              <w:br/>
              <w:t xml:space="preserve">Core argument: </w:t>
            </w:r>
            <w:r w:rsidRPr="00076E76">
              <w:rPr>
                <w:rFonts w:ascii="Gill Sans" w:hAnsi="Gill Sans" w:cs="Gill Sans"/>
                <w:color w:val="000000"/>
                <w:szCs w:val="22"/>
                <w:lang w:val="en-AU"/>
              </w:rPr>
              <w:t>There are two types of enablers (as perceived by students, as categorised by researchers): student-centred and university-led. These warrant further exploration: how do these types interact, how important are each type/ each factor etc.</w:t>
            </w:r>
          </w:p>
        </w:tc>
      </w:tr>
      <w:tr w:rsidR="006560E5" w:rsidRPr="00076E76" w14:paraId="4AE21CE2" w14:textId="77777777" w:rsidTr="002E557C">
        <w:tc>
          <w:tcPr>
            <w:tcW w:w="5529" w:type="dxa"/>
          </w:tcPr>
          <w:p w14:paraId="78C56DEC" w14:textId="1933922E" w:rsidR="006560E5" w:rsidRDefault="006560E5" w:rsidP="00FA514E">
            <w:pPr>
              <w:rPr>
                <w:rFonts w:ascii="Gill Sans" w:hAnsi="Gill Sans" w:cs="Gill Sans"/>
                <w:szCs w:val="22"/>
              </w:rPr>
            </w:pPr>
            <w:r w:rsidRPr="00076E76">
              <w:rPr>
                <w:rFonts w:ascii="Gill Sans" w:hAnsi="Gill Sans" w:cs="Gill Sans"/>
                <w:szCs w:val="22"/>
              </w:rPr>
              <w:lastRenderedPageBreak/>
              <w:t>Breeze</w:t>
            </w:r>
            <w:r w:rsidR="00B26D0D" w:rsidRPr="00076E76">
              <w:rPr>
                <w:rFonts w:ascii="Gill Sans" w:hAnsi="Gill Sans" w:cs="Gill Sans"/>
                <w:szCs w:val="22"/>
              </w:rPr>
              <w:t>, M., Johnson, K</w:t>
            </w:r>
            <w:r w:rsidR="001D4BCD">
              <w:rPr>
                <w:rFonts w:ascii="Gill Sans" w:hAnsi="Gill Sans" w:cs="Gill Sans"/>
                <w:szCs w:val="22"/>
              </w:rPr>
              <w:t xml:space="preserve">. </w:t>
            </w:r>
            <w:r w:rsidR="00B26D0D" w:rsidRPr="00076E76">
              <w:rPr>
                <w:rFonts w:ascii="Gill Sans" w:hAnsi="Gill Sans" w:cs="Gill Sans"/>
                <w:szCs w:val="22"/>
              </w:rPr>
              <w:t xml:space="preserve"> &amp; </w:t>
            </w:r>
            <w:proofErr w:type="spellStart"/>
            <w:r w:rsidR="00B26D0D" w:rsidRPr="00076E76">
              <w:rPr>
                <w:rFonts w:ascii="Gill Sans" w:hAnsi="Gill Sans" w:cs="Gill Sans"/>
                <w:szCs w:val="22"/>
              </w:rPr>
              <w:t>Uytman</w:t>
            </w:r>
            <w:proofErr w:type="spellEnd"/>
            <w:r w:rsidR="00B26D0D" w:rsidRPr="00076E76">
              <w:rPr>
                <w:rFonts w:ascii="Gill Sans" w:hAnsi="Gill Sans" w:cs="Gill Sans"/>
                <w:szCs w:val="22"/>
              </w:rPr>
              <w:t xml:space="preserve">, C. (2018). </w:t>
            </w:r>
            <w:hyperlink r:id="rId27" w:history="1">
              <w:r w:rsidR="00B26D0D" w:rsidRPr="009D7F61">
                <w:rPr>
                  <w:rStyle w:val="Hyperlink"/>
                  <w:rFonts w:ascii="Gill Sans" w:hAnsi="Gill Sans" w:cs="Gill Sans"/>
                  <w:szCs w:val="22"/>
                </w:rPr>
                <w:t>What (and who) works in widening participation? Supporting direct entrant student transitions to higher education</w:t>
              </w:r>
            </w:hyperlink>
            <w:r w:rsidR="00B26D0D" w:rsidRPr="00076E76">
              <w:rPr>
                <w:rFonts w:ascii="Gill Sans" w:hAnsi="Gill Sans" w:cs="Gill Sans"/>
                <w:szCs w:val="22"/>
              </w:rPr>
              <w:t xml:space="preserve">, </w:t>
            </w:r>
            <w:r w:rsidR="00B26D0D" w:rsidRPr="00076E76">
              <w:rPr>
                <w:rFonts w:ascii="Gill Sans" w:hAnsi="Gill Sans" w:cs="Gill Sans"/>
                <w:i/>
                <w:szCs w:val="22"/>
              </w:rPr>
              <w:t>Teaching in Higher Education</w:t>
            </w:r>
            <w:r w:rsidR="004241BC">
              <w:rPr>
                <w:rFonts w:ascii="Gill Sans" w:hAnsi="Gill Sans" w:cs="Gill Sans"/>
                <w:i/>
                <w:szCs w:val="22"/>
              </w:rPr>
              <w:t xml:space="preserve">, </w:t>
            </w:r>
            <w:r w:rsidR="009D7F61">
              <w:rPr>
                <w:rFonts w:ascii="Gill Sans" w:hAnsi="Gill Sans" w:cs="Gill Sans"/>
                <w:szCs w:val="22"/>
              </w:rPr>
              <w:t>25(1), 18–35.</w:t>
            </w:r>
          </w:p>
          <w:p w14:paraId="4916FE5B" w14:textId="77777777" w:rsidR="004241BC" w:rsidRDefault="004241BC" w:rsidP="00FA514E">
            <w:pPr>
              <w:rPr>
                <w:rFonts w:ascii="Gill Sans" w:hAnsi="Gill Sans" w:cs="Gill Sans"/>
                <w:szCs w:val="22"/>
              </w:rPr>
            </w:pPr>
          </w:p>
          <w:p w14:paraId="1228BA36" w14:textId="494CE273" w:rsidR="004241BC" w:rsidRDefault="004241BC" w:rsidP="00FA514E">
            <w:pPr>
              <w:rPr>
                <w:rFonts w:ascii="Gill Sans" w:hAnsi="Gill Sans" w:cs="Gill Sans"/>
                <w:szCs w:val="22"/>
              </w:rPr>
            </w:pPr>
            <w:r>
              <w:rPr>
                <w:rFonts w:ascii="Gill Sans" w:hAnsi="Gill Sans" w:cs="Gill Sans"/>
                <w:szCs w:val="22"/>
              </w:rPr>
              <w:t>UK</w:t>
            </w:r>
            <w:r w:rsidR="005C4994">
              <w:rPr>
                <w:rFonts w:ascii="Gill Sans" w:hAnsi="Gill Sans" w:cs="Gill Sans"/>
                <w:szCs w:val="22"/>
              </w:rPr>
              <w:t xml:space="preserve"> (SCO)</w:t>
            </w:r>
          </w:p>
          <w:p w14:paraId="1E958036" w14:textId="77777777" w:rsidR="00567851" w:rsidRPr="00076E76" w:rsidRDefault="00567851" w:rsidP="00567851">
            <w:pPr>
              <w:rPr>
                <w:rFonts w:ascii="Gill Sans" w:hAnsi="Gill Sans" w:cs="Gill Sans"/>
                <w:szCs w:val="22"/>
              </w:rPr>
            </w:pPr>
            <w:r w:rsidRPr="00076E76">
              <w:rPr>
                <w:rFonts w:ascii="Gill Sans" w:hAnsi="Gill Sans" w:cs="Gill Sans"/>
                <w:szCs w:val="22"/>
              </w:rPr>
              <w:t>Annotation by Sally Baker</w:t>
            </w:r>
          </w:p>
          <w:p w14:paraId="1F6B6625" w14:textId="77777777" w:rsidR="004241BC" w:rsidRDefault="004241BC" w:rsidP="00FA514E">
            <w:pPr>
              <w:rPr>
                <w:rFonts w:ascii="Gill Sans" w:hAnsi="Gill Sans" w:cs="Gill Sans"/>
                <w:szCs w:val="22"/>
              </w:rPr>
            </w:pPr>
          </w:p>
          <w:p w14:paraId="39DEAB5B" w14:textId="1442BC46" w:rsidR="004241BC" w:rsidRPr="004241BC" w:rsidRDefault="004241BC" w:rsidP="004241BC">
            <w:pPr>
              <w:rPr>
                <w:rFonts w:ascii="Gill Sans" w:hAnsi="Gill Sans" w:cs="Gill Sans"/>
                <w:szCs w:val="22"/>
              </w:rPr>
            </w:pPr>
            <w:r>
              <w:rPr>
                <w:rFonts w:ascii="Gill Sans" w:hAnsi="Gill Sans" w:cs="Gill Sans"/>
                <w:szCs w:val="22"/>
              </w:rPr>
              <w:t xml:space="preserve">Keywords: </w:t>
            </w:r>
            <w:r w:rsidRPr="004241BC">
              <w:rPr>
                <w:rFonts w:ascii="Gill Sans" w:hAnsi="Gill Sans" w:cs="Gill Sans"/>
                <w:i/>
                <w:szCs w:val="22"/>
              </w:rPr>
              <w:t>Higher education; widening access and participation; student transitions; direct entrants</w:t>
            </w:r>
          </w:p>
        </w:tc>
        <w:tc>
          <w:tcPr>
            <w:tcW w:w="10064" w:type="dxa"/>
          </w:tcPr>
          <w:p w14:paraId="76FD7E07" w14:textId="77777777" w:rsidR="0036630F" w:rsidRPr="0036630F" w:rsidRDefault="00B26D0D" w:rsidP="0036630F">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sidR="004241BC">
              <w:rPr>
                <w:rFonts w:ascii="Gill Sans" w:hAnsi="Gill Sans" w:cs="Gill Sans"/>
                <w:color w:val="000000"/>
                <w:szCs w:val="22"/>
                <w:lang w:val="en-AU"/>
              </w:rPr>
              <w:t>Support programs for direct entrant (DE) students</w:t>
            </w:r>
            <w:r w:rsidR="005C4994">
              <w:rPr>
                <w:rFonts w:ascii="Gill Sans" w:hAnsi="Gill Sans" w:cs="Gill Sans"/>
                <w:color w:val="000000"/>
                <w:szCs w:val="22"/>
                <w:lang w:val="en-AU"/>
              </w:rPr>
              <w:t xml:space="preserve"> [students transitioning from Further Education</w:t>
            </w:r>
            <w:r w:rsidR="004241BC">
              <w:rPr>
                <w:rFonts w:ascii="Gill Sans" w:hAnsi="Gill Sans" w:cs="Gill Sans"/>
                <w:color w:val="000000"/>
                <w:szCs w:val="22"/>
                <w:lang w:val="en-AU"/>
              </w:rPr>
              <w:t xml:space="preserve"> </w:t>
            </w:r>
            <w:r w:rsidR="005C4994">
              <w:rPr>
                <w:rFonts w:ascii="Gill Sans" w:hAnsi="Gill Sans" w:cs="Gill Sans"/>
                <w:color w:val="000000"/>
                <w:szCs w:val="22"/>
                <w:lang w:val="en-AU"/>
              </w:rPr>
              <w:t xml:space="preserve">directly into Year 2 of </w:t>
            </w:r>
            <w:r w:rsidR="0036630F">
              <w:rPr>
                <w:rFonts w:ascii="Gill Sans" w:hAnsi="Gill Sans" w:cs="Gill Sans"/>
                <w:color w:val="000000"/>
                <w:szCs w:val="22"/>
                <w:lang w:val="en-AU"/>
              </w:rPr>
              <w:t xml:space="preserve">the following </w:t>
            </w:r>
            <w:r w:rsidR="005C4994">
              <w:rPr>
                <w:rFonts w:ascii="Gill Sans" w:hAnsi="Gill Sans" w:cs="Gill Sans"/>
                <w:color w:val="000000"/>
                <w:szCs w:val="22"/>
                <w:lang w:val="en-AU"/>
              </w:rPr>
              <w:t>undergraduate programs</w:t>
            </w:r>
            <w:r w:rsidR="0036630F">
              <w:rPr>
                <w:rFonts w:ascii="Gill Sans" w:hAnsi="Gill Sans" w:cs="Gill Sans"/>
                <w:color w:val="000000"/>
                <w:szCs w:val="22"/>
                <w:lang w:val="en-AU"/>
              </w:rPr>
              <w:t xml:space="preserve">: </w:t>
            </w:r>
            <w:r w:rsidR="0036630F" w:rsidRPr="0036630F">
              <w:rPr>
                <w:rFonts w:ascii="Gill Sans" w:hAnsi="Gill Sans" w:cs="Gill Sans"/>
                <w:color w:val="000000"/>
                <w:szCs w:val="22"/>
                <w:lang w:val="en-AU"/>
              </w:rPr>
              <w:t>Psychology, Public Sociology, and Psychology</w:t>
            </w:r>
          </w:p>
          <w:p w14:paraId="2676229F" w14:textId="4BC1D127" w:rsidR="00B26D0D" w:rsidRPr="00460D60" w:rsidRDefault="0036630F" w:rsidP="00460D60">
            <w:pPr>
              <w:rPr>
                <w:rFonts w:ascii="Gill Sans" w:hAnsi="Gill Sans" w:cs="Gill Sans"/>
                <w:color w:val="000000"/>
                <w:szCs w:val="22"/>
              </w:rPr>
            </w:pPr>
            <w:r w:rsidRPr="0036630F">
              <w:rPr>
                <w:rFonts w:ascii="Gill Sans" w:hAnsi="Gill Sans" w:cs="Gill Sans"/>
                <w:color w:val="000000"/>
                <w:szCs w:val="22"/>
                <w:lang w:val="en-AU"/>
              </w:rPr>
              <w:t>and Sociology (joint honours)</w:t>
            </w:r>
            <w:r w:rsidR="005C4994">
              <w:rPr>
                <w:rFonts w:ascii="Gill Sans" w:hAnsi="Gill Sans" w:cs="Gill Sans"/>
                <w:color w:val="000000"/>
                <w:szCs w:val="22"/>
                <w:lang w:val="en-AU"/>
              </w:rPr>
              <w:t xml:space="preserve">] </w:t>
            </w:r>
            <w:r w:rsidR="004241BC">
              <w:rPr>
                <w:rFonts w:ascii="Gill Sans" w:hAnsi="Gill Sans" w:cs="Gill Sans"/>
                <w:color w:val="000000"/>
                <w:szCs w:val="22"/>
                <w:lang w:val="en-AU"/>
              </w:rPr>
              <w:t xml:space="preserve">in </w:t>
            </w:r>
            <w:r w:rsidR="005C4994">
              <w:rPr>
                <w:rFonts w:ascii="Gill Sans" w:hAnsi="Gill Sans" w:cs="Gill Sans"/>
                <w:color w:val="000000"/>
                <w:szCs w:val="22"/>
                <w:lang w:val="en-AU"/>
              </w:rPr>
              <w:t>Scotland</w:t>
            </w:r>
            <w:r w:rsidR="00D6586B">
              <w:rPr>
                <w:rFonts w:ascii="Gill Sans" w:hAnsi="Gill Sans" w:cs="Gill Sans"/>
                <w:color w:val="000000"/>
                <w:szCs w:val="22"/>
                <w:lang w:val="en-AU"/>
              </w:rPr>
              <w:t xml:space="preserve">. Authors evaluate an induction and support program, using focus group data to assess </w:t>
            </w:r>
            <w:r w:rsidR="00D6586B">
              <w:rPr>
                <w:rFonts w:ascii="Gill Sans" w:hAnsi="Gill Sans" w:cs="Gill Sans"/>
                <w:i/>
                <w:color w:val="000000"/>
                <w:szCs w:val="22"/>
                <w:lang w:val="en-AU"/>
              </w:rPr>
              <w:t xml:space="preserve">what </w:t>
            </w:r>
            <w:r w:rsidR="00D6586B">
              <w:rPr>
                <w:rFonts w:ascii="Gill Sans" w:hAnsi="Gill Sans" w:cs="Gill Sans"/>
                <w:color w:val="000000"/>
                <w:szCs w:val="22"/>
                <w:lang w:val="en-AU"/>
              </w:rPr>
              <w:t xml:space="preserve">works and </w:t>
            </w:r>
            <w:r w:rsidR="00D6586B">
              <w:rPr>
                <w:rFonts w:ascii="Gill Sans" w:hAnsi="Gill Sans" w:cs="Gill Sans"/>
                <w:i/>
                <w:color w:val="000000"/>
                <w:szCs w:val="22"/>
                <w:lang w:val="en-AU"/>
              </w:rPr>
              <w:t xml:space="preserve">who </w:t>
            </w:r>
            <w:r w:rsidR="00D6586B">
              <w:rPr>
                <w:rFonts w:ascii="Gill Sans" w:hAnsi="Gill Sans" w:cs="Gill Sans"/>
                <w:color w:val="000000"/>
                <w:szCs w:val="22"/>
                <w:lang w:val="en-AU"/>
              </w:rPr>
              <w:t>works</w:t>
            </w:r>
            <w:r w:rsidR="00D606A7">
              <w:rPr>
                <w:rFonts w:ascii="Gill Sans" w:hAnsi="Gill Sans" w:cs="Gill Sans"/>
                <w:color w:val="000000"/>
                <w:szCs w:val="22"/>
                <w:lang w:val="en-AU"/>
              </w:rPr>
              <w:t>. Authors cite work that recognises the non-linear/ complex journeys that constitute students’ transitions, especially for DE students</w:t>
            </w:r>
            <w:r>
              <w:rPr>
                <w:rFonts w:ascii="Gill Sans" w:hAnsi="Gill Sans" w:cs="Gill Sans"/>
                <w:color w:val="000000"/>
                <w:szCs w:val="22"/>
                <w:lang w:val="en-AU"/>
              </w:rPr>
              <w:t>. Because of the cohort, the authors argue that this article sits at the intersection of transitions and widening participation research/ practice/ policy</w:t>
            </w:r>
            <w:r w:rsidR="0046037E">
              <w:rPr>
                <w:rFonts w:ascii="Gill Sans" w:hAnsi="Gill Sans" w:cs="Gill Sans"/>
                <w:color w:val="000000"/>
                <w:szCs w:val="22"/>
                <w:lang w:val="en-AU"/>
              </w:rPr>
              <w:t>. Authors note other work that has considered DE students’ transitions, and the challenges that are caused particularly by the need to become/ shift to being independent</w:t>
            </w:r>
            <w:r w:rsidR="00D747A6">
              <w:rPr>
                <w:rFonts w:ascii="Gill Sans" w:hAnsi="Gill Sans" w:cs="Gill Sans"/>
                <w:color w:val="000000"/>
                <w:szCs w:val="22"/>
                <w:lang w:val="en-AU"/>
              </w:rPr>
              <w:t>. Authors also note the myriad other challenges that DE students face</w:t>
            </w:r>
            <w:r w:rsidR="00460D60">
              <w:rPr>
                <w:rFonts w:ascii="Gill Sans" w:hAnsi="Gill Sans" w:cs="Gill Sans"/>
                <w:color w:val="000000"/>
                <w:szCs w:val="22"/>
                <w:lang w:val="en-AU"/>
              </w:rPr>
              <w:t xml:space="preserve"> mean “</w:t>
            </w:r>
            <w:r w:rsidR="00460D60" w:rsidRPr="00460D60">
              <w:rPr>
                <w:rFonts w:ascii="Gill Sans" w:hAnsi="Gill Sans" w:cs="Gill Sans"/>
                <w:color w:val="000000"/>
                <w:szCs w:val="22"/>
              </w:rPr>
              <w:t>it is unsurprising that existing research highlights</w:t>
            </w:r>
            <w:r w:rsidR="00460D60">
              <w:rPr>
                <w:rFonts w:ascii="Gill Sans" w:hAnsi="Gill Sans" w:cs="Gill Sans"/>
                <w:color w:val="000000"/>
                <w:szCs w:val="22"/>
              </w:rPr>
              <w:t xml:space="preserve"> </w:t>
            </w:r>
            <w:r w:rsidR="00460D60" w:rsidRPr="00460D60">
              <w:rPr>
                <w:rFonts w:ascii="Gill Sans" w:hAnsi="Gill Sans" w:cs="Gill Sans"/>
                <w:color w:val="000000"/>
                <w:szCs w:val="22"/>
              </w:rPr>
              <w:t>the barriers encountered by DE students, and reveals that on-going transition support</w:t>
            </w:r>
            <w:r w:rsidR="00460D60">
              <w:rPr>
                <w:rFonts w:ascii="Gill Sans" w:hAnsi="Gill Sans" w:cs="Gill Sans"/>
                <w:color w:val="000000"/>
                <w:szCs w:val="22"/>
              </w:rPr>
              <w:t xml:space="preserve"> </w:t>
            </w:r>
            <w:r w:rsidR="00460D60" w:rsidRPr="00460D60">
              <w:rPr>
                <w:rFonts w:ascii="Gill Sans" w:hAnsi="Gill Sans" w:cs="Gill Sans"/>
                <w:color w:val="000000"/>
                <w:szCs w:val="22"/>
              </w:rPr>
              <w:t>is required, rather than the simple provision of places and funding</w:t>
            </w:r>
            <w:r w:rsidR="00460D60">
              <w:rPr>
                <w:rFonts w:ascii="Gill Sans" w:hAnsi="Gill Sans" w:cs="Gill Sans"/>
                <w:color w:val="000000"/>
                <w:szCs w:val="22"/>
              </w:rPr>
              <w:t xml:space="preserve">” (p.3–4). Challenges include: adapting to a new culture, unfamiliar systems and staff, </w:t>
            </w:r>
            <w:r w:rsidR="006057C6">
              <w:rPr>
                <w:rFonts w:ascii="Gill Sans" w:hAnsi="Gill Sans" w:cs="Gill Sans"/>
                <w:color w:val="000000"/>
                <w:szCs w:val="22"/>
              </w:rPr>
              <w:t>impact of subordinated FE sector to HE, risk of individualizing DE transitions (rational choice model)</w:t>
            </w:r>
          </w:p>
          <w:p w14:paraId="1D1AF432" w14:textId="186AE1F9" w:rsidR="00B26D0D" w:rsidRPr="00EA0819" w:rsidRDefault="00B26D0D" w:rsidP="00EA0819">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sidR="00EA0819">
              <w:rPr>
                <w:rFonts w:ascii="Gill Sans" w:hAnsi="Gill Sans" w:cs="Gill Sans"/>
                <w:color w:val="000000"/>
                <w:szCs w:val="22"/>
                <w:lang w:val="en-AU"/>
              </w:rPr>
              <w:t>To ask “</w:t>
            </w:r>
            <w:r w:rsidR="00EA0819" w:rsidRPr="00EA0819">
              <w:rPr>
                <w:rFonts w:ascii="Gill Sans" w:hAnsi="Gill Sans" w:cs="Gill Sans"/>
                <w:color w:val="000000"/>
                <w:szCs w:val="22"/>
                <w:lang w:val="en-AU"/>
              </w:rPr>
              <w:t>how universities can better adapt to the</w:t>
            </w:r>
            <w:r w:rsidR="00EA0819">
              <w:rPr>
                <w:rFonts w:ascii="Gill Sans" w:hAnsi="Gill Sans" w:cs="Gill Sans"/>
                <w:color w:val="000000"/>
                <w:szCs w:val="22"/>
                <w:lang w:val="en-AU"/>
              </w:rPr>
              <w:t xml:space="preserve"> </w:t>
            </w:r>
            <w:r w:rsidR="00EA0819" w:rsidRPr="00EA0819">
              <w:rPr>
                <w:rFonts w:ascii="Gill Sans" w:hAnsi="Gill Sans" w:cs="Gill Sans"/>
                <w:color w:val="000000"/>
                <w:szCs w:val="22"/>
                <w:lang w:val="en-AU"/>
              </w:rPr>
              <w:t>nee</w:t>
            </w:r>
            <w:r w:rsidR="00EA0819">
              <w:rPr>
                <w:rFonts w:ascii="Gill Sans" w:hAnsi="Gill Sans" w:cs="Gill Sans"/>
                <w:color w:val="000000"/>
                <w:szCs w:val="22"/>
                <w:lang w:val="en-AU"/>
              </w:rPr>
              <w:t>ds of DE students in transition” while avoiding an individualised view (p.5)</w:t>
            </w:r>
          </w:p>
          <w:p w14:paraId="4153151B" w14:textId="084913D4" w:rsidR="00B26D0D" w:rsidRPr="00EA0819" w:rsidRDefault="00B26D0D" w:rsidP="00B26D0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00EA0819">
              <w:rPr>
                <w:rFonts w:ascii="Gill Sans" w:hAnsi="Gill Sans" w:cs="Gill Sans"/>
                <w:color w:val="000000"/>
                <w:szCs w:val="22"/>
                <w:lang w:val="en-AU"/>
              </w:rPr>
              <w:t xml:space="preserve">Project based around </w:t>
            </w:r>
            <w:r w:rsidR="00284BAF">
              <w:rPr>
                <w:rFonts w:ascii="Gill Sans" w:hAnsi="Gill Sans" w:cs="Gill Sans"/>
                <w:color w:val="000000"/>
                <w:szCs w:val="22"/>
                <w:lang w:val="en-AU"/>
              </w:rPr>
              <w:t>DE Transition (DET) intervention, which has two components: welcome quiz/ bespoke workshops</w:t>
            </w:r>
            <w:r w:rsidR="00146134">
              <w:rPr>
                <w:rFonts w:ascii="Gill Sans" w:hAnsi="Gill Sans" w:cs="Gill Sans"/>
                <w:color w:val="000000"/>
                <w:szCs w:val="22"/>
                <w:lang w:val="en-AU"/>
              </w:rPr>
              <w:t>. Data for evaluation collected via focus groups with DE students (n=4</w:t>
            </w:r>
            <w:r w:rsidR="007B2ED4">
              <w:rPr>
                <w:rFonts w:ascii="Gill Sans" w:hAnsi="Gill Sans" w:cs="Gill Sans"/>
                <w:color w:val="000000"/>
                <w:szCs w:val="22"/>
                <w:lang w:val="en-AU"/>
              </w:rPr>
              <w:t>: 1m, 3f/ 1 mature age</w:t>
            </w:r>
            <w:r w:rsidR="00146134">
              <w:rPr>
                <w:rFonts w:ascii="Gill Sans" w:hAnsi="Gill Sans" w:cs="Gill Sans"/>
                <w:color w:val="000000"/>
                <w:szCs w:val="22"/>
                <w:lang w:val="en-AU"/>
              </w:rPr>
              <w:t>)</w:t>
            </w:r>
            <w:r w:rsidR="007B2ED4">
              <w:rPr>
                <w:rFonts w:ascii="Gill Sans" w:hAnsi="Gill Sans" w:cs="Gill Sans"/>
                <w:color w:val="000000"/>
                <w:szCs w:val="22"/>
                <w:lang w:val="en-AU"/>
              </w:rPr>
              <w:t xml:space="preserve"> </w:t>
            </w:r>
          </w:p>
          <w:p w14:paraId="768A7332" w14:textId="77777777" w:rsidR="007B2ED4" w:rsidRDefault="00B26D0D" w:rsidP="00784A77">
            <w:pPr>
              <w:rPr>
                <w:rFonts w:ascii="Gill Sans" w:hAnsi="Gill Sans" w:cs="Gill Sans"/>
                <w:color w:val="000000"/>
                <w:szCs w:val="22"/>
              </w:rPr>
            </w:pPr>
            <w:r w:rsidRPr="00076E76">
              <w:rPr>
                <w:rFonts w:ascii="Gill Sans" w:hAnsi="Gill Sans" w:cs="Gill Sans"/>
                <w:b/>
                <w:color w:val="000000"/>
                <w:szCs w:val="22"/>
                <w:lang w:val="en-AU"/>
              </w:rPr>
              <w:t xml:space="preserve">Findings: </w:t>
            </w:r>
            <w:r w:rsidR="00784A77">
              <w:rPr>
                <w:rFonts w:ascii="Gill Sans" w:hAnsi="Gill Sans" w:cs="Gill Sans"/>
                <w:color w:val="000000"/>
                <w:szCs w:val="22"/>
              </w:rPr>
              <w:t>F</w:t>
            </w:r>
            <w:r w:rsidR="00784A77" w:rsidRPr="00784A77">
              <w:rPr>
                <w:rFonts w:ascii="Gill Sans" w:hAnsi="Gill Sans" w:cs="Gill Sans"/>
                <w:color w:val="000000"/>
                <w:szCs w:val="22"/>
              </w:rPr>
              <w:t>our key themes: (1) academic skills and independent learning (2) complicating</w:t>
            </w:r>
            <w:r w:rsidR="00784A77">
              <w:rPr>
                <w:rFonts w:ascii="Gill Sans" w:hAnsi="Gill Sans" w:cs="Gill Sans"/>
                <w:color w:val="000000"/>
                <w:szCs w:val="22"/>
              </w:rPr>
              <w:t xml:space="preserve"> </w:t>
            </w:r>
            <w:r w:rsidR="00784A77" w:rsidRPr="00784A77">
              <w:rPr>
                <w:rFonts w:ascii="Gill Sans" w:hAnsi="Gill Sans" w:cs="Gill Sans"/>
                <w:color w:val="000000"/>
                <w:szCs w:val="22"/>
              </w:rPr>
              <w:t>relationships with staff (3) complicating peer support (4) everyday logistics of higher education.</w:t>
            </w:r>
          </w:p>
          <w:p w14:paraId="00858511" w14:textId="77777777" w:rsidR="008A2887" w:rsidRDefault="007B2ED4" w:rsidP="00784A77">
            <w:pPr>
              <w:rPr>
                <w:rFonts w:ascii="Gill Sans" w:hAnsi="Gill Sans" w:cs="Gill Sans"/>
                <w:color w:val="000000"/>
                <w:szCs w:val="22"/>
              </w:rPr>
            </w:pPr>
            <w:r>
              <w:rPr>
                <w:rFonts w:ascii="Gill Sans" w:hAnsi="Gill Sans" w:cs="Gill Sans"/>
                <w:color w:val="000000"/>
                <w:szCs w:val="22"/>
              </w:rPr>
              <w:t>Students repeated issue of difference between FE and HE</w:t>
            </w:r>
            <w:r w:rsidR="00BE4FFB">
              <w:rPr>
                <w:rFonts w:ascii="Gill Sans" w:hAnsi="Gill Sans" w:cs="Gill Sans"/>
                <w:color w:val="000000"/>
                <w:szCs w:val="22"/>
              </w:rPr>
              <w:t xml:space="preserve"> – particularly with regard to academic literacies and conventions, lower than expected grades, less guidance for assessments. Students suggested more experience prior to transition (e.g. summer school)</w:t>
            </w:r>
          </w:p>
          <w:p w14:paraId="7426A3A4" w14:textId="77777777" w:rsidR="005A6503" w:rsidRDefault="008A2887" w:rsidP="00784A77">
            <w:pPr>
              <w:rPr>
                <w:rFonts w:ascii="Gill Sans" w:hAnsi="Gill Sans" w:cs="Gill Sans"/>
                <w:color w:val="000000"/>
                <w:szCs w:val="22"/>
              </w:rPr>
            </w:pPr>
            <w:r>
              <w:rPr>
                <w:rFonts w:ascii="Gill Sans" w:hAnsi="Gill Sans" w:cs="Gill Sans"/>
                <w:color w:val="000000"/>
                <w:szCs w:val="22"/>
              </w:rPr>
              <w:t>Students also repeated concerns about different relationships with staff – characterized by unwillingness to ask for help at university and fear of being seen as not coping</w:t>
            </w:r>
            <w:r w:rsidR="005A6503">
              <w:rPr>
                <w:rFonts w:ascii="Gill Sans" w:hAnsi="Gill Sans" w:cs="Gill Sans"/>
                <w:color w:val="000000"/>
                <w:szCs w:val="22"/>
              </w:rPr>
              <w:t>.</w:t>
            </w:r>
          </w:p>
          <w:p w14:paraId="1EE8A8B3" w14:textId="77777777" w:rsidR="00324C3C" w:rsidRDefault="005A6503" w:rsidP="00784A77">
            <w:pPr>
              <w:rPr>
                <w:rFonts w:ascii="Gill Sans" w:hAnsi="Gill Sans" w:cs="Gill Sans"/>
                <w:color w:val="000000"/>
                <w:szCs w:val="22"/>
              </w:rPr>
            </w:pPr>
            <w:r>
              <w:rPr>
                <w:rFonts w:ascii="Gill Sans" w:hAnsi="Gill Sans" w:cs="Gill Sans"/>
                <w:color w:val="000000"/>
                <w:szCs w:val="22"/>
              </w:rPr>
              <w:t xml:space="preserve">With regard to peer mentoring support, the participants reported some </w:t>
            </w:r>
            <w:r w:rsidR="00324C3C">
              <w:rPr>
                <w:rFonts w:ascii="Gill Sans" w:hAnsi="Gill Sans" w:cs="Gill Sans"/>
                <w:color w:val="000000"/>
                <w:szCs w:val="22"/>
              </w:rPr>
              <w:t>surprising misinformation, suggesting that this activity needs more careful consideration, particularly with regard to the recruiting of mentors.</w:t>
            </w:r>
          </w:p>
          <w:p w14:paraId="20CBCD8C" w14:textId="7D41CAC3" w:rsidR="00577BA8" w:rsidRDefault="00324C3C" w:rsidP="00784A77">
            <w:pPr>
              <w:rPr>
                <w:rFonts w:ascii="Gill Sans" w:hAnsi="Gill Sans" w:cs="Gill Sans"/>
                <w:color w:val="000000"/>
                <w:szCs w:val="22"/>
              </w:rPr>
            </w:pPr>
            <w:r>
              <w:rPr>
                <w:rFonts w:ascii="Gill Sans" w:hAnsi="Gill Sans" w:cs="Gill Sans"/>
                <w:color w:val="000000"/>
                <w:szCs w:val="22"/>
              </w:rPr>
              <w:t xml:space="preserve">Authors claim that participants reporting of procedural/ logistical issues (e.g. navigating campus, </w:t>
            </w:r>
            <w:r w:rsidR="0026394A">
              <w:rPr>
                <w:rFonts w:ascii="Gill Sans" w:hAnsi="Gill Sans" w:cs="Gill Sans"/>
                <w:color w:val="000000"/>
                <w:szCs w:val="22"/>
              </w:rPr>
              <w:t xml:space="preserve">room </w:t>
            </w:r>
            <w:r w:rsidR="0026394A">
              <w:rPr>
                <w:rFonts w:ascii="Gill Sans" w:hAnsi="Gill Sans" w:cs="Gill Sans"/>
                <w:color w:val="000000"/>
                <w:szCs w:val="22"/>
              </w:rPr>
              <w:lastRenderedPageBreak/>
              <w:t>numbering) are not really reported in the literature. Participants in this study found adapting to the geographic layout of their new environments as challenging. This shift</w:t>
            </w:r>
            <w:r w:rsidR="00577BA8">
              <w:rPr>
                <w:rFonts w:ascii="Gill Sans" w:hAnsi="Gill Sans" w:cs="Gill Sans"/>
                <w:color w:val="000000"/>
                <w:szCs w:val="22"/>
              </w:rPr>
              <w:t>ed what the authors viewed as a</w:t>
            </w:r>
            <w:r w:rsidR="0026394A">
              <w:rPr>
                <w:rFonts w:ascii="Gill Sans" w:hAnsi="Gill Sans" w:cs="Gill Sans"/>
                <w:color w:val="000000"/>
                <w:szCs w:val="22"/>
              </w:rPr>
              <w:t xml:space="preserve"> WP issue</w:t>
            </w:r>
            <w:r w:rsidR="00577BA8">
              <w:rPr>
                <w:rFonts w:ascii="Gill Sans" w:hAnsi="Gill Sans" w:cs="Gill Sans"/>
                <w:color w:val="000000"/>
                <w:szCs w:val="22"/>
              </w:rPr>
              <w:t>.</w:t>
            </w:r>
          </w:p>
          <w:p w14:paraId="1DB99F75" w14:textId="77777777" w:rsidR="00941FD7" w:rsidRDefault="00577BA8" w:rsidP="00577BA8">
            <w:pPr>
              <w:rPr>
                <w:rFonts w:ascii="Gill Sans" w:hAnsi="Gill Sans" w:cs="Gill Sans"/>
                <w:color w:val="000000"/>
                <w:szCs w:val="22"/>
              </w:rPr>
            </w:pPr>
            <w:r>
              <w:rPr>
                <w:rFonts w:ascii="Gill Sans" w:hAnsi="Gill Sans" w:cs="Gill Sans"/>
                <w:color w:val="000000"/>
                <w:szCs w:val="22"/>
              </w:rPr>
              <w:t>Which students? Participants reported that they often couldn’t attend the workshops because of other competing demands on their time: “</w:t>
            </w:r>
            <w:r w:rsidRPr="00577BA8">
              <w:rPr>
                <w:rFonts w:ascii="Gill Sans" w:hAnsi="Gill Sans" w:cs="Gill Sans"/>
                <w:color w:val="000000"/>
                <w:szCs w:val="22"/>
              </w:rPr>
              <w:t>Participants had little free time outside of their compulsory credit-bearing university</w:t>
            </w:r>
            <w:r>
              <w:rPr>
                <w:rFonts w:ascii="Gill Sans" w:hAnsi="Gill Sans" w:cs="Gill Sans"/>
                <w:color w:val="000000"/>
                <w:szCs w:val="22"/>
              </w:rPr>
              <w:t xml:space="preserve"> </w:t>
            </w:r>
            <w:r w:rsidRPr="00577BA8">
              <w:rPr>
                <w:rFonts w:ascii="Gill Sans" w:hAnsi="Gill Sans" w:cs="Gill Sans"/>
                <w:color w:val="000000"/>
                <w:szCs w:val="22"/>
              </w:rPr>
              <w:t>study, and this was compounded by the time that adjusting to university life took</w:t>
            </w:r>
            <w:r>
              <w:rPr>
                <w:rFonts w:ascii="Gill Sans" w:hAnsi="Gill Sans" w:cs="Gill Sans"/>
                <w:color w:val="000000"/>
                <w:szCs w:val="22"/>
              </w:rPr>
              <w:t xml:space="preserve"> </w:t>
            </w:r>
            <w:r w:rsidRPr="00577BA8">
              <w:rPr>
                <w:rFonts w:ascii="Gill Sans" w:hAnsi="Gill Sans" w:cs="Gill Sans"/>
                <w:color w:val="000000"/>
                <w:szCs w:val="22"/>
              </w:rPr>
              <w:t>up in their schedules</w:t>
            </w:r>
            <w:r>
              <w:rPr>
                <w:rFonts w:ascii="Gill Sans" w:hAnsi="Gill Sans" w:cs="Gill Sans"/>
                <w:color w:val="000000"/>
                <w:szCs w:val="22"/>
              </w:rPr>
              <w:t>” (p.12)</w:t>
            </w:r>
            <w:r w:rsidR="005A36E7">
              <w:rPr>
                <w:rFonts w:ascii="Gill Sans" w:hAnsi="Gill Sans" w:cs="Gill Sans"/>
                <w:color w:val="000000"/>
                <w:szCs w:val="22"/>
              </w:rPr>
              <w:t xml:space="preserve"> – which led the authors to wonder if the people who needed the transition support the most had been tacitly excluded, and whether marking DE students as a distinct group was a useful/ wise strategy</w:t>
            </w:r>
            <w:r w:rsidR="00941FD7">
              <w:rPr>
                <w:rFonts w:ascii="Gill Sans" w:hAnsi="Gill Sans" w:cs="Gill Sans"/>
                <w:color w:val="000000"/>
                <w:szCs w:val="22"/>
              </w:rPr>
              <w:t xml:space="preserve"> as it could ‘other’ these students</w:t>
            </w:r>
            <w:r w:rsidRPr="00577BA8">
              <w:rPr>
                <w:rFonts w:ascii="Gill Sans" w:hAnsi="Gill Sans" w:cs="Gill Sans"/>
                <w:color w:val="000000"/>
                <w:szCs w:val="22"/>
              </w:rPr>
              <w:t>.</w:t>
            </w:r>
          </w:p>
          <w:p w14:paraId="49EB7E36" w14:textId="77777777" w:rsidR="008D4A5F" w:rsidRPr="008D4A5F" w:rsidRDefault="00941FD7" w:rsidP="008D4A5F">
            <w:pPr>
              <w:rPr>
                <w:rFonts w:ascii="Gill Sans" w:hAnsi="Gill Sans" w:cs="Gill Sans"/>
                <w:color w:val="000000"/>
                <w:szCs w:val="22"/>
              </w:rPr>
            </w:pPr>
            <w:r>
              <w:rPr>
                <w:rFonts w:ascii="Gill Sans" w:hAnsi="Gill Sans" w:cs="Gill Sans"/>
                <w:color w:val="000000"/>
                <w:szCs w:val="22"/>
              </w:rPr>
              <w:t xml:space="preserve">Which staff? Authors note how the funding they received (internal WP funds) made the project possible, that it would not have happened without that funding, and that the short-term nature of the funding </w:t>
            </w:r>
            <w:r w:rsidR="008D4A5F">
              <w:rPr>
                <w:rFonts w:ascii="Gill Sans" w:hAnsi="Gill Sans" w:cs="Gill Sans"/>
                <w:color w:val="000000"/>
                <w:szCs w:val="22"/>
              </w:rPr>
              <w:t>hinders sustainability: “</w:t>
            </w:r>
            <w:r w:rsidR="008D4A5F" w:rsidRPr="008D4A5F">
              <w:rPr>
                <w:rFonts w:ascii="Gill Sans" w:hAnsi="Gill Sans" w:cs="Gill Sans"/>
                <w:color w:val="000000"/>
                <w:szCs w:val="22"/>
              </w:rPr>
              <w:t>While some support mechanisms are codified in job role descriptions and workload</w:t>
            </w:r>
          </w:p>
          <w:p w14:paraId="01B266FB" w14:textId="77777777" w:rsidR="00CF4A51" w:rsidRDefault="008D4A5F" w:rsidP="00CF4A51">
            <w:pPr>
              <w:rPr>
                <w:rFonts w:ascii="Gill Sans" w:hAnsi="Gill Sans" w:cs="Gill Sans"/>
                <w:color w:val="000000"/>
                <w:szCs w:val="22"/>
                <w:lang w:val="en-AU"/>
              </w:rPr>
            </w:pPr>
            <w:r w:rsidRPr="008D4A5F">
              <w:rPr>
                <w:rFonts w:ascii="Gill Sans" w:hAnsi="Gill Sans" w:cs="Gill Sans"/>
                <w:color w:val="000000"/>
                <w:szCs w:val="22"/>
              </w:rPr>
              <w:t>allocations and included in the remit of widening participation committees, others take</w:t>
            </w:r>
            <w:r>
              <w:rPr>
                <w:rFonts w:ascii="Gill Sans" w:hAnsi="Gill Sans" w:cs="Gill Sans"/>
                <w:color w:val="000000"/>
                <w:szCs w:val="22"/>
              </w:rPr>
              <w:t xml:space="preserve"> </w:t>
            </w:r>
            <w:r w:rsidRPr="008D4A5F">
              <w:rPr>
                <w:rFonts w:ascii="Gill Sans" w:hAnsi="Gill Sans" w:cs="Gill Sans"/>
                <w:color w:val="000000"/>
                <w:szCs w:val="22"/>
              </w:rPr>
              <w:t>place in the informal spaces between classes, in inboxes at evenings and weekends. Informal</w:t>
            </w:r>
            <w:r>
              <w:rPr>
                <w:rFonts w:ascii="Gill Sans" w:hAnsi="Gill Sans" w:cs="Gill Sans"/>
                <w:color w:val="000000"/>
                <w:szCs w:val="22"/>
              </w:rPr>
              <w:t xml:space="preserve"> </w:t>
            </w:r>
            <w:r w:rsidRPr="008D4A5F">
              <w:rPr>
                <w:rFonts w:ascii="Gill Sans" w:hAnsi="Gill Sans" w:cs="Gill Sans"/>
                <w:color w:val="000000"/>
                <w:szCs w:val="22"/>
              </w:rPr>
              <w:t>support can be contingent upon the availability and ‘goodwill’ of individual staff;</w:t>
            </w:r>
            <w:r>
              <w:rPr>
                <w:rFonts w:ascii="Gill Sans" w:hAnsi="Gill Sans" w:cs="Gill Sans"/>
                <w:color w:val="000000"/>
                <w:szCs w:val="22"/>
              </w:rPr>
              <w:t xml:space="preserve"> </w:t>
            </w:r>
            <w:r w:rsidRPr="008D4A5F">
              <w:rPr>
                <w:rFonts w:ascii="Gill Sans" w:hAnsi="Gill Sans" w:cs="Gill Sans"/>
                <w:color w:val="000000"/>
                <w:szCs w:val="22"/>
              </w:rPr>
              <w:t>unevenly distributed and institutionally unrewarded academic ‘housework’ (</w:t>
            </w:r>
            <w:proofErr w:type="spellStart"/>
            <w:r w:rsidRPr="008D4A5F">
              <w:rPr>
                <w:rFonts w:ascii="Gill Sans" w:hAnsi="Gill Sans" w:cs="Gill Sans"/>
                <w:color w:val="000000"/>
                <w:szCs w:val="22"/>
              </w:rPr>
              <w:t>Heijstra</w:t>
            </w:r>
            <w:proofErr w:type="spellEnd"/>
            <w:r w:rsidRPr="008D4A5F">
              <w:rPr>
                <w:rFonts w:ascii="Gill Sans" w:hAnsi="Gill Sans" w:cs="Gill Sans"/>
                <w:color w:val="000000"/>
                <w:szCs w:val="22"/>
              </w:rPr>
              <w:t>,</w:t>
            </w:r>
            <w:r>
              <w:rPr>
                <w:rFonts w:ascii="Gill Sans" w:hAnsi="Gill Sans" w:cs="Gill Sans"/>
                <w:color w:val="000000"/>
                <w:szCs w:val="22"/>
              </w:rPr>
              <w:t xml:space="preserve"> </w:t>
            </w:r>
            <w:proofErr w:type="spellStart"/>
            <w:r w:rsidRPr="008D4A5F">
              <w:rPr>
                <w:rFonts w:ascii="Gill Sans" w:hAnsi="Gill Sans" w:cs="Gill Sans"/>
                <w:color w:val="000000"/>
                <w:szCs w:val="22"/>
              </w:rPr>
              <w:t>Steinthorsdóttir</w:t>
            </w:r>
            <w:proofErr w:type="spellEnd"/>
            <w:r w:rsidRPr="008D4A5F">
              <w:rPr>
                <w:rFonts w:ascii="Gill Sans" w:hAnsi="Gill Sans" w:cs="Gill Sans"/>
                <w:color w:val="000000"/>
                <w:szCs w:val="22"/>
              </w:rPr>
              <w:t xml:space="preserve">, and </w:t>
            </w:r>
            <w:proofErr w:type="spellStart"/>
            <w:r w:rsidRPr="008D4A5F">
              <w:rPr>
                <w:rFonts w:ascii="Gill Sans" w:hAnsi="Gill Sans" w:cs="Gill Sans"/>
                <w:color w:val="000000"/>
                <w:szCs w:val="22"/>
              </w:rPr>
              <w:t>Einarsdóttir</w:t>
            </w:r>
            <w:proofErr w:type="spellEnd"/>
            <w:r w:rsidRPr="008D4A5F">
              <w:rPr>
                <w:rFonts w:ascii="Gill Sans" w:hAnsi="Gill Sans" w:cs="Gill Sans"/>
                <w:color w:val="000000"/>
                <w:szCs w:val="22"/>
              </w:rPr>
              <w:t xml:space="preserve"> 2017)</w:t>
            </w:r>
            <w:r>
              <w:rPr>
                <w:rFonts w:ascii="Gill Sans" w:hAnsi="Gill Sans" w:cs="Gill Sans"/>
                <w:color w:val="000000"/>
                <w:szCs w:val="22"/>
              </w:rPr>
              <w:t>” (p.13)</w:t>
            </w:r>
            <w:r w:rsidRPr="008D4A5F">
              <w:rPr>
                <w:rFonts w:ascii="Gill Sans" w:hAnsi="Gill Sans" w:cs="Gill Sans"/>
                <w:color w:val="000000"/>
                <w:szCs w:val="22"/>
              </w:rPr>
              <w:t>.</w:t>
            </w:r>
            <w:r w:rsidR="00B26D0D" w:rsidRPr="00076E76">
              <w:rPr>
                <w:rFonts w:ascii="Gill Sans" w:hAnsi="Gill Sans" w:cs="Gill Sans"/>
                <w:b/>
                <w:color w:val="000000"/>
                <w:szCs w:val="22"/>
                <w:lang w:val="en-AU"/>
              </w:rPr>
              <w:br/>
              <w:t>Core argument:</w:t>
            </w:r>
            <w:r w:rsidR="00CF4A51">
              <w:rPr>
                <w:rFonts w:ascii="Gill Sans" w:hAnsi="Gill Sans" w:cs="Gill Sans"/>
                <w:b/>
                <w:color w:val="000000"/>
                <w:szCs w:val="22"/>
                <w:lang w:val="en-AU"/>
              </w:rPr>
              <w:t xml:space="preserve"> </w:t>
            </w:r>
            <w:r w:rsidR="00CF4A51">
              <w:rPr>
                <w:rFonts w:ascii="Gill Sans" w:hAnsi="Gill Sans" w:cs="Gill Sans"/>
                <w:color w:val="000000"/>
                <w:szCs w:val="22"/>
                <w:lang w:val="en-AU"/>
              </w:rPr>
              <w:t xml:space="preserve">Transitions supports should be embedded throughout the institution: </w:t>
            </w:r>
          </w:p>
          <w:p w14:paraId="27599590" w14:textId="77777777" w:rsidR="00CF4A51" w:rsidRDefault="00CF4A51" w:rsidP="00CF4A51">
            <w:pPr>
              <w:rPr>
                <w:rFonts w:ascii="Gill Sans" w:hAnsi="Gill Sans" w:cs="Gill Sans"/>
                <w:color w:val="000000"/>
                <w:szCs w:val="22"/>
              </w:rPr>
            </w:pPr>
            <w:r>
              <w:rPr>
                <w:rFonts w:ascii="Gill Sans" w:hAnsi="Gill Sans" w:cs="Gill Sans"/>
                <w:color w:val="000000"/>
                <w:szCs w:val="22"/>
                <w:lang w:val="en-AU"/>
              </w:rPr>
              <w:t>“</w:t>
            </w:r>
            <w:r w:rsidRPr="00CF4A51">
              <w:rPr>
                <w:rFonts w:ascii="Gill Sans" w:hAnsi="Gill Sans" w:cs="Gill Sans"/>
                <w:color w:val="000000"/>
                <w:szCs w:val="22"/>
              </w:rPr>
              <w:t>(1) improved</w:t>
            </w:r>
            <w:r>
              <w:rPr>
                <w:rFonts w:ascii="Gill Sans" w:hAnsi="Gill Sans" w:cs="Gill Sans"/>
                <w:color w:val="000000"/>
                <w:szCs w:val="22"/>
              </w:rPr>
              <w:t xml:space="preserve"> </w:t>
            </w:r>
            <w:r w:rsidRPr="00CF4A51">
              <w:rPr>
                <w:rFonts w:ascii="Gill Sans" w:hAnsi="Gill Sans" w:cs="Gill Sans"/>
                <w:color w:val="000000"/>
                <w:szCs w:val="22"/>
              </w:rPr>
              <w:t>training and compensation for student volunteers and peer mentors, in order to reduce</w:t>
            </w:r>
            <w:r>
              <w:rPr>
                <w:rFonts w:ascii="Gill Sans" w:hAnsi="Gill Sans" w:cs="Gill Sans"/>
                <w:color w:val="000000"/>
                <w:szCs w:val="22"/>
              </w:rPr>
              <w:t xml:space="preserve"> </w:t>
            </w:r>
            <w:r w:rsidRPr="00CF4A51">
              <w:rPr>
                <w:rFonts w:ascii="Gill Sans" w:hAnsi="Gill Sans" w:cs="Gill Sans"/>
                <w:color w:val="000000"/>
                <w:szCs w:val="22"/>
              </w:rPr>
              <w:t xml:space="preserve">the spread of inaccurate and worrying information; </w:t>
            </w:r>
          </w:p>
          <w:p w14:paraId="31C3538C" w14:textId="77777777" w:rsidR="00CF4A51" w:rsidRDefault="00CF4A51" w:rsidP="00CF4A51">
            <w:pPr>
              <w:rPr>
                <w:rFonts w:ascii="Gill Sans" w:hAnsi="Gill Sans" w:cs="Gill Sans"/>
                <w:color w:val="000000"/>
                <w:szCs w:val="22"/>
              </w:rPr>
            </w:pPr>
            <w:r w:rsidRPr="00CF4A51">
              <w:rPr>
                <w:rFonts w:ascii="Gill Sans" w:hAnsi="Gill Sans" w:cs="Gill Sans"/>
                <w:color w:val="000000"/>
                <w:szCs w:val="22"/>
              </w:rPr>
              <w:t>(2) improved awareness among lecturers</w:t>
            </w:r>
            <w:r>
              <w:rPr>
                <w:rFonts w:ascii="Gill Sans" w:hAnsi="Gill Sans" w:cs="Gill Sans"/>
                <w:color w:val="000000"/>
                <w:szCs w:val="22"/>
              </w:rPr>
              <w:t xml:space="preserve"> </w:t>
            </w:r>
            <w:r w:rsidRPr="00CF4A51">
              <w:rPr>
                <w:rFonts w:ascii="Gill Sans" w:hAnsi="Gill Sans" w:cs="Gill Sans"/>
                <w:color w:val="000000"/>
                <w:szCs w:val="22"/>
              </w:rPr>
              <w:t xml:space="preserve">about DE needs, including unfamiliarity with first-year course content; </w:t>
            </w:r>
          </w:p>
          <w:p w14:paraId="54D71C1D" w14:textId="77777777" w:rsidR="00CF4A51" w:rsidRDefault="00CF4A51" w:rsidP="00CF4A51">
            <w:pPr>
              <w:rPr>
                <w:rFonts w:ascii="Gill Sans" w:hAnsi="Gill Sans" w:cs="Gill Sans"/>
                <w:color w:val="000000"/>
                <w:szCs w:val="22"/>
              </w:rPr>
            </w:pPr>
            <w:r w:rsidRPr="00CF4A51">
              <w:rPr>
                <w:rFonts w:ascii="Gill Sans" w:hAnsi="Gill Sans" w:cs="Gill Sans"/>
                <w:color w:val="000000"/>
                <w:szCs w:val="22"/>
              </w:rPr>
              <w:t>(3) standardized,</w:t>
            </w:r>
            <w:r>
              <w:rPr>
                <w:rFonts w:ascii="Gill Sans" w:hAnsi="Gill Sans" w:cs="Gill Sans"/>
                <w:color w:val="000000"/>
                <w:szCs w:val="22"/>
              </w:rPr>
              <w:t xml:space="preserve"> </w:t>
            </w:r>
            <w:r w:rsidRPr="00CF4A51">
              <w:rPr>
                <w:rFonts w:ascii="Gill Sans" w:hAnsi="Gill Sans" w:cs="Gill Sans"/>
                <w:color w:val="000000"/>
                <w:szCs w:val="22"/>
              </w:rPr>
              <w:t>and sustainably funded, transitions support, to address the common concerns</w:t>
            </w:r>
            <w:r>
              <w:rPr>
                <w:rFonts w:ascii="Gill Sans" w:hAnsi="Gill Sans" w:cs="Gill Sans"/>
                <w:color w:val="000000"/>
                <w:szCs w:val="22"/>
              </w:rPr>
              <w:t xml:space="preserve"> </w:t>
            </w:r>
            <w:r w:rsidRPr="00CF4A51">
              <w:rPr>
                <w:rFonts w:ascii="Gill Sans" w:hAnsi="Gill Sans" w:cs="Gill Sans"/>
                <w:color w:val="000000"/>
                <w:szCs w:val="22"/>
              </w:rPr>
              <w:t xml:space="preserve">of DE and continuing students; </w:t>
            </w:r>
          </w:p>
          <w:p w14:paraId="2E609934" w14:textId="1BAB0298" w:rsidR="006560E5" w:rsidRPr="00CF4A51" w:rsidRDefault="00CF4A51" w:rsidP="00CF4A51">
            <w:pPr>
              <w:rPr>
                <w:rFonts w:ascii="Gill Sans" w:hAnsi="Gill Sans" w:cs="Gill Sans"/>
                <w:color w:val="000000"/>
                <w:szCs w:val="22"/>
              </w:rPr>
            </w:pPr>
            <w:r w:rsidRPr="00CF4A51">
              <w:rPr>
                <w:rFonts w:ascii="Gill Sans" w:hAnsi="Gill Sans" w:cs="Gill Sans"/>
                <w:color w:val="000000"/>
                <w:szCs w:val="22"/>
              </w:rPr>
              <w:t>(4) consider institutional policies to ‘mainstream’</w:t>
            </w:r>
            <w:r>
              <w:rPr>
                <w:rFonts w:ascii="Gill Sans" w:hAnsi="Gill Sans" w:cs="Gill Sans"/>
                <w:color w:val="000000"/>
                <w:szCs w:val="22"/>
              </w:rPr>
              <w:t xml:space="preserve"> </w:t>
            </w:r>
            <w:r w:rsidRPr="00CF4A51">
              <w:rPr>
                <w:rFonts w:ascii="Gill Sans" w:hAnsi="Gill Sans" w:cs="Gill Sans"/>
                <w:color w:val="000000"/>
                <w:szCs w:val="22"/>
              </w:rPr>
              <w:t>widening participation, mandating the consideration of the WP implications of all</w:t>
            </w:r>
            <w:r>
              <w:rPr>
                <w:rFonts w:ascii="Gill Sans" w:hAnsi="Gill Sans" w:cs="Gill Sans"/>
                <w:color w:val="000000"/>
                <w:szCs w:val="22"/>
              </w:rPr>
              <w:t xml:space="preserve"> </w:t>
            </w:r>
            <w:r w:rsidRPr="00CF4A51">
              <w:rPr>
                <w:rFonts w:ascii="Gill Sans" w:hAnsi="Gill Sans" w:cs="Gill Sans"/>
                <w:color w:val="000000"/>
                <w:szCs w:val="22"/>
              </w:rPr>
              <w:t>aspects of the university as institution, in order to reduce the exclusionary effects of</w:t>
            </w:r>
            <w:r>
              <w:rPr>
                <w:rFonts w:ascii="Gill Sans" w:hAnsi="Gill Sans" w:cs="Gill Sans"/>
                <w:color w:val="000000"/>
                <w:szCs w:val="22"/>
              </w:rPr>
              <w:t xml:space="preserve"> </w:t>
            </w:r>
            <w:r w:rsidRPr="00CF4A51">
              <w:rPr>
                <w:rFonts w:ascii="Gill Sans" w:hAnsi="Gill Sans" w:cs="Gill Sans"/>
                <w:color w:val="000000"/>
                <w:szCs w:val="22"/>
              </w:rPr>
              <w:t>the logistics of university life</w:t>
            </w:r>
            <w:r>
              <w:rPr>
                <w:rFonts w:ascii="Gill Sans" w:hAnsi="Gill Sans" w:cs="Gill Sans"/>
                <w:color w:val="000000"/>
                <w:szCs w:val="22"/>
              </w:rPr>
              <w:t>” (p.</w:t>
            </w:r>
            <w:r w:rsidR="00BD63A2">
              <w:rPr>
                <w:rFonts w:ascii="Gill Sans" w:hAnsi="Gill Sans" w:cs="Gill Sans"/>
                <w:color w:val="000000"/>
                <w:szCs w:val="22"/>
              </w:rPr>
              <w:t>14)</w:t>
            </w:r>
            <w:r w:rsidRPr="00CF4A51">
              <w:rPr>
                <w:rFonts w:ascii="Gill Sans" w:hAnsi="Gill Sans" w:cs="Gill Sans"/>
                <w:color w:val="000000"/>
                <w:szCs w:val="22"/>
              </w:rPr>
              <w:t>.</w:t>
            </w:r>
          </w:p>
        </w:tc>
      </w:tr>
      <w:tr w:rsidR="00FC3249" w:rsidRPr="00076E76" w14:paraId="598F20F5" w14:textId="77777777" w:rsidTr="002E557C">
        <w:tc>
          <w:tcPr>
            <w:tcW w:w="5529" w:type="dxa"/>
          </w:tcPr>
          <w:p w14:paraId="161C3286" w14:textId="7B4B2F6F" w:rsidR="00FC3249" w:rsidRPr="00076E76" w:rsidRDefault="00FC3249" w:rsidP="00FA514E">
            <w:pPr>
              <w:rPr>
                <w:rFonts w:ascii="Gill Sans" w:hAnsi="Gill Sans" w:cs="Gill Sans"/>
                <w:szCs w:val="22"/>
              </w:rPr>
            </w:pPr>
            <w:r w:rsidRPr="00076E76">
              <w:rPr>
                <w:rFonts w:ascii="Gill Sans" w:hAnsi="Gill Sans" w:cs="Gill Sans"/>
                <w:szCs w:val="22"/>
              </w:rPr>
              <w:lastRenderedPageBreak/>
              <w:t xml:space="preserve">Briggs, A.; Clark, J. &amp; Hall, I. (2012). </w:t>
            </w:r>
            <w:hyperlink r:id="rId28" w:history="1">
              <w:r w:rsidRPr="009D7F61">
                <w:rPr>
                  <w:rStyle w:val="Hyperlink"/>
                  <w:rFonts w:ascii="Gill Sans" w:hAnsi="Gill Sans" w:cs="Gill Sans"/>
                  <w:szCs w:val="22"/>
                </w:rPr>
                <w:t>Building bridges: understanding student transition to university</w:t>
              </w:r>
            </w:hyperlink>
            <w:r w:rsidRPr="00076E76">
              <w:rPr>
                <w:rFonts w:ascii="Gill Sans" w:hAnsi="Gill Sans" w:cs="Gill Sans"/>
                <w:szCs w:val="22"/>
              </w:rPr>
              <w:t xml:space="preserve">, </w:t>
            </w:r>
            <w:r w:rsidRPr="00076E76">
              <w:rPr>
                <w:rFonts w:ascii="Gill Sans" w:hAnsi="Gill Sans" w:cs="Gill Sans"/>
                <w:i/>
                <w:szCs w:val="22"/>
              </w:rPr>
              <w:t xml:space="preserve">Quality in Higher Education, </w:t>
            </w:r>
            <w:r w:rsidR="00DA69FD">
              <w:rPr>
                <w:rFonts w:ascii="Gill Sans" w:hAnsi="Gill Sans" w:cs="Gill Sans"/>
                <w:szCs w:val="22"/>
              </w:rPr>
              <w:t>18(1), 3–</w:t>
            </w:r>
            <w:r w:rsidRPr="00076E76">
              <w:rPr>
                <w:rFonts w:ascii="Gill Sans" w:hAnsi="Gill Sans" w:cs="Gill Sans"/>
                <w:szCs w:val="22"/>
              </w:rPr>
              <w:t>21.</w:t>
            </w:r>
          </w:p>
          <w:p w14:paraId="527BAEE1" w14:textId="77777777" w:rsidR="00FC3249" w:rsidRPr="00076E76" w:rsidRDefault="00FC3249" w:rsidP="00FA514E">
            <w:pPr>
              <w:rPr>
                <w:rFonts w:ascii="Gill Sans" w:hAnsi="Gill Sans" w:cs="Gill Sans"/>
                <w:szCs w:val="22"/>
              </w:rPr>
            </w:pPr>
          </w:p>
          <w:p w14:paraId="17CFA7C6" w14:textId="77777777" w:rsidR="00FC3249" w:rsidRPr="00076E76" w:rsidRDefault="00FC3249" w:rsidP="00FA514E">
            <w:pPr>
              <w:rPr>
                <w:rFonts w:ascii="Gill Sans" w:hAnsi="Gill Sans" w:cs="Gill Sans"/>
                <w:szCs w:val="22"/>
              </w:rPr>
            </w:pPr>
            <w:r w:rsidRPr="00076E76">
              <w:rPr>
                <w:rFonts w:ascii="Gill Sans" w:hAnsi="Gill Sans" w:cs="Gill Sans"/>
                <w:szCs w:val="22"/>
              </w:rPr>
              <w:t>AUS</w:t>
            </w:r>
          </w:p>
          <w:p w14:paraId="161F57DF" w14:textId="68645BE0" w:rsidR="000F60CF" w:rsidRPr="00076E76" w:rsidRDefault="000F60CF" w:rsidP="00FA514E">
            <w:pPr>
              <w:rPr>
                <w:rFonts w:ascii="Gill Sans" w:hAnsi="Gill Sans" w:cs="Gill Sans"/>
                <w:szCs w:val="22"/>
              </w:rPr>
            </w:pPr>
            <w:r w:rsidRPr="00076E76">
              <w:rPr>
                <w:rFonts w:ascii="Gill Sans" w:hAnsi="Gill Sans" w:cs="Gill Sans"/>
                <w:szCs w:val="22"/>
              </w:rPr>
              <w:t>Annotation by Sally Baker</w:t>
            </w:r>
          </w:p>
          <w:p w14:paraId="14642216" w14:textId="77777777" w:rsidR="00FC3249" w:rsidRPr="00076E76" w:rsidRDefault="00FC3249" w:rsidP="00FA514E">
            <w:pPr>
              <w:rPr>
                <w:rFonts w:ascii="Gill Sans" w:hAnsi="Gill Sans" w:cs="Gill Sans"/>
                <w:szCs w:val="22"/>
              </w:rPr>
            </w:pPr>
          </w:p>
          <w:p w14:paraId="5FBF4819" w14:textId="77777777" w:rsidR="00FC3249" w:rsidRPr="00076E76" w:rsidRDefault="00FC3249" w:rsidP="00D47873">
            <w:pPr>
              <w:rPr>
                <w:rFonts w:ascii="Gill Sans" w:hAnsi="Gill Sans" w:cs="Gill Sans"/>
                <w:i/>
                <w:szCs w:val="22"/>
              </w:rPr>
            </w:pPr>
            <w:r w:rsidRPr="00076E76">
              <w:rPr>
                <w:rFonts w:ascii="Gill Sans" w:hAnsi="Gill Sans" w:cs="Gill Sans"/>
                <w:szCs w:val="22"/>
              </w:rPr>
              <w:t xml:space="preserve">Keywords: </w:t>
            </w:r>
            <w:r w:rsidRPr="00076E76">
              <w:rPr>
                <w:rFonts w:ascii="Gill Sans" w:hAnsi="Gill Sans" w:cs="Gill Sans"/>
                <w:i/>
                <w:szCs w:val="22"/>
              </w:rPr>
              <w:t xml:space="preserve">student transition; school; university; effectiveness; </w:t>
            </w:r>
            <w:proofErr w:type="spellStart"/>
            <w:r w:rsidRPr="00076E76">
              <w:rPr>
                <w:rFonts w:ascii="Gill Sans" w:hAnsi="Gill Sans" w:cs="Gill Sans"/>
                <w:i/>
                <w:szCs w:val="22"/>
              </w:rPr>
              <w:t>organisational</w:t>
            </w:r>
            <w:proofErr w:type="spellEnd"/>
            <w:r w:rsidRPr="00076E76">
              <w:rPr>
                <w:rFonts w:ascii="Gill Sans" w:hAnsi="Gill Sans" w:cs="Gill Sans"/>
                <w:i/>
                <w:szCs w:val="22"/>
              </w:rPr>
              <w:t xml:space="preserve"> processes; learner identity</w:t>
            </w:r>
          </w:p>
          <w:p w14:paraId="483DC857" w14:textId="77777777" w:rsidR="00FC3249" w:rsidRPr="00076E76" w:rsidRDefault="00FC3249" w:rsidP="00D47873">
            <w:pPr>
              <w:rPr>
                <w:rFonts w:ascii="Gill Sans" w:hAnsi="Gill Sans" w:cs="Gill Sans"/>
                <w:i/>
                <w:szCs w:val="22"/>
              </w:rPr>
            </w:pPr>
          </w:p>
          <w:p w14:paraId="17E25BD4" w14:textId="03538255" w:rsidR="00FC3249" w:rsidRPr="00076E76" w:rsidRDefault="00FC3249" w:rsidP="00D47873">
            <w:pPr>
              <w:rPr>
                <w:rFonts w:ascii="Gill Sans" w:hAnsi="Gill Sans" w:cs="Gill Sans"/>
                <w:b/>
                <w:szCs w:val="22"/>
              </w:rPr>
            </w:pPr>
          </w:p>
        </w:tc>
        <w:tc>
          <w:tcPr>
            <w:tcW w:w="10064" w:type="dxa"/>
          </w:tcPr>
          <w:p w14:paraId="3DBD2874" w14:textId="6A20A14A" w:rsidR="00FC3249" w:rsidRPr="00076E76" w:rsidRDefault="00FC3249" w:rsidP="00EE3E45">
            <w:pPr>
              <w:rPr>
                <w:rFonts w:ascii="Gill Sans" w:hAnsi="Gill Sans" w:cs="Gill Sans"/>
                <w:color w:val="000000"/>
                <w:szCs w:val="22"/>
                <w:lang w:val="en-AU"/>
              </w:rPr>
            </w:pPr>
            <w:r w:rsidRPr="00076E76">
              <w:rPr>
                <w:rFonts w:ascii="Gill Sans" w:hAnsi="Gill Sans" w:cs="Gill Sans"/>
                <w:b/>
                <w:color w:val="000000"/>
                <w:szCs w:val="22"/>
                <w:lang w:val="en-AU"/>
              </w:rPr>
              <w:lastRenderedPageBreak/>
              <w:t xml:space="preserve">Context: </w:t>
            </w:r>
            <w:r w:rsidRPr="00076E76">
              <w:rPr>
                <w:rFonts w:ascii="Gill Sans" w:hAnsi="Gill Sans" w:cs="Gill Sans"/>
                <w:color w:val="000000"/>
                <w:szCs w:val="22"/>
                <w:lang w:val="en-AU"/>
              </w:rPr>
              <w:t>Set in context of UK higher education transitions. Makes case that transition = underexplored</w:t>
            </w:r>
          </w:p>
          <w:p w14:paraId="1CC5AE54" w14:textId="391DFF40" w:rsidR="00FC3249" w:rsidRPr="00076E76" w:rsidRDefault="00FC3249" w:rsidP="00586CA1">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sidRPr="00076E76">
              <w:rPr>
                <w:rFonts w:ascii="Gill Sans" w:hAnsi="Gill Sans" w:cs="Gill Sans"/>
                <w:color w:val="000000"/>
                <w:szCs w:val="22"/>
                <w:lang w:val="en-AU"/>
              </w:rPr>
              <w:t>To explore challenges faced ‘in ensuring effective student transition’; to offer a model of process of transition; “</w:t>
            </w:r>
            <w:r w:rsidRPr="00076E76">
              <w:rPr>
                <w:rFonts w:ascii="Gill Sans" w:hAnsi="Gill Sans" w:cs="Gill Sans"/>
                <w:color w:val="000000"/>
                <w:szCs w:val="22"/>
              </w:rPr>
              <w:t xml:space="preserve">to enhance institutional learning across the transition ‘bridge’, to provide conceptual thinking and to offer guidelines for university personnel seeking optimal conditions for effective transition and learner success” (p.4). Scopes literature on transition (e.g. Tinto, 1987) and on student expectations, encouraging potential students, student diversity, learner identity, university support systems, learning and teaching in </w:t>
            </w:r>
            <w:r w:rsidRPr="00076E76">
              <w:rPr>
                <w:rFonts w:ascii="Gill Sans" w:hAnsi="Gill Sans" w:cs="Gill Sans"/>
                <w:color w:val="000000"/>
                <w:szCs w:val="22"/>
              </w:rPr>
              <w:lastRenderedPageBreak/>
              <w:t>higher education</w:t>
            </w:r>
          </w:p>
          <w:p w14:paraId="66BD8B3B" w14:textId="77777777" w:rsidR="00FC3249" w:rsidRPr="00076E76" w:rsidRDefault="00FC3249" w:rsidP="00EE3E45">
            <w:pPr>
              <w:rPr>
                <w:rFonts w:ascii="Gill Sans" w:hAnsi="Gill Sans" w:cs="Gill Sans"/>
                <w:b/>
                <w:color w:val="000000"/>
                <w:szCs w:val="22"/>
                <w:lang w:val="en-AU"/>
              </w:rPr>
            </w:pPr>
            <w:r w:rsidRPr="00076E76">
              <w:rPr>
                <w:rFonts w:ascii="Gill Sans" w:hAnsi="Gill Sans" w:cs="Gill Sans"/>
                <w:b/>
                <w:color w:val="000000"/>
                <w:szCs w:val="22"/>
                <w:lang w:val="en-AU"/>
              </w:rPr>
              <w:t>Theoretical frame:</w:t>
            </w:r>
          </w:p>
          <w:p w14:paraId="1093318D" w14:textId="732D4CC4" w:rsidR="00FC3249" w:rsidRPr="00076E76" w:rsidRDefault="00FC3249" w:rsidP="00EE3E45">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Draws on two sources of data: international literature and data collected from two studies at University of Newcastle (UK): ‘Bridging the Gap’ project (Briggs et al., 2009) = case studies of 4 transition programs and interviews with students and staff at school, FE colleges and HE students + questionnaire/ ‘Exploring Transition’ (Clark &amp; Hall, 2010) – online questionnaire of all first year students (n=1222) + focus groups</w:t>
            </w:r>
          </w:p>
          <w:p w14:paraId="2BE6F689" w14:textId="77777777" w:rsidR="00FC3249" w:rsidRPr="00076E76" w:rsidRDefault="00FC3249" w:rsidP="00EE3E45">
            <w:pPr>
              <w:rPr>
                <w:rFonts w:ascii="Gill Sans" w:hAnsi="Gill Sans" w:cs="Gill Sans"/>
                <w:b/>
                <w:color w:val="000000"/>
                <w:szCs w:val="22"/>
                <w:lang w:val="en-AU"/>
              </w:rPr>
            </w:pPr>
            <w:r w:rsidRPr="00076E76">
              <w:rPr>
                <w:rFonts w:ascii="Gill Sans" w:hAnsi="Gill Sans" w:cs="Gill Sans"/>
                <w:b/>
                <w:color w:val="000000"/>
                <w:szCs w:val="22"/>
                <w:lang w:val="en-AU"/>
              </w:rPr>
              <w:t xml:space="preserve">Findings: </w:t>
            </w:r>
          </w:p>
          <w:p w14:paraId="7B95E855" w14:textId="77777777" w:rsidR="00FC3249" w:rsidRPr="00076E76" w:rsidRDefault="00FC3249" w:rsidP="00EE3E45">
            <w:pPr>
              <w:rPr>
                <w:rFonts w:ascii="Gill Sans" w:hAnsi="Gill Sans" w:cs="Gill Sans"/>
                <w:color w:val="000000"/>
                <w:szCs w:val="22"/>
                <w:lang w:val="en-AU"/>
              </w:rPr>
            </w:pPr>
            <w:r w:rsidRPr="00076E76">
              <w:rPr>
                <w:rFonts w:ascii="Gill Sans" w:hAnsi="Gill Sans" w:cs="Gill Sans"/>
                <w:color w:val="000000"/>
                <w:szCs w:val="22"/>
                <w:lang w:val="en-AU"/>
              </w:rPr>
              <w:t xml:space="preserve">Themes: Early and up-to-date information = influences student aspiration for university positively. Good communication needed. 3 main types of preparation/outreach program: generic, focused, pedagogical [discipline-oriented]. Support needs to be targeted for students who could not attend visits, individual attention, consistency in staffing and support, enthusiasm and encouragement. </w:t>
            </w:r>
          </w:p>
          <w:p w14:paraId="0B67C577" w14:textId="77777777" w:rsidR="00FC3249" w:rsidRPr="00076E76" w:rsidRDefault="00FC3249" w:rsidP="00347CE0">
            <w:pPr>
              <w:rPr>
                <w:rFonts w:ascii="Gill Sans" w:hAnsi="Gill Sans" w:cs="Gill Sans"/>
                <w:color w:val="000000"/>
                <w:szCs w:val="22"/>
              </w:rPr>
            </w:pPr>
            <w:r w:rsidRPr="00076E76">
              <w:rPr>
                <w:rFonts w:ascii="Gill Sans" w:hAnsi="Gill Sans" w:cs="Gill Sans"/>
                <w:color w:val="000000"/>
                <w:szCs w:val="22"/>
                <w:lang w:val="en-AU"/>
              </w:rPr>
              <w:t>Conceptualisation of transition through modelling (focuses on factors under university control) – relating to learner identity formation. Model = non-</w:t>
            </w:r>
            <w:proofErr w:type="gramStart"/>
            <w:r w:rsidRPr="00076E76">
              <w:rPr>
                <w:rFonts w:ascii="Gill Sans" w:hAnsi="Gill Sans" w:cs="Gill Sans"/>
                <w:color w:val="000000"/>
                <w:szCs w:val="22"/>
                <w:lang w:val="en-AU"/>
              </w:rPr>
              <w:t>sequential  -</w:t>
            </w:r>
            <w:proofErr w:type="gramEnd"/>
            <w:r w:rsidRPr="00076E76">
              <w:rPr>
                <w:rFonts w:ascii="Gill Sans" w:hAnsi="Gill Sans" w:cs="Gill Sans"/>
                <w:color w:val="000000"/>
                <w:szCs w:val="22"/>
                <w:lang w:val="en-AU"/>
              </w:rPr>
              <w:t xml:space="preserve"> some elements “</w:t>
            </w:r>
            <w:r w:rsidRPr="00076E76">
              <w:rPr>
                <w:rFonts w:ascii="Gill Sans" w:hAnsi="Gill Sans" w:cs="Gill Sans"/>
                <w:color w:val="000000"/>
                <w:szCs w:val="22"/>
              </w:rPr>
              <w:t xml:space="preserve">may reinforce each other and some processes may need to be repeated” (p.15). Factors = </w:t>
            </w:r>
          </w:p>
          <w:p w14:paraId="23145085" w14:textId="270F2758" w:rsidR="00FC3249" w:rsidRPr="00076E76" w:rsidRDefault="00FC3249" w:rsidP="00347CE0">
            <w:pPr>
              <w:pStyle w:val="ListParagraph"/>
              <w:numPr>
                <w:ilvl w:val="0"/>
                <w:numId w:val="9"/>
              </w:numPr>
              <w:rPr>
                <w:rFonts w:ascii="Gill Sans" w:hAnsi="Gill Sans" w:cs="Gill Sans"/>
              </w:rPr>
            </w:pPr>
            <w:r w:rsidRPr="00076E76">
              <w:rPr>
                <w:rFonts w:ascii="Gill Sans" w:hAnsi="Gill Sans" w:cs="Gill Sans"/>
              </w:rPr>
              <w:t>personal contact;</w:t>
            </w:r>
          </w:p>
          <w:p w14:paraId="4F1E147D" w14:textId="637F69FA" w:rsidR="00FC3249" w:rsidRPr="00076E76" w:rsidRDefault="00FC3249" w:rsidP="00347CE0">
            <w:pPr>
              <w:pStyle w:val="ListParagraph"/>
              <w:numPr>
                <w:ilvl w:val="0"/>
                <w:numId w:val="9"/>
              </w:numPr>
              <w:rPr>
                <w:rFonts w:ascii="Gill Sans" w:hAnsi="Gill Sans" w:cs="Gill Sans"/>
              </w:rPr>
            </w:pPr>
            <w:r w:rsidRPr="00076E76">
              <w:rPr>
                <w:rFonts w:ascii="Gill Sans" w:hAnsi="Gill Sans" w:cs="Gill Sans"/>
              </w:rPr>
              <w:t>multiple opportunities;</w:t>
            </w:r>
          </w:p>
          <w:p w14:paraId="23EFED3D" w14:textId="7C34968B" w:rsidR="00FC3249" w:rsidRPr="00076E76" w:rsidRDefault="00FC3249" w:rsidP="00347CE0">
            <w:pPr>
              <w:pStyle w:val="ListParagraph"/>
              <w:numPr>
                <w:ilvl w:val="0"/>
                <w:numId w:val="9"/>
              </w:numPr>
              <w:rPr>
                <w:rFonts w:ascii="Gill Sans" w:hAnsi="Gill Sans" w:cs="Gill Sans"/>
              </w:rPr>
            </w:pPr>
            <w:r w:rsidRPr="00076E76">
              <w:rPr>
                <w:rFonts w:ascii="Gill Sans" w:hAnsi="Gill Sans" w:cs="Gill Sans"/>
              </w:rPr>
              <w:t>clarity of structure;</w:t>
            </w:r>
          </w:p>
          <w:p w14:paraId="466CF3C8" w14:textId="3E81284F" w:rsidR="00FC3249" w:rsidRPr="00076E76" w:rsidRDefault="00FC3249" w:rsidP="00347CE0">
            <w:pPr>
              <w:pStyle w:val="ListParagraph"/>
              <w:numPr>
                <w:ilvl w:val="0"/>
                <w:numId w:val="9"/>
              </w:numPr>
              <w:rPr>
                <w:rFonts w:ascii="Gill Sans" w:hAnsi="Gill Sans" w:cs="Gill Sans"/>
              </w:rPr>
            </w:pPr>
            <w:r w:rsidRPr="00076E76">
              <w:rPr>
                <w:rFonts w:ascii="Gill Sans" w:hAnsi="Gill Sans" w:cs="Gill Sans"/>
              </w:rPr>
              <w:t>apposite information;</w:t>
            </w:r>
          </w:p>
          <w:p w14:paraId="5CD12974" w14:textId="6201C520" w:rsidR="00FC3249" w:rsidRPr="00076E76" w:rsidRDefault="00FC3249" w:rsidP="00347CE0">
            <w:pPr>
              <w:pStyle w:val="ListParagraph"/>
              <w:numPr>
                <w:ilvl w:val="0"/>
                <w:numId w:val="9"/>
              </w:numPr>
              <w:rPr>
                <w:rFonts w:ascii="Gill Sans" w:hAnsi="Gill Sans" w:cs="Gill Sans"/>
              </w:rPr>
            </w:pPr>
            <w:r w:rsidRPr="00076E76">
              <w:rPr>
                <w:rFonts w:ascii="Gill Sans" w:hAnsi="Gill Sans" w:cs="Gill Sans"/>
              </w:rPr>
              <w:t>accessibility of people and curriculum;</w:t>
            </w:r>
          </w:p>
          <w:p w14:paraId="5F303343" w14:textId="4C2AC148" w:rsidR="00FC3249" w:rsidRPr="00076E76" w:rsidRDefault="00FC3249" w:rsidP="00347CE0">
            <w:pPr>
              <w:pStyle w:val="ListParagraph"/>
              <w:numPr>
                <w:ilvl w:val="0"/>
                <w:numId w:val="9"/>
              </w:numPr>
              <w:rPr>
                <w:rFonts w:ascii="Gill Sans" w:hAnsi="Gill Sans" w:cs="Gill Sans"/>
              </w:rPr>
            </w:pPr>
            <w:r w:rsidRPr="00076E76">
              <w:rPr>
                <w:rFonts w:ascii="Gill Sans" w:hAnsi="Gill Sans" w:cs="Gill Sans"/>
              </w:rPr>
              <w:t>purposeful liaison;</w:t>
            </w:r>
          </w:p>
          <w:p w14:paraId="13B9C9E9" w14:textId="77777777" w:rsidR="00FC3249" w:rsidRPr="00076E76" w:rsidRDefault="00FC3249" w:rsidP="00347CE0">
            <w:pPr>
              <w:pStyle w:val="ListParagraph"/>
              <w:numPr>
                <w:ilvl w:val="0"/>
                <w:numId w:val="9"/>
              </w:numPr>
              <w:rPr>
                <w:rFonts w:ascii="Gill Sans" w:hAnsi="Gill Sans" w:cs="Gill Sans"/>
                <w:b/>
                <w:color w:val="000000"/>
                <w:szCs w:val="22"/>
                <w:lang w:val="en-AU"/>
              </w:rPr>
            </w:pPr>
            <w:r w:rsidRPr="00076E76">
              <w:rPr>
                <w:rFonts w:ascii="Gill Sans" w:hAnsi="Gill Sans" w:cs="Gill Sans"/>
              </w:rPr>
              <w:t>awareness of the individual within the process</w:t>
            </w:r>
          </w:p>
          <w:p w14:paraId="7A11D93E" w14:textId="77777777" w:rsidR="00FC3249" w:rsidRPr="00076E76" w:rsidRDefault="00FC3249" w:rsidP="00347CE0">
            <w:pPr>
              <w:rPr>
                <w:rFonts w:ascii="Gill Sans" w:hAnsi="Gill Sans" w:cs="Gill Sans"/>
                <w:b/>
                <w:color w:val="000000"/>
                <w:szCs w:val="22"/>
                <w:lang w:val="en-AU"/>
              </w:rPr>
            </w:pPr>
          </w:p>
          <w:p w14:paraId="22522E1E" w14:textId="77777777" w:rsidR="00FC3249" w:rsidRPr="00076E76" w:rsidRDefault="00FC3249" w:rsidP="00347CE0">
            <w:pPr>
              <w:rPr>
                <w:rFonts w:ascii="Gill Sans" w:hAnsi="Gill Sans" w:cs="Gill Sans"/>
                <w:b/>
                <w:color w:val="000000"/>
                <w:szCs w:val="22"/>
                <w:lang w:val="en-AU"/>
              </w:rPr>
            </w:pPr>
            <w:r w:rsidRPr="00076E76">
              <w:rPr>
                <w:rFonts w:ascii="Gill Sans" w:hAnsi="Gill Sans" w:cs="Gill Sans"/>
                <w:b/>
                <w:noProof/>
                <w:color w:val="000000"/>
                <w:szCs w:val="22"/>
              </w:rPr>
              <w:lastRenderedPageBreak/>
              <w:drawing>
                <wp:inline distT="0" distB="0" distL="0" distR="0" wp14:anchorId="74734175" wp14:editId="0102B7D2">
                  <wp:extent cx="3276600" cy="3675105"/>
                  <wp:effectExtent l="0" t="0" r="0" b="825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76600" cy="3675105"/>
                          </a:xfrm>
                          <a:prstGeom prst="rect">
                            <a:avLst/>
                          </a:prstGeom>
                          <a:noFill/>
                          <a:ln>
                            <a:noFill/>
                          </a:ln>
                        </pic:spPr>
                      </pic:pic>
                    </a:graphicData>
                  </a:graphic>
                </wp:inline>
              </w:drawing>
            </w:r>
          </w:p>
          <w:p w14:paraId="067A9A5F" w14:textId="77777777" w:rsidR="00FC3249" w:rsidRPr="00076E76" w:rsidRDefault="00FC3249" w:rsidP="00347CE0">
            <w:pPr>
              <w:rPr>
                <w:rFonts w:ascii="Gill Sans" w:hAnsi="Gill Sans" w:cs="Gill Sans"/>
                <w:b/>
                <w:color w:val="000000"/>
                <w:szCs w:val="22"/>
                <w:lang w:val="en-AU"/>
              </w:rPr>
            </w:pPr>
          </w:p>
          <w:p w14:paraId="2880D434" w14:textId="77777777" w:rsidR="00FC3249" w:rsidRPr="00076E76" w:rsidRDefault="00FC3249" w:rsidP="00347CE0">
            <w:pPr>
              <w:rPr>
                <w:rFonts w:ascii="Gill Sans" w:hAnsi="Gill Sans" w:cs="Gill Sans"/>
                <w:b/>
                <w:color w:val="000000"/>
                <w:szCs w:val="22"/>
                <w:lang w:val="en-AU"/>
              </w:rPr>
            </w:pPr>
          </w:p>
          <w:p w14:paraId="71599060" w14:textId="035D2441" w:rsidR="00FC3249" w:rsidRPr="00076E76" w:rsidRDefault="00FC3249" w:rsidP="00347CE0">
            <w:pPr>
              <w:rPr>
                <w:rFonts w:ascii="Gill Sans" w:hAnsi="Gill Sans" w:cs="Gill Sans"/>
                <w:b/>
                <w:color w:val="000000"/>
                <w:szCs w:val="22"/>
                <w:lang w:val="en-AU"/>
              </w:rPr>
            </w:pPr>
            <w:r w:rsidRPr="00076E76">
              <w:rPr>
                <w:rFonts w:ascii="Gill Sans" w:hAnsi="Gill Sans" w:cs="Gill Sans"/>
                <w:b/>
                <w:noProof/>
                <w:color w:val="000000"/>
                <w:szCs w:val="22"/>
              </w:rPr>
              <w:lastRenderedPageBreak/>
              <w:drawing>
                <wp:inline distT="0" distB="0" distL="0" distR="0" wp14:anchorId="7BE8728B" wp14:editId="23FBA795">
                  <wp:extent cx="3073400" cy="3696988"/>
                  <wp:effectExtent l="0" t="0" r="0" b="1143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3400" cy="3696988"/>
                          </a:xfrm>
                          <a:prstGeom prst="rect">
                            <a:avLst/>
                          </a:prstGeom>
                          <a:noFill/>
                          <a:ln>
                            <a:noFill/>
                          </a:ln>
                        </pic:spPr>
                      </pic:pic>
                    </a:graphicData>
                  </a:graphic>
                </wp:inline>
              </w:drawing>
            </w:r>
          </w:p>
          <w:p w14:paraId="11ECA850" w14:textId="77777777" w:rsidR="00FC3249" w:rsidRPr="00076E76" w:rsidRDefault="00FC3249" w:rsidP="00347CE0">
            <w:pPr>
              <w:rPr>
                <w:rFonts w:ascii="Gill Sans" w:hAnsi="Gill Sans" w:cs="Gill Sans"/>
                <w:b/>
                <w:color w:val="000000"/>
                <w:szCs w:val="22"/>
                <w:lang w:val="en-AU"/>
              </w:rPr>
            </w:pPr>
          </w:p>
          <w:p w14:paraId="3E5F4B55" w14:textId="52D3EB83" w:rsidR="00FC3249" w:rsidRPr="00076E76" w:rsidRDefault="00FC3249" w:rsidP="00347CE0">
            <w:pPr>
              <w:rPr>
                <w:rFonts w:ascii="Gill Sans" w:hAnsi="Gill Sans" w:cs="Gill Sans"/>
                <w:b/>
                <w:color w:val="000000"/>
                <w:szCs w:val="22"/>
                <w:lang w:val="en-AU"/>
              </w:rPr>
            </w:pPr>
            <w:r w:rsidRPr="00076E76">
              <w:rPr>
                <w:rFonts w:ascii="Gill Sans" w:hAnsi="Gill Sans" w:cs="Gill Sans"/>
                <w:b/>
                <w:color w:val="000000"/>
                <w:szCs w:val="22"/>
                <w:lang w:val="en-AU"/>
              </w:rPr>
              <w:t xml:space="preserve">Implications for practice: </w:t>
            </w:r>
            <w:r w:rsidRPr="00076E76">
              <w:rPr>
                <w:rFonts w:ascii="Gill Sans" w:hAnsi="Gill Sans" w:cs="Gill Sans"/>
                <w:color w:val="000000"/>
                <w:szCs w:val="22"/>
                <w:lang w:val="en-AU"/>
              </w:rPr>
              <w:t>While students are in school, they benefit from receiving information, encouragement and one-to-one support. This necessitates close contact and communication via educational levels.</w:t>
            </w:r>
          </w:p>
          <w:p w14:paraId="61E99893" w14:textId="02654132" w:rsidR="00FC3249" w:rsidRPr="00076E76" w:rsidRDefault="00FC3249" w:rsidP="00597EE1">
            <w:pPr>
              <w:rPr>
                <w:rFonts w:ascii="Gill Sans" w:hAnsi="Gill Sans" w:cs="Gill Sans"/>
                <w:color w:val="000000"/>
                <w:szCs w:val="22"/>
                <w:lang w:val="en-AU"/>
              </w:rPr>
            </w:pPr>
            <w:r w:rsidRPr="00076E76">
              <w:rPr>
                <w:rFonts w:ascii="Gill Sans" w:hAnsi="Gill Sans" w:cs="Gill Sans"/>
                <w:b/>
                <w:color w:val="000000"/>
                <w:szCs w:val="22"/>
                <w:lang w:val="en-AU"/>
              </w:rPr>
              <w:t xml:space="preserve">Core argument: </w:t>
            </w:r>
            <w:r w:rsidRPr="00076E76">
              <w:rPr>
                <w:rFonts w:ascii="Gill Sans" w:hAnsi="Gill Sans" w:cs="Gill Sans"/>
                <w:color w:val="000000"/>
                <w:szCs w:val="22"/>
                <w:lang w:val="en-AU"/>
              </w:rPr>
              <w:t>Development of learner identity = central to successful transition into higher education. Individual attention = important: “</w:t>
            </w:r>
            <w:r w:rsidRPr="00076E76">
              <w:rPr>
                <w:rFonts w:ascii="Gill Sans" w:hAnsi="Gill Sans" w:cs="Gill Sans"/>
                <w:color w:val="000000"/>
                <w:szCs w:val="22"/>
              </w:rPr>
              <w:t xml:space="preserve">Even within the </w:t>
            </w:r>
            <w:proofErr w:type="spellStart"/>
            <w:r w:rsidRPr="00076E76">
              <w:rPr>
                <w:rFonts w:ascii="Gill Sans" w:hAnsi="Gill Sans" w:cs="Gill Sans"/>
                <w:color w:val="000000"/>
                <w:szCs w:val="22"/>
              </w:rPr>
              <w:t>organisational</w:t>
            </w:r>
            <w:proofErr w:type="spellEnd"/>
            <w:r w:rsidRPr="00076E76">
              <w:rPr>
                <w:rFonts w:ascii="Gill Sans" w:hAnsi="Gill Sans" w:cs="Gill Sans"/>
                <w:color w:val="000000"/>
                <w:szCs w:val="22"/>
              </w:rPr>
              <w:t xml:space="preserve"> web of school, college and university liaison which is necessary for student transition to higher education, both primary and secondary data in this study have shown that this human touch is possible: the challenge to those managing university systems is how to achieve it” (p.18)</w:t>
            </w:r>
          </w:p>
        </w:tc>
      </w:tr>
      <w:tr w:rsidR="00FC3249" w:rsidRPr="00076E76" w14:paraId="50044468" w14:textId="77777777" w:rsidTr="002E557C">
        <w:tc>
          <w:tcPr>
            <w:tcW w:w="5529" w:type="dxa"/>
          </w:tcPr>
          <w:p w14:paraId="65F9C7E0" w14:textId="29F948C8" w:rsidR="00FC3249" w:rsidRPr="00076E76" w:rsidRDefault="00FC3249" w:rsidP="006B71CD">
            <w:pPr>
              <w:rPr>
                <w:rFonts w:ascii="Gill Sans" w:hAnsi="Gill Sans" w:cs="Gill Sans"/>
                <w:szCs w:val="22"/>
              </w:rPr>
            </w:pPr>
            <w:proofErr w:type="spellStart"/>
            <w:r w:rsidRPr="00076E76">
              <w:rPr>
                <w:rFonts w:ascii="Gill Sans" w:hAnsi="Gill Sans" w:cs="Gill Sans"/>
                <w:szCs w:val="22"/>
              </w:rPr>
              <w:lastRenderedPageBreak/>
              <w:t>Brinkworth</w:t>
            </w:r>
            <w:proofErr w:type="spellEnd"/>
            <w:r w:rsidRPr="00076E76">
              <w:rPr>
                <w:rFonts w:ascii="Gill Sans" w:hAnsi="Gill Sans" w:cs="Gill Sans"/>
                <w:szCs w:val="22"/>
              </w:rPr>
              <w:t xml:space="preserve">, R.; McCann, B.; Matthews, C. &amp; </w:t>
            </w:r>
            <w:proofErr w:type="spellStart"/>
            <w:r w:rsidRPr="00076E76">
              <w:rPr>
                <w:rFonts w:ascii="Gill Sans" w:hAnsi="Gill Sans" w:cs="Gill Sans"/>
                <w:szCs w:val="22"/>
              </w:rPr>
              <w:t>Nordström</w:t>
            </w:r>
            <w:proofErr w:type="spellEnd"/>
            <w:r w:rsidRPr="00076E76">
              <w:rPr>
                <w:rFonts w:ascii="Gill Sans" w:hAnsi="Gill Sans" w:cs="Gill Sans"/>
                <w:szCs w:val="22"/>
              </w:rPr>
              <w:t xml:space="preserve">, K. (2009). </w:t>
            </w:r>
            <w:hyperlink r:id="rId31" w:history="1">
              <w:r w:rsidRPr="00A56645">
                <w:rPr>
                  <w:rStyle w:val="Hyperlink"/>
                  <w:rFonts w:ascii="Gill Sans" w:hAnsi="Gill Sans" w:cs="Gill Sans"/>
                  <w:szCs w:val="22"/>
                </w:rPr>
                <w:t>First year expectations and experiences: student and teacher perspectives</w:t>
              </w:r>
            </w:hyperlink>
            <w:r w:rsidRPr="00076E76">
              <w:rPr>
                <w:rFonts w:ascii="Gill Sans" w:hAnsi="Gill Sans" w:cs="Gill Sans"/>
                <w:szCs w:val="22"/>
              </w:rPr>
              <w:t xml:space="preserve">, </w:t>
            </w:r>
            <w:r w:rsidRPr="00076E76">
              <w:rPr>
                <w:rFonts w:ascii="Gill Sans" w:hAnsi="Gill Sans" w:cs="Gill Sans"/>
                <w:i/>
                <w:szCs w:val="22"/>
              </w:rPr>
              <w:t xml:space="preserve">Higher Education, </w:t>
            </w:r>
            <w:r w:rsidR="00DA69FD">
              <w:rPr>
                <w:rFonts w:ascii="Gill Sans" w:hAnsi="Gill Sans" w:cs="Gill Sans"/>
                <w:szCs w:val="22"/>
              </w:rPr>
              <w:t>58, 157–</w:t>
            </w:r>
            <w:r w:rsidRPr="00076E76">
              <w:rPr>
                <w:rFonts w:ascii="Gill Sans" w:hAnsi="Gill Sans" w:cs="Gill Sans"/>
                <w:szCs w:val="22"/>
              </w:rPr>
              <w:t>173.</w:t>
            </w:r>
          </w:p>
          <w:p w14:paraId="55F532F0" w14:textId="77777777" w:rsidR="00FC3249" w:rsidRPr="00076E76" w:rsidRDefault="00FC3249" w:rsidP="006B71CD">
            <w:pPr>
              <w:rPr>
                <w:rFonts w:ascii="Gill Sans" w:hAnsi="Gill Sans" w:cs="Gill Sans"/>
                <w:szCs w:val="22"/>
              </w:rPr>
            </w:pPr>
          </w:p>
          <w:p w14:paraId="30A391CE" w14:textId="77777777" w:rsidR="00FC3249" w:rsidRPr="00076E76" w:rsidRDefault="00FC3249" w:rsidP="006B71CD">
            <w:pPr>
              <w:rPr>
                <w:rFonts w:ascii="Gill Sans" w:hAnsi="Gill Sans" w:cs="Gill Sans"/>
                <w:szCs w:val="22"/>
              </w:rPr>
            </w:pPr>
            <w:r w:rsidRPr="00076E76">
              <w:rPr>
                <w:rFonts w:ascii="Gill Sans" w:hAnsi="Gill Sans" w:cs="Gill Sans"/>
                <w:szCs w:val="22"/>
              </w:rPr>
              <w:t>AUS</w:t>
            </w:r>
          </w:p>
          <w:p w14:paraId="411EC012" w14:textId="181A0BC8" w:rsidR="000F60CF" w:rsidRPr="00076E76" w:rsidRDefault="000F60CF" w:rsidP="006B71CD">
            <w:pPr>
              <w:rPr>
                <w:rFonts w:ascii="Gill Sans" w:hAnsi="Gill Sans" w:cs="Gill Sans"/>
                <w:szCs w:val="22"/>
              </w:rPr>
            </w:pPr>
            <w:r w:rsidRPr="00076E76">
              <w:rPr>
                <w:rFonts w:ascii="Gill Sans" w:hAnsi="Gill Sans" w:cs="Gill Sans"/>
                <w:szCs w:val="22"/>
              </w:rPr>
              <w:t>Annotation by Sally Baker</w:t>
            </w:r>
          </w:p>
          <w:p w14:paraId="0E1D4EE6" w14:textId="77777777" w:rsidR="00FC3249" w:rsidRPr="00076E76" w:rsidRDefault="00FC3249" w:rsidP="006B71CD">
            <w:pPr>
              <w:rPr>
                <w:rFonts w:ascii="Gill Sans" w:hAnsi="Gill Sans" w:cs="Gill Sans"/>
                <w:szCs w:val="22"/>
              </w:rPr>
            </w:pPr>
          </w:p>
          <w:p w14:paraId="1E99B428" w14:textId="3735E1DD" w:rsidR="00FC3249" w:rsidRPr="00076E76" w:rsidRDefault="00FC3249" w:rsidP="006B71CD">
            <w:pPr>
              <w:rPr>
                <w:rFonts w:ascii="Gill Sans" w:hAnsi="Gill Sans" w:cs="Gill Sans"/>
                <w:i/>
                <w:szCs w:val="22"/>
              </w:rPr>
            </w:pPr>
            <w:r w:rsidRPr="00076E76">
              <w:rPr>
                <w:rFonts w:ascii="Gill Sans" w:hAnsi="Gill Sans" w:cs="Gill Sans"/>
                <w:szCs w:val="22"/>
              </w:rPr>
              <w:t xml:space="preserve">Keywords: </w:t>
            </w:r>
            <w:r w:rsidRPr="00076E76">
              <w:rPr>
                <w:rFonts w:ascii="Gill Sans" w:hAnsi="Gill Sans" w:cs="Gill Sans"/>
                <w:i/>
                <w:szCs w:val="22"/>
              </w:rPr>
              <w:t xml:space="preserve">Tertiary education; </w:t>
            </w:r>
            <w:r w:rsidR="00DC219B">
              <w:rPr>
                <w:rFonts w:ascii="Gill Sans" w:hAnsi="Gill Sans" w:cs="Gill Sans"/>
                <w:i/>
                <w:szCs w:val="22"/>
              </w:rPr>
              <w:t>t</w:t>
            </w:r>
            <w:r w:rsidRPr="00076E76">
              <w:rPr>
                <w:rFonts w:ascii="Gill Sans" w:hAnsi="Gill Sans" w:cs="Gill Sans"/>
                <w:i/>
                <w:szCs w:val="22"/>
              </w:rPr>
              <w:t xml:space="preserve">ransition; </w:t>
            </w:r>
            <w:r w:rsidR="00DC219B">
              <w:rPr>
                <w:rFonts w:ascii="Gill Sans" w:hAnsi="Gill Sans" w:cs="Gill Sans"/>
                <w:i/>
                <w:szCs w:val="22"/>
              </w:rPr>
              <w:t>m</w:t>
            </w:r>
            <w:r w:rsidRPr="00076E76">
              <w:rPr>
                <w:rFonts w:ascii="Gill Sans" w:hAnsi="Gill Sans" w:cs="Gill Sans"/>
                <w:i/>
                <w:szCs w:val="22"/>
              </w:rPr>
              <w:t xml:space="preserve">ismatch; </w:t>
            </w:r>
            <w:r w:rsidR="00DC219B">
              <w:rPr>
                <w:rFonts w:ascii="Gill Sans" w:hAnsi="Gill Sans" w:cs="Gill Sans"/>
                <w:i/>
                <w:szCs w:val="22"/>
              </w:rPr>
              <w:t>f</w:t>
            </w:r>
            <w:r w:rsidRPr="00076E76">
              <w:rPr>
                <w:rFonts w:ascii="Gill Sans" w:hAnsi="Gill Sans" w:cs="Gill Sans"/>
                <w:i/>
                <w:szCs w:val="22"/>
              </w:rPr>
              <w:t>eedback</w:t>
            </w:r>
          </w:p>
          <w:p w14:paraId="09A116D6" w14:textId="77777777" w:rsidR="00FC3249" w:rsidRPr="00076E76" w:rsidRDefault="00FC3249" w:rsidP="006B71CD">
            <w:pPr>
              <w:rPr>
                <w:rFonts w:ascii="Gill Sans" w:hAnsi="Gill Sans" w:cs="Gill Sans"/>
                <w:i/>
                <w:szCs w:val="22"/>
              </w:rPr>
            </w:pPr>
          </w:p>
          <w:p w14:paraId="1C8DFFDE" w14:textId="2108ADC0" w:rsidR="00FC3249" w:rsidRPr="00076E76" w:rsidRDefault="00FC3249" w:rsidP="006B71CD">
            <w:pPr>
              <w:rPr>
                <w:rFonts w:ascii="Gill Sans" w:hAnsi="Gill Sans" w:cs="Gill Sans"/>
                <w:b/>
                <w:szCs w:val="22"/>
              </w:rPr>
            </w:pPr>
          </w:p>
        </w:tc>
        <w:tc>
          <w:tcPr>
            <w:tcW w:w="10064" w:type="dxa"/>
          </w:tcPr>
          <w:p w14:paraId="115AB81F" w14:textId="52182094" w:rsidR="00FC3249" w:rsidRPr="00076E76" w:rsidRDefault="00FC3249" w:rsidP="006B71CD">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sidRPr="00076E76">
              <w:rPr>
                <w:rFonts w:ascii="Gill Sans" w:hAnsi="Gill Sans" w:cs="Gill Sans"/>
                <w:color w:val="000000"/>
                <w:szCs w:val="22"/>
                <w:lang w:val="en-AU"/>
              </w:rPr>
              <w:t>Explores transitions into higher education in Australia, based in part of argument by McInnis (2001) that states that a ‘sizeable minority’ struggle to acclimatise to higher education study – connection made to students being ‘inadequately prepared’ for university/ the ‘falling standards’ argument – impact on attrition and funding made explicit. Notes American literature that links challenges with transition to low income/ ethnic minority students (also makes contrast with Russian study). Scopes Australian literature (particularly FYE literature) and transition strategies. Notes how University of Adelaide surveyed commencing students in 2007 to examine expectations – this paper draws on this by following up two of the student groups.</w:t>
            </w:r>
          </w:p>
          <w:p w14:paraId="4E5C1396" w14:textId="77777777" w:rsidR="00FC3249" w:rsidRPr="00076E76" w:rsidRDefault="00FC3249" w:rsidP="001D6B53">
            <w:pPr>
              <w:rPr>
                <w:rFonts w:ascii="Gill Sans" w:hAnsi="Gill Sans" w:cs="Gill Sans"/>
                <w:color w:val="000000"/>
                <w:szCs w:val="22"/>
              </w:rPr>
            </w:pPr>
            <w:r w:rsidRPr="00076E76">
              <w:rPr>
                <w:rFonts w:ascii="Gill Sans" w:hAnsi="Gill Sans" w:cs="Gill Sans"/>
                <w:b/>
                <w:color w:val="000000"/>
                <w:szCs w:val="22"/>
                <w:lang w:val="en-AU"/>
              </w:rPr>
              <w:t xml:space="preserve">Aim: </w:t>
            </w:r>
            <w:r w:rsidRPr="00076E76">
              <w:rPr>
                <w:rFonts w:ascii="Gill Sans" w:hAnsi="Gill Sans" w:cs="Gill Sans"/>
                <w:color w:val="000000"/>
                <w:szCs w:val="22"/>
                <w:lang w:val="en-AU"/>
              </w:rPr>
              <w:t>To investigate “</w:t>
            </w:r>
            <w:r w:rsidRPr="00076E76">
              <w:rPr>
                <w:rFonts w:ascii="Gill Sans" w:hAnsi="Gill Sans" w:cs="Gill Sans"/>
                <w:color w:val="000000"/>
                <w:szCs w:val="22"/>
              </w:rPr>
              <w:t>the extent to which these first year students’ expectations were met and considered their responses alongside their teachers’ views, with particular focus on feedback” (p.159) – to “gain a</w:t>
            </w:r>
          </w:p>
          <w:p w14:paraId="60562605" w14:textId="7EF64589" w:rsidR="00FC3249" w:rsidRPr="00076E76" w:rsidRDefault="00FC3249" w:rsidP="001D6B53">
            <w:pPr>
              <w:rPr>
                <w:rFonts w:ascii="Gill Sans" w:hAnsi="Gill Sans" w:cs="Gill Sans"/>
                <w:color w:val="000000"/>
                <w:szCs w:val="22"/>
                <w:lang w:val="en-AU"/>
              </w:rPr>
            </w:pPr>
            <w:r w:rsidRPr="00076E76">
              <w:rPr>
                <w:rFonts w:ascii="Gill Sans" w:hAnsi="Gill Sans" w:cs="Gill Sans"/>
                <w:color w:val="000000"/>
                <w:szCs w:val="22"/>
              </w:rPr>
              <w:t>deeper understanding of the relationship between the expectations of students entering university, the experience of first year students, and their teachers’ perceptions” (p.160) and to compare Science and Humanities students.</w:t>
            </w:r>
          </w:p>
          <w:p w14:paraId="63FD86D3" w14:textId="66389923" w:rsidR="00FC3249" w:rsidRPr="00076E76" w:rsidRDefault="00FC3249" w:rsidP="006B71CD">
            <w:pPr>
              <w:rPr>
                <w:rFonts w:ascii="Gill Sans" w:hAnsi="Gill Sans" w:cs="Gill Sans"/>
                <w:color w:val="000000"/>
                <w:szCs w:val="22"/>
                <w:lang w:val="en-AU"/>
              </w:rPr>
            </w:pPr>
            <w:r w:rsidRPr="00076E76">
              <w:rPr>
                <w:rFonts w:ascii="Gill Sans" w:hAnsi="Gill Sans" w:cs="Gill Sans"/>
                <w:b/>
                <w:color w:val="000000"/>
                <w:szCs w:val="22"/>
                <w:lang w:val="en-AU"/>
              </w:rPr>
              <w:t xml:space="preserve">Theoretical frame: </w:t>
            </w:r>
            <w:r w:rsidRPr="00076E76">
              <w:rPr>
                <w:rFonts w:ascii="Gill Sans" w:hAnsi="Gill Sans" w:cs="Gill Sans"/>
                <w:color w:val="000000"/>
                <w:szCs w:val="22"/>
                <w:lang w:val="en-AU"/>
              </w:rPr>
              <w:t>None explicit</w:t>
            </w:r>
          </w:p>
          <w:p w14:paraId="617324D1" w14:textId="77777777" w:rsidR="00FC3249" w:rsidRPr="00076E76" w:rsidRDefault="00FC3249" w:rsidP="00DF3A7D">
            <w:pPr>
              <w:rPr>
                <w:rFonts w:ascii="Gill Sans" w:hAnsi="Gill Sans" w:cs="Gill Sans"/>
                <w:color w:val="000000"/>
                <w:szCs w:val="22"/>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 xml:space="preserve">Quantitative/ survey design. Two groups of students asked to retake survey in Y1S2 or Y2 (allowing separation of experience and reflection on experience); Year 1 tutors from multiple disciplines also asked to take survey. Surveys= </w:t>
            </w:r>
            <w:proofErr w:type="spellStart"/>
            <w:r w:rsidRPr="00076E76">
              <w:rPr>
                <w:rFonts w:ascii="Gill Sans" w:hAnsi="Gill Sans" w:cs="Gill Sans"/>
                <w:color w:val="000000"/>
                <w:szCs w:val="22"/>
                <w:lang w:val="en-AU"/>
              </w:rPr>
              <w:t>likert</w:t>
            </w:r>
            <w:proofErr w:type="spellEnd"/>
            <w:r w:rsidRPr="00076E76">
              <w:rPr>
                <w:rFonts w:ascii="Gill Sans" w:hAnsi="Gill Sans" w:cs="Gill Sans"/>
                <w:color w:val="000000"/>
                <w:szCs w:val="22"/>
                <w:lang w:val="en-AU"/>
              </w:rPr>
              <w:t xml:space="preserve"> scales (see p.161-2 for detail on survey instruments). Participants = </w:t>
            </w:r>
            <w:r w:rsidRPr="00076E76">
              <w:rPr>
                <w:rFonts w:ascii="Gill Sans" w:hAnsi="Gill Sans" w:cs="Gill Sans"/>
                <w:color w:val="000000"/>
                <w:szCs w:val="22"/>
                <w:lang w:val="en-AU"/>
              </w:rPr>
              <w:br/>
              <w:t>“</w:t>
            </w:r>
            <w:r w:rsidRPr="00076E76">
              <w:rPr>
                <w:rFonts w:ascii="Gill Sans" w:hAnsi="Gill Sans" w:cs="Gill Sans"/>
                <w:color w:val="000000"/>
                <w:szCs w:val="22"/>
              </w:rPr>
              <w:t>111 first year Humanities (French and History) students</w:t>
            </w:r>
          </w:p>
          <w:p w14:paraId="1958550C" w14:textId="77777777" w:rsidR="00FC3249" w:rsidRPr="00076E76" w:rsidRDefault="00FC3249" w:rsidP="00DF3A7D">
            <w:pPr>
              <w:rPr>
                <w:rFonts w:ascii="Gill Sans" w:hAnsi="Gill Sans" w:cs="Gill Sans"/>
                <w:color w:val="000000"/>
                <w:szCs w:val="22"/>
              </w:rPr>
            </w:pPr>
            <w:r w:rsidRPr="00076E76">
              <w:rPr>
                <w:rFonts w:ascii="Gill Sans" w:hAnsi="Gill Sans" w:cs="Gill Sans"/>
                <w:color w:val="000000"/>
                <w:szCs w:val="22"/>
              </w:rPr>
              <w:t>• 122 first year Science (Biology and Geology) students</w:t>
            </w:r>
          </w:p>
          <w:p w14:paraId="208BCAB7" w14:textId="421C3363" w:rsidR="00FC3249" w:rsidRPr="00076E76" w:rsidRDefault="00FC3249" w:rsidP="00DF3A7D">
            <w:pPr>
              <w:rPr>
                <w:rFonts w:ascii="Gill Sans" w:hAnsi="Gill Sans" w:cs="Gill Sans"/>
                <w:color w:val="000000"/>
                <w:szCs w:val="22"/>
              </w:rPr>
            </w:pPr>
            <w:r w:rsidRPr="00076E76">
              <w:rPr>
                <w:rFonts w:ascii="Gill Sans" w:hAnsi="Gill Sans" w:cs="Gill Sans"/>
                <w:color w:val="000000"/>
                <w:szCs w:val="22"/>
              </w:rPr>
              <w:t>• 86 second year Humanities (Classics, French, German, History, Media and Politics) students</w:t>
            </w:r>
          </w:p>
          <w:p w14:paraId="2DEC9417" w14:textId="77777777" w:rsidR="00FC3249" w:rsidRPr="00076E76" w:rsidRDefault="00FC3249" w:rsidP="00DF3A7D">
            <w:pPr>
              <w:rPr>
                <w:rFonts w:ascii="Gill Sans" w:hAnsi="Gill Sans" w:cs="Gill Sans"/>
                <w:color w:val="000000"/>
                <w:szCs w:val="22"/>
              </w:rPr>
            </w:pPr>
            <w:r w:rsidRPr="00076E76">
              <w:rPr>
                <w:rFonts w:ascii="Gill Sans" w:hAnsi="Gill Sans" w:cs="Gill Sans"/>
                <w:color w:val="000000"/>
                <w:szCs w:val="22"/>
              </w:rPr>
              <w:t>• 103 second year Science (Biology and Physics) students</w:t>
            </w:r>
          </w:p>
          <w:p w14:paraId="67FA0660" w14:textId="77777777" w:rsidR="00FC3249" w:rsidRPr="00076E76" w:rsidRDefault="00FC3249" w:rsidP="00DF3A7D">
            <w:pPr>
              <w:rPr>
                <w:rFonts w:ascii="Gill Sans" w:hAnsi="Gill Sans" w:cs="Gill Sans"/>
                <w:color w:val="000000"/>
                <w:szCs w:val="22"/>
              </w:rPr>
            </w:pPr>
            <w:r w:rsidRPr="00076E76">
              <w:rPr>
                <w:rFonts w:ascii="Gill Sans" w:hAnsi="Gill Sans" w:cs="Gill Sans"/>
                <w:color w:val="000000"/>
                <w:szCs w:val="22"/>
              </w:rPr>
              <w:t>• 11 teachers of first year Humanities (Classics, French, German, History and Media)</w:t>
            </w:r>
          </w:p>
          <w:p w14:paraId="102A33E8" w14:textId="41382698" w:rsidR="00FC3249" w:rsidRPr="00076E76" w:rsidRDefault="00FC3249" w:rsidP="00DF3A7D">
            <w:pPr>
              <w:rPr>
                <w:rFonts w:ascii="Gill Sans" w:hAnsi="Gill Sans" w:cs="Gill Sans"/>
                <w:color w:val="000000"/>
                <w:szCs w:val="22"/>
                <w:lang w:val="en-AU"/>
              </w:rPr>
            </w:pPr>
            <w:r w:rsidRPr="00076E76">
              <w:rPr>
                <w:rFonts w:ascii="Gill Sans" w:hAnsi="Gill Sans" w:cs="Gill Sans"/>
                <w:color w:val="000000"/>
                <w:szCs w:val="22"/>
              </w:rPr>
              <w:t>• 17 teachers of first year Science (Biology, Chemistry, Geology and Physics)” (p.163)</w:t>
            </w:r>
          </w:p>
          <w:p w14:paraId="222D59B5" w14:textId="77777777" w:rsidR="00FC3249" w:rsidRPr="00076E76" w:rsidRDefault="00FC3249" w:rsidP="006B71CD">
            <w:pPr>
              <w:rPr>
                <w:rFonts w:ascii="Gill Sans" w:hAnsi="Gill Sans" w:cs="Gill Sans"/>
                <w:b/>
                <w:color w:val="000000"/>
                <w:szCs w:val="22"/>
                <w:lang w:val="en-AU"/>
              </w:rPr>
            </w:pPr>
            <w:r w:rsidRPr="00076E76">
              <w:rPr>
                <w:rFonts w:ascii="Gill Sans" w:hAnsi="Gill Sans" w:cs="Gill Sans"/>
                <w:b/>
                <w:color w:val="000000"/>
                <w:szCs w:val="22"/>
                <w:lang w:val="en-AU"/>
              </w:rPr>
              <w:t xml:space="preserve">Findings: </w:t>
            </w:r>
          </w:p>
          <w:p w14:paraId="3F6B3EC8" w14:textId="77777777" w:rsidR="00FC3249" w:rsidRPr="00076E76" w:rsidRDefault="00FC3249" w:rsidP="006B71CD">
            <w:pPr>
              <w:rPr>
                <w:rFonts w:ascii="Gill Sans" w:hAnsi="Gill Sans" w:cs="Gill Sans"/>
                <w:color w:val="000000"/>
                <w:szCs w:val="22"/>
                <w:lang w:val="en-AU"/>
              </w:rPr>
            </w:pPr>
            <w:r w:rsidRPr="00076E76">
              <w:rPr>
                <w:rFonts w:ascii="Gill Sans" w:hAnsi="Gill Sans" w:cs="Gill Sans"/>
                <w:color w:val="000000"/>
                <w:szCs w:val="22"/>
                <w:lang w:val="en-AU"/>
              </w:rPr>
              <w:t>90% students expected university to be different from school</w:t>
            </w:r>
          </w:p>
          <w:p w14:paraId="101D707B" w14:textId="77777777" w:rsidR="00FC3249" w:rsidRPr="00076E76" w:rsidRDefault="00FC3249" w:rsidP="006B71CD">
            <w:pPr>
              <w:rPr>
                <w:rFonts w:ascii="Gill Sans" w:hAnsi="Gill Sans" w:cs="Gill Sans"/>
                <w:color w:val="000000"/>
                <w:szCs w:val="22"/>
                <w:lang w:val="en-AU"/>
              </w:rPr>
            </w:pPr>
            <w:r w:rsidRPr="00076E76">
              <w:rPr>
                <w:rFonts w:ascii="Gill Sans" w:hAnsi="Gill Sans" w:cs="Gill Sans"/>
                <w:color w:val="000000"/>
                <w:szCs w:val="22"/>
                <w:lang w:val="en-AU"/>
              </w:rPr>
              <w:t>Almost all participants (students and teachers) agreed/strongly agreed that studying at uni = different from high school</w:t>
            </w:r>
          </w:p>
          <w:p w14:paraId="3C33555A" w14:textId="77777777" w:rsidR="00FC3249" w:rsidRPr="00076E76" w:rsidRDefault="00FC3249" w:rsidP="006B71CD">
            <w:pPr>
              <w:rPr>
                <w:rFonts w:ascii="Gill Sans" w:hAnsi="Gill Sans" w:cs="Gill Sans"/>
                <w:color w:val="000000"/>
                <w:szCs w:val="22"/>
                <w:lang w:val="en-AU"/>
              </w:rPr>
            </w:pPr>
            <w:r w:rsidRPr="00076E76">
              <w:rPr>
                <w:rFonts w:ascii="Gill Sans" w:hAnsi="Gill Sans" w:cs="Gill Sans"/>
                <w:color w:val="000000"/>
                <w:szCs w:val="22"/>
                <w:lang w:val="en-AU"/>
              </w:rPr>
              <w:t>Students had big differences in expectations of / realities of workload, assessment and feedback.</w:t>
            </w:r>
          </w:p>
          <w:p w14:paraId="2291DB7F" w14:textId="77777777" w:rsidR="00FC3249" w:rsidRPr="00076E76" w:rsidRDefault="00FC3249" w:rsidP="006B71CD">
            <w:pPr>
              <w:rPr>
                <w:rFonts w:ascii="Gill Sans" w:hAnsi="Gill Sans" w:cs="Gill Sans"/>
                <w:color w:val="000000"/>
                <w:szCs w:val="22"/>
                <w:lang w:val="en-AU"/>
              </w:rPr>
            </w:pPr>
            <w:r w:rsidRPr="00076E76">
              <w:rPr>
                <w:rFonts w:ascii="Gill Sans" w:hAnsi="Gill Sans" w:cs="Gill Sans"/>
                <w:color w:val="000000"/>
                <w:szCs w:val="22"/>
                <w:lang w:val="en-AU"/>
              </w:rPr>
              <w:t>89% Science students expected ready access to teachers (largely un-met) – similar patterns with Humanities</w:t>
            </w:r>
          </w:p>
          <w:p w14:paraId="353F6F6A" w14:textId="77777777" w:rsidR="00FC3249" w:rsidRPr="00076E76" w:rsidRDefault="00FC3249" w:rsidP="006B71CD">
            <w:pPr>
              <w:rPr>
                <w:rFonts w:ascii="Gill Sans" w:hAnsi="Gill Sans" w:cs="Gill Sans"/>
                <w:color w:val="000000"/>
                <w:szCs w:val="22"/>
                <w:lang w:val="en-AU"/>
              </w:rPr>
            </w:pPr>
            <w:r w:rsidRPr="00076E76">
              <w:rPr>
                <w:rFonts w:ascii="Gill Sans" w:hAnsi="Gill Sans" w:cs="Gill Sans"/>
                <w:color w:val="000000"/>
                <w:szCs w:val="22"/>
                <w:lang w:val="en-AU"/>
              </w:rPr>
              <w:t>94% Science teachers ranked themselves as available; 64% Humanities teachers thought they were available</w:t>
            </w:r>
          </w:p>
          <w:p w14:paraId="0ED77277" w14:textId="77777777" w:rsidR="00FC3249" w:rsidRPr="00076E76" w:rsidRDefault="00FC3249" w:rsidP="006B71CD">
            <w:pPr>
              <w:rPr>
                <w:rFonts w:ascii="Gill Sans" w:hAnsi="Gill Sans" w:cs="Gill Sans"/>
                <w:color w:val="000000"/>
                <w:szCs w:val="22"/>
                <w:lang w:val="en-AU"/>
              </w:rPr>
            </w:pPr>
            <w:r w:rsidRPr="00076E76">
              <w:rPr>
                <w:rFonts w:ascii="Gill Sans" w:hAnsi="Gill Sans" w:cs="Gill Sans"/>
                <w:color w:val="000000"/>
                <w:szCs w:val="22"/>
                <w:lang w:val="en-AU"/>
              </w:rPr>
              <w:t>Both Y1 groups thought = important to attend lectures [see contrast with findings in Keane, 2011)</w:t>
            </w:r>
          </w:p>
          <w:p w14:paraId="586DFE05" w14:textId="77777777" w:rsidR="00FC3249" w:rsidRPr="00076E76" w:rsidRDefault="00FC3249" w:rsidP="006B71CD">
            <w:pPr>
              <w:rPr>
                <w:rFonts w:ascii="Gill Sans" w:hAnsi="Gill Sans" w:cs="Gill Sans"/>
                <w:color w:val="000000"/>
                <w:szCs w:val="22"/>
                <w:lang w:val="en-AU"/>
              </w:rPr>
            </w:pPr>
            <w:r w:rsidRPr="00076E76">
              <w:rPr>
                <w:rFonts w:ascii="Gill Sans" w:hAnsi="Gill Sans" w:cs="Gill Sans"/>
                <w:color w:val="000000"/>
                <w:szCs w:val="22"/>
                <w:lang w:val="en-AU"/>
              </w:rPr>
              <w:t>Students generally perceived collaborative learning (working with other students) as good for learning</w:t>
            </w:r>
          </w:p>
          <w:p w14:paraId="71C57CC6" w14:textId="77777777" w:rsidR="00FC3249" w:rsidRPr="00076E76" w:rsidRDefault="00FC3249" w:rsidP="006B71CD">
            <w:pPr>
              <w:rPr>
                <w:rFonts w:ascii="Gill Sans" w:hAnsi="Gill Sans" w:cs="Gill Sans"/>
                <w:color w:val="000000"/>
                <w:szCs w:val="22"/>
                <w:lang w:val="en-AU"/>
              </w:rPr>
            </w:pPr>
            <w:r w:rsidRPr="00076E76">
              <w:rPr>
                <w:rFonts w:ascii="Gill Sans" w:hAnsi="Gill Sans" w:cs="Gill Sans"/>
                <w:color w:val="000000"/>
                <w:szCs w:val="22"/>
                <w:lang w:val="en-AU"/>
              </w:rPr>
              <w:lastRenderedPageBreak/>
              <w:t xml:space="preserve">Both groups = perceived they learnt more from enthusiastic teachers </w:t>
            </w:r>
          </w:p>
          <w:p w14:paraId="2EE0BDD2" w14:textId="77777777" w:rsidR="00FC3249" w:rsidRPr="00076E76" w:rsidRDefault="00FC3249" w:rsidP="006B71CD">
            <w:pPr>
              <w:rPr>
                <w:rFonts w:ascii="Gill Sans" w:hAnsi="Gill Sans" w:cs="Gill Sans"/>
                <w:color w:val="000000"/>
                <w:szCs w:val="22"/>
                <w:lang w:val="en-AU"/>
              </w:rPr>
            </w:pPr>
            <w:r w:rsidRPr="00076E76">
              <w:rPr>
                <w:rFonts w:ascii="Gill Sans" w:hAnsi="Gill Sans" w:cs="Gill Sans"/>
                <w:color w:val="000000"/>
                <w:szCs w:val="22"/>
                <w:lang w:val="en-AU"/>
              </w:rPr>
              <w:t>Both groups expressed preference for images and diagrams</w:t>
            </w:r>
          </w:p>
          <w:p w14:paraId="6BEC9627" w14:textId="77777777" w:rsidR="00FC3249" w:rsidRPr="00076E76" w:rsidRDefault="00FC3249" w:rsidP="006B71CD">
            <w:pPr>
              <w:rPr>
                <w:rFonts w:ascii="Gill Sans" w:hAnsi="Gill Sans" w:cs="Gill Sans"/>
                <w:color w:val="000000"/>
                <w:szCs w:val="22"/>
                <w:lang w:val="en-AU"/>
              </w:rPr>
            </w:pPr>
            <w:r w:rsidRPr="00076E76">
              <w:rPr>
                <w:rFonts w:ascii="Gill Sans" w:hAnsi="Gill Sans" w:cs="Gill Sans"/>
                <w:color w:val="000000"/>
                <w:szCs w:val="22"/>
                <w:lang w:val="en-AU"/>
              </w:rPr>
              <w:t xml:space="preserve"> More humanities students likely to seek extra information (70-75% compared to 50-60% Science students)</w:t>
            </w:r>
          </w:p>
          <w:p w14:paraId="7BE3D0F7" w14:textId="77777777" w:rsidR="00FC3249" w:rsidRPr="00076E76" w:rsidRDefault="00FC3249" w:rsidP="006B71CD">
            <w:pPr>
              <w:rPr>
                <w:rFonts w:ascii="Gill Sans" w:hAnsi="Gill Sans" w:cs="Gill Sans"/>
                <w:color w:val="000000"/>
                <w:szCs w:val="22"/>
                <w:lang w:val="en-AU"/>
              </w:rPr>
            </w:pPr>
            <w:r w:rsidRPr="00076E76">
              <w:rPr>
                <w:rFonts w:ascii="Gill Sans" w:hAnsi="Gill Sans" w:cs="Gill Sans"/>
                <w:color w:val="000000"/>
                <w:szCs w:val="22"/>
                <w:lang w:val="en-AU"/>
              </w:rPr>
              <w:t>Humanities students in general chose/stuck with course because of creativity, while Science = due to work prospects.</w:t>
            </w:r>
          </w:p>
          <w:p w14:paraId="7C98C1C9" w14:textId="77777777" w:rsidR="00FC3249" w:rsidRPr="00076E76" w:rsidRDefault="00FC3249" w:rsidP="006B71CD">
            <w:pPr>
              <w:rPr>
                <w:rFonts w:ascii="Gill Sans" w:hAnsi="Gill Sans" w:cs="Gill Sans"/>
                <w:color w:val="000000"/>
                <w:szCs w:val="22"/>
                <w:lang w:val="en-AU"/>
              </w:rPr>
            </w:pPr>
            <w:r w:rsidRPr="00076E76">
              <w:rPr>
                <w:rFonts w:ascii="Gill Sans" w:hAnsi="Gill Sans" w:cs="Gill Sans"/>
                <w:color w:val="000000"/>
                <w:szCs w:val="22"/>
                <w:lang w:val="en-AU"/>
              </w:rPr>
              <w:t>Mismatch between teachers’ expectations of/ students’ realities regarding outside commitments (</w:t>
            </w:r>
            <w:proofErr w:type="spellStart"/>
            <w:r w:rsidRPr="00076E76">
              <w:rPr>
                <w:rFonts w:ascii="Gill Sans" w:hAnsi="Gill Sans" w:cs="Gill Sans"/>
                <w:color w:val="000000"/>
                <w:szCs w:val="22"/>
                <w:lang w:val="en-AU"/>
              </w:rPr>
              <w:t>ie</w:t>
            </w:r>
            <w:proofErr w:type="spellEnd"/>
            <w:r w:rsidRPr="00076E76">
              <w:rPr>
                <w:rFonts w:ascii="Gill Sans" w:hAnsi="Gill Sans" w:cs="Gill Sans"/>
                <w:color w:val="000000"/>
                <w:szCs w:val="22"/>
                <w:lang w:val="en-AU"/>
              </w:rPr>
              <w:t>. Teachers underestimated students’ outside commitments)</w:t>
            </w:r>
          </w:p>
          <w:p w14:paraId="4D340C75" w14:textId="2152778D" w:rsidR="00FC3249" w:rsidRPr="00076E76" w:rsidRDefault="00FC3249" w:rsidP="00BE7216">
            <w:pPr>
              <w:rPr>
                <w:rFonts w:ascii="Gill Sans" w:hAnsi="Gill Sans" w:cs="Gill Sans"/>
                <w:color w:val="000000"/>
                <w:szCs w:val="22"/>
                <w:lang w:val="en-AU"/>
              </w:rPr>
            </w:pPr>
            <w:r w:rsidRPr="00076E76">
              <w:rPr>
                <w:rFonts w:ascii="Gill Sans" w:hAnsi="Gill Sans" w:cs="Gill Sans"/>
                <w:color w:val="000000"/>
                <w:szCs w:val="22"/>
                <w:lang w:val="en-AU"/>
              </w:rPr>
              <w:t xml:space="preserve">Big mismatches regarding feedback – commencing students had high expectations of good feedback on drafts – none of these expectations met for Humanities students and only 22% of Science students (7% in Yr1; 26% in Y2) </w:t>
            </w:r>
          </w:p>
          <w:p w14:paraId="73C11DA2" w14:textId="0A9FDC86" w:rsidR="00FC3249" w:rsidRPr="00076E76" w:rsidRDefault="00FC3249" w:rsidP="00BE7216">
            <w:pPr>
              <w:rPr>
                <w:rFonts w:ascii="Gill Sans" w:hAnsi="Gill Sans" w:cs="Gill Sans"/>
                <w:color w:val="000000"/>
                <w:szCs w:val="22"/>
                <w:lang w:val="en-AU"/>
              </w:rPr>
            </w:pPr>
            <w:r w:rsidRPr="00076E76">
              <w:rPr>
                <w:rFonts w:ascii="Gill Sans" w:hAnsi="Gill Sans" w:cs="Gill Sans"/>
                <w:color w:val="000000"/>
                <w:szCs w:val="22"/>
                <w:lang w:val="en-AU"/>
              </w:rPr>
              <w:t>20% of Humanities students reported getting feedback compared with 0% of teachers saying they provided such feedback on drafts</w:t>
            </w:r>
            <w:r w:rsidRPr="00076E76">
              <w:rPr>
                <w:rFonts w:ascii="Gill Sans" w:hAnsi="Gill Sans" w:cs="Gill Sans"/>
                <w:b/>
                <w:color w:val="000000"/>
                <w:szCs w:val="22"/>
                <w:lang w:val="en-AU"/>
              </w:rPr>
              <w:br/>
            </w:r>
            <w:r w:rsidRPr="00076E76">
              <w:rPr>
                <w:rFonts w:ascii="Gill Sans" w:hAnsi="Gill Sans" w:cs="Gill Sans"/>
                <w:color w:val="000000"/>
                <w:szCs w:val="22"/>
                <w:lang w:val="en-AU"/>
              </w:rPr>
              <w:t>97% of commencing expected feedback on submitted work: 66% agreement with Humanities/ 37% with Science students</w:t>
            </w:r>
          </w:p>
          <w:p w14:paraId="31DBBC79" w14:textId="31B67225" w:rsidR="00FC3249" w:rsidRPr="00076E76" w:rsidRDefault="00FC3249" w:rsidP="00BE7216">
            <w:pPr>
              <w:rPr>
                <w:rFonts w:ascii="Gill Sans" w:hAnsi="Gill Sans" w:cs="Gill Sans"/>
                <w:color w:val="000000"/>
                <w:szCs w:val="22"/>
                <w:lang w:val="en-AU"/>
              </w:rPr>
            </w:pPr>
            <w:r w:rsidRPr="00076E76">
              <w:rPr>
                <w:rFonts w:ascii="Gill Sans" w:hAnsi="Gill Sans" w:cs="Gill Sans"/>
                <w:color w:val="000000"/>
                <w:szCs w:val="22"/>
                <w:lang w:val="en-AU"/>
              </w:rPr>
              <w:t>100% Humanities teachers said they gave such feedback/ 59% of Science teachers agreed.</w:t>
            </w:r>
          </w:p>
          <w:p w14:paraId="3F45C6E4" w14:textId="636F715F" w:rsidR="00FC3249" w:rsidRPr="00076E76" w:rsidRDefault="00FC3249" w:rsidP="00BE7216">
            <w:pPr>
              <w:rPr>
                <w:rFonts w:ascii="Gill Sans" w:hAnsi="Gill Sans" w:cs="Gill Sans"/>
                <w:b/>
                <w:color w:val="000000"/>
                <w:szCs w:val="22"/>
                <w:lang w:val="en-AU"/>
              </w:rPr>
            </w:pPr>
            <w:r w:rsidRPr="00076E76">
              <w:rPr>
                <w:rFonts w:ascii="Gill Sans" w:hAnsi="Gill Sans" w:cs="Gill Sans"/>
                <w:color w:val="000000"/>
                <w:szCs w:val="22"/>
                <w:lang w:val="en-AU"/>
              </w:rPr>
              <w:t>Discrepancies also in expectations of time taken to return work</w:t>
            </w:r>
          </w:p>
          <w:p w14:paraId="0E9D9FB3" w14:textId="79EC9C2D" w:rsidR="00FC3249" w:rsidRPr="00076E76" w:rsidRDefault="00FC3249" w:rsidP="00BE7216">
            <w:pPr>
              <w:rPr>
                <w:rFonts w:ascii="Gill Sans" w:hAnsi="Gill Sans" w:cs="Gill Sans"/>
                <w:color w:val="000000"/>
                <w:szCs w:val="22"/>
                <w:lang w:val="en-AU"/>
              </w:rPr>
            </w:pPr>
            <w:r w:rsidRPr="00076E76">
              <w:rPr>
                <w:rFonts w:ascii="Gill Sans" w:hAnsi="Gill Sans" w:cs="Gill Sans"/>
                <w:b/>
                <w:color w:val="000000"/>
                <w:szCs w:val="22"/>
                <w:lang w:val="en-AU"/>
              </w:rPr>
              <w:t xml:space="preserve">Core argument: </w:t>
            </w:r>
            <w:r w:rsidRPr="00076E76">
              <w:rPr>
                <w:rFonts w:ascii="Gill Sans" w:hAnsi="Gill Sans" w:cs="Gill Sans"/>
                <w:color w:val="000000"/>
                <w:szCs w:val="22"/>
                <w:lang w:val="en-AU"/>
              </w:rPr>
              <w:t>Feedback = significant issue where there is mismatch between expectations and realities for students and perceptions between students and teachers. Expectations and realities relating to outside commitments between students and teachers = also significant. Authors argue for “</w:t>
            </w:r>
            <w:r w:rsidRPr="00076E76">
              <w:rPr>
                <w:rFonts w:ascii="Gill Sans" w:hAnsi="Gill Sans" w:cs="Gill Sans"/>
                <w:color w:val="000000"/>
                <w:szCs w:val="22"/>
              </w:rPr>
              <w:t>more proactive and earlier interventionist strategies” to facilitate students’ transitions (p.170)</w:t>
            </w:r>
          </w:p>
        </w:tc>
      </w:tr>
      <w:tr w:rsidR="00FC3249" w:rsidRPr="00076E76" w14:paraId="6BB4B5D0" w14:textId="77777777" w:rsidTr="002E557C">
        <w:tc>
          <w:tcPr>
            <w:tcW w:w="5529" w:type="dxa"/>
          </w:tcPr>
          <w:p w14:paraId="7F4FB3B5" w14:textId="739840A5" w:rsidR="00FC3249" w:rsidRPr="00076E76" w:rsidRDefault="00FC3249" w:rsidP="006B71CD">
            <w:pPr>
              <w:rPr>
                <w:rFonts w:ascii="Gill Sans" w:hAnsi="Gill Sans" w:cs="Gill Sans"/>
                <w:szCs w:val="22"/>
              </w:rPr>
            </w:pPr>
            <w:proofErr w:type="spellStart"/>
            <w:r w:rsidRPr="00076E76">
              <w:rPr>
                <w:rFonts w:ascii="Gill Sans" w:hAnsi="Gill Sans" w:cs="Gill Sans"/>
                <w:szCs w:val="22"/>
              </w:rPr>
              <w:lastRenderedPageBreak/>
              <w:t>Brooman</w:t>
            </w:r>
            <w:proofErr w:type="spellEnd"/>
            <w:r w:rsidRPr="00076E76">
              <w:rPr>
                <w:rFonts w:ascii="Gill Sans" w:hAnsi="Gill Sans" w:cs="Gill Sans"/>
                <w:szCs w:val="22"/>
              </w:rPr>
              <w:t xml:space="preserve">, S. &amp; </w:t>
            </w:r>
            <w:proofErr w:type="spellStart"/>
            <w:r w:rsidRPr="00076E76">
              <w:rPr>
                <w:rFonts w:ascii="Gill Sans" w:hAnsi="Gill Sans" w:cs="Gill Sans"/>
                <w:szCs w:val="22"/>
              </w:rPr>
              <w:t>Darwent</w:t>
            </w:r>
            <w:proofErr w:type="spellEnd"/>
            <w:r w:rsidRPr="00076E76">
              <w:rPr>
                <w:rFonts w:ascii="Gill Sans" w:hAnsi="Gill Sans" w:cs="Gill Sans"/>
                <w:szCs w:val="22"/>
              </w:rPr>
              <w:t xml:space="preserve">, S. (2014). </w:t>
            </w:r>
            <w:hyperlink r:id="rId32" w:history="1">
              <w:r w:rsidRPr="00E91542">
                <w:rPr>
                  <w:rStyle w:val="Hyperlink"/>
                  <w:rFonts w:ascii="Gill Sans" w:hAnsi="Gill Sans" w:cs="Gill Sans"/>
                  <w:szCs w:val="22"/>
                </w:rPr>
                <w:t>Measuring the beginning: a quantitative study of the transition to higher education</w:t>
              </w:r>
            </w:hyperlink>
            <w:r w:rsidRPr="00076E76">
              <w:rPr>
                <w:rFonts w:ascii="Gill Sans" w:hAnsi="Gill Sans" w:cs="Gill Sans"/>
                <w:szCs w:val="22"/>
              </w:rPr>
              <w:t xml:space="preserve">, </w:t>
            </w:r>
            <w:r w:rsidRPr="00076E76">
              <w:rPr>
                <w:rFonts w:ascii="Gill Sans" w:hAnsi="Gill Sans" w:cs="Gill Sans"/>
                <w:i/>
                <w:szCs w:val="22"/>
              </w:rPr>
              <w:t xml:space="preserve">Studies in Higher Education, </w:t>
            </w:r>
            <w:r w:rsidR="00567851">
              <w:rPr>
                <w:rFonts w:ascii="Gill Sans" w:hAnsi="Gill Sans" w:cs="Gill Sans"/>
                <w:szCs w:val="22"/>
              </w:rPr>
              <w:t>39(9), 1523–</w:t>
            </w:r>
            <w:r w:rsidRPr="00076E76">
              <w:rPr>
                <w:rFonts w:ascii="Gill Sans" w:hAnsi="Gill Sans" w:cs="Gill Sans"/>
                <w:szCs w:val="22"/>
              </w:rPr>
              <w:t>1541.</w:t>
            </w:r>
          </w:p>
          <w:p w14:paraId="476F92DF" w14:textId="77777777" w:rsidR="00FC3249" w:rsidRPr="00076E76" w:rsidRDefault="00FC3249" w:rsidP="006B71CD">
            <w:pPr>
              <w:rPr>
                <w:rFonts w:ascii="Gill Sans" w:hAnsi="Gill Sans" w:cs="Gill Sans"/>
                <w:szCs w:val="22"/>
              </w:rPr>
            </w:pPr>
          </w:p>
          <w:p w14:paraId="1E624CD4" w14:textId="77777777" w:rsidR="00FC3249" w:rsidRPr="00076E76" w:rsidRDefault="00FC3249" w:rsidP="006B71CD">
            <w:pPr>
              <w:rPr>
                <w:rFonts w:ascii="Gill Sans" w:hAnsi="Gill Sans" w:cs="Gill Sans"/>
                <w:szCs w:val="22"/>
              </w:rPr>
            </w:pPr>
            <w:r w:rsidRPr="00076E76">
              <w:rPr>
                <w:rFonts w:ascii="Gill Sans" w:hAnsi="Gill Sans" w:cs="Gill Sans"/>
                <w:szCs w:val="22"/>
              </w:rPr>
              <w:t>UK</w:t>
            </w:r>
          </w:p>
          <w:p w14:paraId="15844ACC" w14:textId="77777777" w:rsidR="000F60CF" w:rsidRPr="00076E76" w:rsidRDefault="000F60CF" w:rsidP="000F60CF">
            <w:pPr>
              <w:rPr>
                <w:rFonts w:ascii="Gill Sans" w:hAnsi="Gill Sans" w:cs="Gill Sans"/>
                <w:szCs w:val="22"/>
              </w:rPr>
            </w:pPr>
            <w:r w:rsidRPr="00076E76">
              <w:rPr>
                <w:rFonts w:ascii="Gill Sans" w:hAnsi="Gill Sans" w:cs="Gill Sans"/>
                <w:szCs w:val="22"/>
              </w:rPr>
              <w:t>Annotation by Sally Baker</w:t>
            </w:r>
          </w:p>
          <w:p w14:paraId="3A743CFE" w14:textId="77777777" w:rsidR="00FC3249" w:rsidRPr="00076E76" w:rsidRDefault="00FC3249" w:rsidP="006B71CD">
            <w:pPr>
              <w:rPr>
                <w:rFonts w:ascii="Gill Sans" w:hAnsi="Gill Sans" w:cs="Gill Sans"/>
                <w:szCs w:val="22"/>
              </w:rPr>
            </w:pPr>
          </w:p>
          <w:p w14:paraId="1905418C" w14:textId="6D258C6B" w:rsidR="00FC3249" w:rsidRPr="00076E76" w:rsidRDefault="00FC3249" w:rsidP="006B71CD">
            <w:pPr>
              <w:rPr>
                <w:rFonts w:ascii="Gill Sans" w:hAnsi="Gill Sans" w:cs="Gill Sans"/>
                <w:i/>
                <w:szCs w:val="22"/>
              </w:rPr>
            </w:pPr>
            <w:r w:rsidRPr="00076E76">
              <w:rPr>
                <w:rFonts w:ascii="Gill Sans" w:hAnsi="Gill Sans" w:cs="Gill Sans"/>
                <w:szCs w:val="22"/>
              </w:rPr>
              <w:t>Keywords</w:t>
            </w:r>
            <w:r w:rsidRPr="00076E76">
              <w:rPr>
                <w:rFonts w:ascii="Gill Sans" w:hAnsi="Gill Sans" w:cs="Gill Sans"/>
                <w:i/>
                <w:szCs w:val="22"/>
              </w:rPr>
              <w:t>: first-year student experience; induction; quantitative research; teaching and learning strategies; transition</w:t>
            </w:r>
          </w:p>
          <w:p w14:paraId="79B05E5D" w14:textId="77777777" w:rsidR="00FC3249" w:rsidRPr="00076E76" w:rsidRDefault="00FC3249" w:rsidP="006B71CD">
            <w:pPr>
              <w:rPr>
                <w:rFonts w:ascii="Gill Sans" w:hAnsi="Gill Sans" w:cs="Gill Sans"/>
                <w:i/>
                <w:szCs w:val="22"/>
              </w:rPr>
            </w:pPr>
          </w:p>
          <w:p w14:paraId="200CCF2E" w14:textId="2926A2D8" w:rsidR="00FC3249" w:rsidRPr="00076E76" w:rsidRDefault="00FC3249" w:rsidP="006B71CD">
            <w:pPr>
              <w:rPr>
                <w:rFonts w:ascii="Gill Sans" w:hAnsi="Gill Sans" w:cs="Gill Sans"/>
                <w:b/>
                <w:szCs w:val="22"/>
              </w:rPr>
            </w:pPr>
          </w:p>
        </w:tc>
        <w:tc>
          <w:tcPr>
            <w:tcW w:w="10064" w:type="dxa"/>
          </w:tcPr>
          <w:p w14:paraId="01FB6774" w14:textId="1EBB64B7" w:rsidR="00FC3249" w:rsidRPr="00076E76" w:rsidRDefault="00FC3249" w:rsidP="00F36FE5">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sidRPr="00076E76">
              <w:rPr>
                <w:rFonts w:ascii="Gill Sans" w:hAnsi="Gill Sans" w:cs="Gill Sans"/>
                <w:color w:val="000000"/>
                <w:szCs w:val="22"/>
                <w:lang w:val="en-AU"/>
              </w:rPr>
              <w:t xml:space="preserve">Examines transition in first year of study (Law) and measures change in influencing factors: </w:t>
            </w:r>
            <w:r w:rsidRPr="00076E76">
              <w:rPr>
                <w:rFonts w:ascii="Gill Sans" w:hAnsi="Gill Sans" w:cs="Gill Sans"/>
                <w:i/>
                <w:color w:val="000000"/>
                <w:szCs w:val="22"/>
                <w:lang w:val="en-AU"/>
              </w:rPr>
              <w:t>self-efficacy, autonomous learning, social integration</w:t>
            </w:r>
            <w:r w:rsidRPr="00076E76">
              <w:rPr>
                <w:rFonts w:ascii="Gill Sans" w:hAnsi="Gill Sans" w:cs="Gill Sans"/>
                <w:color w:val="000000"/>
                <w:szCs w:val="22"/>
                <w:lang w:val="en-AU"/>
              </w:rPr>
              <w:t>. Makes case that transition is complex, needs multilayered approaches and is often explored in evaluative or qualitative approaches – beyond induction models. Authors developed ‘Independent Learning in Law’ (ILL) = core module for active agents in transition</w:t>
            </w:r>
          </w:p>
          <w:p w14:paraId="24BC6C50" w14:textId="4E1534B9" w:rsidR="00FC3249" w:rsidRPr="00076E76" w:rsidRDefault="00FC3249" w:rsidP="00F36FE5">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sidRPr="00076E76">
              <w:rPr>
                <w:rFonts w:ascii="Gill Sans" w:hAnsi="Gill Sans" w:cs="Gill Sans"/>
                <w:color w:val="000000"/>
                <w:szCs w:val="22"/>
                <w:lang w:val="en-AU"/>
              </w:rPr>
              <w:t>“to gain a better understanding of the effect of our early interventions by measuring changes in those key factors…self-efficacy, learner autonomy and social integration” (p.1525)</w:t>
            </w:r>
          </w:p>
          <w:p w14:paraId="6B94021E" w14:textId="0B37DA5E" w:rsidR="00FC3249" w:rsidRPr="00076E76" w:rsidRDefault="00FC3249" w:rsidP="00F36FE5">
            <w:pPr>
              <w:rPr>
                <w:rFonts w:ascii="Gill Sans" w:hAnsi="Gill Sans" w:cs="Gill Sans"/>
                <w:color w:val="000000"/>
                <w:szCs w:val="22"/>
                <w:lang w:val="en-AU"/>
              </w:rPr>
            </w:pPr>
            <w:r w:rsidRPr="00076E76">
              <w:rPr>
                <w:rFonts w:ascii="Gill Sans" w:hAnsi="Gill Sans" w:cs="Gill Sans"/>
                <w:b/>
                <w:color w:val="000000"/>
                <w:szCs w:val="22"/>
                <w:lang w:val="en-AU"/>
              </w:rPr>
              <w:t xml:space="preserve">Analytic frame: </w:t>
            </w:r>
            <w:r w:rsidRPr="00076E76">
              <w:rPr>
                <w:rFonts w:ascii="Gill Sans" w:hAnsi="Gill Sans" w:cs="Gill Sans"/>
                <w:color w:val="000000"/>
                <w:szCs w:val="22"/>
                <w:lang w:val="en-AU"/>
              </w:rPr>
              <w:t xml:space="preserve">Self-efficacy (e.g. Bandura, 1997), autonomous learning (e.g. Macaskill and Taylor, 2010), social integration </w:t>
            </w:r>
          </w:p>
          <w:p w14:paraId="28222D90" w14:textId="366C80A3" w:rsidR="00FC3249" w:rsidRPr="00076E76" w:rsidRDefault="00FC3249" w:rsidP="00F36FE5">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Quantitative. Measurement from Week 1, day 2 (T1) to Week 5, Day 1 (T2), with ‘collateral elements’: group-work poster + lectures and tutorials. Questionnaires: first year law students (n=195) administered at two points (T1 + T2). Measures: Self-efficacy scale (</w:t>
            </w:r>
            <w:proofErr w:type="spellStart"/>
            <w:r w:rsidRPr="00076E76">
              <w:rPr>
                <w:rFonts w:ascii="Gill Sans" w:hAnsi="Gill Sans" w:cs="Gill Sans"/>
                <w:color w:val="000000"/>
                <w:szCs w:val="22"/>
                <w:lang w:val="en-AU"/>
              </w:rPr>
              <w:t>Bosscher</w:t>
            </w:r>
            <w:proofErr w:type="spellEnd"/>
            <w:r w:rsidRPr="00076E76">
              <w:rPr>
                <w:rFonts w:ascii="Gill Sans" w:hAnsi="Gill Sans" w:cs="Gill Sans"/>
                <w:color w:val="000000"/>
                <w:szCs w:val="22"/>
                <w:lang w:val="en-AU"/>
              </w:rPr>
              <w:t xml:space="preserve"> &amp; Smit, 1998). College Academic Self-efficacy scale (Owen &amp; </w:t>
            </w:r>
            <w:proofErr w:type="spellStart"/>
            <w:r w:rsidRPr="00076E76">
              <w:rPr>
                <w:rFonts w:ascii="Gill Sans" w:hAnsi="Gill Sans" w:cs="Gill Sans"/>
                <w:color w:val="000000"/>
                <w:szCs w:val="22"/>
                <w:lang w:val="en-AU"/>
              </w:rPr>
              <w:t>Froman</w:t>
            </w:r>
            <w:proofErr w:type="spellEnd"/>
            <w:r w:rsidRPr="00076E76">
              <w:rPr>
                <w:rFonts w:ascii="Gill Sans" w:hAnsi="Gill Sans" w:cs="Gill Sans"/>
                <w:color w:val="000000"/>
                <w:szCs w:val="22"/>
                <w:lang w:val="en-AU"/>
              </w:rPr>
              <w:t xml:space="preserve">, 1988), Autonomous Learning scale (Macaskill &amp; Taylor, 2010). </w:t>
            </w:r>
            <w:r w:rsidRPr="00076E76">
              <w:rPr>
                <w:rFonts w:ascii="Gill Sans" w:hAnsi="Gill Sans" w:cs="Gill Sans"/>
                <w:color w:val="000000"/>
                <w:szCs w:val="22"/>
                <w:lang w:val="en-AU"/>
              </w:rPr>
              <w:lastRenderedPageBreak/>
              <w:t>Developed social integration scale (3 subscales: sense of belonging, relationship with staff, old friends). Multivariate analysis (one and three-way ANOVAs) and correlational + cluster analysis.</w:t>
            </w:r>
          </w:p>
          <w:p w14:paraId="527B1ED8" w14:textId="77777777" w:rsidR="00FC3249" w:rsidRPr="00076E76" w:rsidRDefault="00FC3249" w:rsidP="00F36FE5">
            <w:pPr>
              <w:rPr>
                <w:rFonts w:ascii="Gill Sans" w:hAnsi="Gill Sans" w:cs="Gill Sans"/>
                <w:b/>
                <w:color w:val="000000"/>
                <w:szCs w:val="22"/>
                <w:lang w:val="en-AU"/>
              </w:rPr>
            </w:pPr>
            <w:r w:rsidRPr="00076E76">
              <w:rPr>
                <w:rFonts w:ascii="Gill Sans" w:hAnsi="Gill Sans" w:cs="Gill Sans"/>
                <w:b/>
                <w:color w:val="000000"/>
                <w:szCs w:val="22"/>
                <w:lang w:val="en-AU"/>
              </w:rPr>
              <w:t xml:space="preserve">Findings: </w:t>
            </w:r>
          </w:p>
          <w:p w14:paraId="03962D01" w14:textId="77777777" w:rsidR="00FC3249" w:rsidRPr="00076E76" w:rsidRDefault="00FC3249" w:rsidP="00F36FE5">
            <w:pPr>
              <w:rPr>
                <w:rFonts w:ascii="Gill Sans" w:hAnsi="Gill Sans" w:cs="Gill Sans"/>
                <w:color w:val="000000"/>
                <w:szCs w:val="22"/>
                <w:lang w:val="en-AU"/>
              </w:rPr>
            </w:pPr>
            <w:r w:rsidRPr="00076E76">
              <w:rPr>
                <w:rFonts w:ascii="Gill Sans" w:hAnsi="Gill Sans" w:cs="Gill Sans"/>
                <w:color w:val="000000"/>
                <w:szCs w:val="22"/>
                <w:lang w:val="en-AU"/>
              </w:rPr>
              <w:t>70% of participants = direct transition from school; 6.7% from Access course; rest = break in education</w:t>
            </w:r>
          </w:p>
          <w:p w14:paraId="355F9596" w14:textId="77777777" w:rsidR="00FC3249" w:rsidRPr="00076E76" w:rsidRDefault="00FC3249" w:rsidP="00F36FE5">
            <w:pPr>
              <w:rPr>
                <w:rFonts w:ascii="Gill Sans" w:hAnsi="Gill Sans" w:cs="Gill Sans"/>
                <w:color w:val="000000"/>
                <w:szCs w:val="22"/>
                <w:lang w:val="en-AU"/>
              </w:rPr>
            </w:pPr>
            <w:r w:rsidRPr="00076E76">
              <w:rPr>
                <w:rFonts w:ascii="Gill Sans" w:hAnsi="Gill Sans" w:cs="Gill Sans"/>
                <w:color w:val="000000"/>
                <w:szCs w:val="22"/>
                <w:lang w:val="en-AU"/>
              </w:rPr>
              <w:t>Over time: self-efficacy and study habits did not change from T1 to T2</w:t>
            </w:r>
          </w:p>
          <w:p w14:paraId="4C499DC3" w14:textId="77777777" w:rsidR="00FC3249" w:rsidRPr="00076E76" w:rsidRDefault="00FC3249" w:rsidP="00F36FE5">
            <w:pPr>
              <w:rPr>
                <w:rFonts w:ascii="Gill Sans" w:hAnsi="Gill Sans" w:cs="Gill Sans"/>
                <w:color w:val="000000"/>
                <w:szCs w:val="22"/>
                <w:lang w:val="en-AU"/>
              </w:rPr>
            </w:pPr>
            <w:r w:rsidRPr="00076E76">
              <w:rPr>
                <w:rFonts w:ascii="Gill Sans" w:hAnsi="Gill Sans" w:cs="Gill Sans"/>
                <w:color w:val="000000"/>
                <w:szCs w:val="22"/>
                <w:lang w:val="en-AU"/>
              </w:rPr>
              <w:t xml:space="preserve">Learning beliefs changed to the opposite of hypothesis: “students reported </w:t>
            </w:r>
            <w:r w:rsidRPr="00076E76">
              <w:rPr>
                <w:rFonts w:ascii="Gill Sans" w:hAnsi="Gill Sans" w:cs="Gill Sans"/>
                <w:i/>
                <w:color w:val="000000"/>
                <w:szCs w:val="22"/>
                <w:lang w:val="en-AU"/>
              </w:rPr>
              <w:t>lower</w:t>
            </w:r>
            <w:r w:rsidRPr="00076E76">
              <w:rPr>
                <w:rFonts w:ascii="Gill Sans" w:hAnsi="Gill Sans" w:cs="Gill Sans"/>
                <w:color w:val="000000"/>
                <w:szCs w:val="22"/>
                <w:lang w:val="en-AU"/>
              </w:rPr>
              <w:t xml:space="preserve"> learning beliefs at the </w:t>
            </w:r>
            <w:proofErr w:type="spellStart"/>
            <w:r w:rsidRPr="00076E76">
              <w:rPr>
                <w:rFonts w:ascii="Gill Sans" w:hAnsi="Gill Sans" w:cs="Gill Sans"/>
                <w:color w:val="000000"/>
                <w:szCs w:val="22"/>
                <w:lang w:val="en-AU"/>
              </w:rPr>
              <w:t>ened</w:t>
            </w:r>
            <w:proofErr w:type="spellEnd"/>
            <w:r w:rsidRPr="00076E76">
              <w:rPr>
                <w:rFonts w:ascii="Gill Sans" w:hAnsi="Gill Sans" w:cs="Gill Sans"/>
                <w:color w:val="000000"/>
                <w:szCs w:val="22"/>
                <w:lang w:val="en-AU"/>
              </w:rPr>
              <w:t xml:space="preserve"> of the task than at the beginning” (p.1536).</w:t>
            </w:r>
          </w:p>
          <w:p w14:paraId="4C5A2AA4" w14:textId="77777777" w:rsidR="00FC3249" w:rsidRPr="00076E76" w:rsidRDefault="00FC3249" w:rsidP="00F36FE5">
            <w:pPr>
              <w:rPr>
                <w:rFonts w:ascii="Gill Sans" w:hAnsi="Gill Sans" w:cs="Gill Sans"/>
                <w:color w:val="000000"/>
                <w:szCs w:val="22"/>
                <w:lang w:val="en-AU"/>
              </w:rPr>
            </w:pPr>
            <w:r w:rsidRPr="00076E76">
              <w:rPr>
                <w:rFonts w:ascii="Gill Sans" w:hAnsi="Gill Sans" w:cs="Gill Sans"/>
                <w:color w:val="000000"/>
                <w:szCs w:val="22"/>
                <w:lang w:val="en-AU"/>
              </w:rPr>
              <w:t>Old friends (social integration scale) did not change but sense of belonging and relationship with staff did change positively over the time period.</w:t>
            </w:r>
          </w:p>
          <w:p w14:paraId="68EE197E" w14:textId="77777777" w:rsidR="00FC3249" w:rsidRPr="00076E76" w:rsidRDefault="00FC3249" w:rsidP="00F36FE5">
            <w:pPr>
              <w:rPr>
                <w:rFonts w:ascii="Gill Sans" w:hAnsi="Gill Sans" w:cs="Gill Sans"/>
                <w:color w:val="000000"/>
                <w:szCs w:val="22"/>
                <w:lang w:val="en-AU"/>
              </w:rPr>
            </w:pPr>
            <w:r w:rsidRPr="00076E76">
              <w:rPr>
                <w:rFonts w:ascii="Gill Sans" w:hAnsi="Gill Sans" w:cs="Gill Sans"/>
                <w:color w:val="000000"/>
                <w:szCs w:val="22"/>
                <w:lang w:val="en-AU"/>
              </w:rPr>
              <w:t>Students who received greater support from staff = higher self-reported self-efficacy, autonomous learning beliefs and study habits.</w:t>
            </w:r>
          </w:p>
          <w:p w14:paraId="0393A67F" w14:textId="77777777" w:rsidR="00FC3249" w:rsidRPr="00076E76" w:rsidRDefault="00FC3249" w:rsidP="00F36FE5">
            <w:pPr>
              <w:rPr>
                <w:rFonts w:ascii="Gill Sans" w:hAnsi="Gill Sans" w:cs="Gill Sans"/>
                <w:color w:val="000000"/>
                <w:szCs w:val="22"/>
                <w:lang w:val="en-AU"/>
              </w:rPr>
            </w:pPr>
            <w:r w:rsidRPr="00076E76">
              <w:rPr>
                <w:rFonts w:ascii="Gill Sans" w:hAnsi="Gill Sans" w:cs="Gill Sans"/>
                <w:color w:val="000000"/>
                <w:szCs w:val="22"/>
                <w:lang w:val="en-AU"/>
              </w:rPr>
              <w:t>Gender, work and accommodation = significant</w:t>
            </w:r>
          </w:p>
          <w:p w14:paraId="26503274" w14:textId="77777777" w:rsidR="00FC3249" w:rsidRPr="00076E76" w:rsidRDefault="00FC3249" w:rsidP="00F36FE5">
            <w:pPr>
              <w:rPr>
                <w:rFonts w:ascii="Gill Sans" w:hAnsi="Gill Sans" w:cs="Gill Sans"/>
                <w:color w:val="000000"/>
                <w:szCs w:val="22"/>
                <w:lang w:val="en-AU"/>
              </w:rPr>
            </w:pPr>
            <w:r w:rsidRPr="00076E76">
              <w:rPr>
                <w:rFonts w:ascii="Gill Sans" w:hAnsi="Gill Sans" w:cs="Gill Sans"/>
                <w:color w:val="000000"/>
                <w:szCs w:val="22"/>
                <w:lang w:val="en-AU"/>
              </w:rPr>
              <w:t xml:space="preserve">Scopes limitations (e.g. other student groups and discipline areas)  </w:t>
            </w:r>
            <w:r w:rsidRPr="00076E76">
              <w:rPr>
                <w:rFonts w:ascii="Gill Sans" w:hAnsi="Gill Sans" w:cs="Gill Sans"/>
                <w:b/>
                <w:color w:val="000000"/>
                <w:szCs w:val="22"/>
                <w:lang w:val="en-AU"/>
              </w:rPr>
              <w:br/>
              <w:t xml:space="preserve">Core argument: </w:t>
            </w:r>
            <w:r w:rsidRPr="00076E76">
              <w:rPr>
                <w:rFonts w:ascii="Gill Sans" w:hAnsi="Gill Sans" w:cs="Gill Sans"/>
                <w:color w:val="000000"/>
                <w:szCs w:val="22"/>
                <w:lang w:val="en-AU"/>
              </w:rPr>
              <w:t>Authors expectations of how interventions play out on were not met.</w:t>
            </w:r>
          </w:p>
          <w:p w14:paraId="795BE55F" w14:textId="77777777" w:rsidR="00FC3249" w:rsidRPr="00076E76" w:rsidRDefault="00FC3249" w:rsidP="00F36FE5">
            <w:pPr>
              <w:rPr>
                <w:rFonts w:ascii="Gill Sans" w:hAnsi="Gill Sans" w:cs="Gill Sans"/>
                <w:color w:val="000000"/>
                <w:szCs w:val="22"/>
                <w:lang w:val="en-AU"/>
              </w:rPr>
            </w:pPr>
            <w:r w:rsidRPr="00076E76">
              <w:rPr>
                <w:rFonts w:ascii="Gill Sans" w:hAnsi="Gill Sans" w:cs="Gill Sans"/>
                <w:color w:val="000000"/>
                <w:szCs w:val="22"/>
                <w:lang w:val="en-AU"/>
              </w:rPr>
              <w:t>Poster project = coincides with developing social integration</w:t>
            </w:r>
          </w:p>
          <w:p w14:paraId="2674D8FA" w14:textId="2DF49B28" w:rsidR="00FC3249" w:rsidRPr="00076E76" w:rsidRDefault="00FC3249" w:rsidP="00F36FE5">
            <w:pPr>
              <w:rPr>
                <w:rFonts w:ascii="Gill Sans" w:hAnsi="Gill Sans" w:cs="Gill Sans"/>
                <w:color w:val="000000"/>
                <w:szCs w:val="22"/>
                <w:lang w:val="en-AU"/>
              </w:rPr>
            </w:pPr>
            <w:r w:rsidRPr="00076E76">
              <w:rPr>
                <w:rFonts w:ascii="Gill Sans" w:hAnsi="Gill Sans" w:cs="Gill Sans"/>
                <w:color w:val="000000"/>
                <w:szCs w:val="22"/>
                <w:lang w:val="en-AU"/>
              </w:rPr>
              <w:t>Students who maintained old relationships = more likely to feel sense of belonging and supported by staff</w:t>
            </w:r>
          </w:p>
        </w:tc>
      </w:tr>
      <w:tr w:rsidR="00FC3249" w:rsidRPr="00076E76" w14:paraId="18090D7D" w14:textId="77777777" w:rsidTr="002E557C">
        <w:tc>
          <w:tcPr>
            <w:tcW w:w="5529" w:type="dxa"/>
          </w:tcPr>
          <w:p w14:paraId="51E7AABA" w14:textId="51754DD9" w:rsidR="00FC3249" w:rsidRPr="00076E76" w:rsidRDefault="00FC3249" w:rsidP="00FA514E">
            <w:pPr>
              <w:rPr>
                <w:rFonts w:ascii="Gill Sans" w:hAnsi="Gill Sans" w:cs="Gill Sans"/>
                <w:szCs w:val="22"/>
              </w:rPr>
            </w:pPr>
            <w:r w:rsidRPr="00076E76">
              <w:rPr>
                <w:rFonts w:ascii="Gill Sans" w:hAnsi="Gill Sans" w:cs="Gill Sans"/>
                <w:szCs w:val="22"/>
              </w:rPr>
              <w:lastRenderedPageBreak/>
              <w:t xml:space="preserve">Bussell, H. &amp; Mulcahy, L. (2011). </w:t>
            </w:r>
            <w:hyperlink r:id="rId33" w:history="1">
              <w:r w:rsidRPr="00A56645">
                <w:rPr>
                  <w:rStyle w:val="Hyperlink"/>
                  <w:rFonts w:ascii="Gill Sans" w:hAnsi="Gill Sans" w:cs="Gill Sans"/>
                  <w:szCs w:val="22"/>
                </w:rPr>
                <w:t>Preparation for higher education (HE): a study of collaborative partnerships in easing the transition to HE</w:t>
              </w:r>
            </w:hyperlink>
            <w:r w:rsidRPr="00076E76">
              <w:rPr>
                <w:rFonts w:ascii="Gill Sans" w:hAnsi="Gill Sans" w:cs="Gill Sans"/>
                <w:szCs w:val="22"/>
              </w:rPr>
              <w:t xml:space="preserve">, </w:t>
            </w:r>
            <w:r w:rsidRPr="00076E76">
              <w:rPr>
                <w:rFonts w:ascii="Gill Sans" w:hAnsi="Gill Sans" w:cs="Gill Sans"/>
                <w:i/>
                <w:szCs w:val="22"/>
              </w:rPr>
              <w:t xml:space="preserve">Journal of Learning Development in Higher Education, </w:t>
            </w:r>
            <w:r w:rsidRPr="00076E76">
              <w:rPr>
                <w:rFonts w:ascii="Gill Sans" w:hAnsi="Gill Sans" w:cs="Gill Sans"/>
                <w:szCs w:val="22"/>
              </w:rPr>
              <w:t>3</w:t>
            </w:r>
            <w:r w:rsidR="00567851">
              <w:rPr>
                <w:rFonts w:ascii="Gill Sans" w:hAnsi="Gill Sans" w:cs="Gill Sans"/>
                <w:szCs w:val="22"/>
              </w:rPr>
              <w:t>,1–</w:t>
            </w:r>
            <w:r w:rsidRPr="00076E76">
              <w:rPr>
                <w:rFonts w:ascii="Gill Sans" w:hAnsi="Gill Sans" w:cs="Gill Sans"/>
                <w:szCs w:val="22"/>
              </w:rPr>
              <w:t>17.</w:t>
            </w:r>
          </w:p>
          <w:p w14:paraId="31376328" w14:textId="77777777" w:rsidR="00FC3249" w:rsidRPr="00076E76" w:rsidRDefault="00FC3249" w:rsidP="00FA514E">
            <w:pPr>
              <w:rPr>
                <w:rFonts w:ascii="Gill Sans" w:hAnsi="Gill Sans" w:cs="Gill Sans"/>
                <w:szCs w:val="22"/>
              </w:rPr>
            </w:pPr>
          </w:p>
          <w:p w14:paraId="1A8B788A" w14:textId="77777777" w:rsidR="00FC3249" w:rsidRPr="00076E76" w:rsidRDefault="00FC3249" w:rsidP="00FA514E">
            <w:pPr>
              <w:rPr>
                <w:rFonts w:ascii="Gill Sans" w:hAnsi="Gill Sans" w:cs="Gill Sans"/>
                <w:szCs w:val="22"/>
              </w:rPr>
            </w:pPr>
            <w:r w:rsidRPr="00076E76">
              <w:rPr>
                <w:rFonts w:ascii="Gill Sans" w:hAnsi="Gill Sans" w:cs="Gill Sans"/>
                <w:szCs w:val="22"/>
              </w:rPr>
              <w:t>UK</w:t>
            </w:r>
          </w:p>
          <w:p w14:paraId="3A42A91C" w14:textId="77777777" w:rsidR="00FA2E2D" w:rsidRPr="00076E76" w:rsidRDefault="00FA2E2D" w:rsidP="00FA2E2D">
            <w:pPr>
              <w:rPr>
                <w:rFonts w:ascii="Gill Sans" w:hAnsi="Gill Sans" w:cs="Gill Sans"/>
                <w:szCs w:val="22"/>
              </w:rPr>
            </w:pPr>
            <w:r w:rsidRPr="00076E76">
              <w:rPr>
                <w:rFonts w:ascii="Gill Sans" w:hAnsi="Gill Sans" w:cs="Gill Sans"/>
                <w:szCs w:val="22"/>
              </w:rPr>
              <w:t>Annotation by Sally Baker</w:t>
            </w:r>
          </w:p>
          <w:p w14:paraId="739C16AE" w14:textId="77777777" w:rsidR="00FC3249" w:rsidRPr="00076E76" w:rsidRDefault="00FC3249" w:rsidP="00FA514E">
            <w:pPr>
              <w:rPr>
                <w:rFonts w:ascii="Gill Sans" w:hAnsi="Gill Sans" w:cs="Gill Sans"/>
                <w:szCs w:val="22"/>
              </w:rPr>
            </w:pPr>
          </w:p>
          <w:p w14:paraId="5B7F5BB2" w14:textId="60B475AD" w:rsidR="00FC3249" w:rsidRPr="00076E76" w:rsidRDefault="00FC3249" w:rsidP="00177CE4">
            <w:pPr>
              <w:pStyle w:val="Default"/>
              <w:rPr>
                <w:rFonts w:ascii="Gill Sans" w:hAnsi="Gill Sans" w:cs="Gill Sans"/>
                <w:sz w:val="22"/>
                <w:szCs w:val="22"/>
              </w:rPr>
            </w:pPr>
            <w:r w:rsidRPr="00076E76">
              <w:rPr>
                <w:rFonts w:ascii="Gill Sans" w:hAnsi="Gill Sans" w:cs="Gill Sans"/>
                <w:sz w:val="22"/>
                <w:szCs w:val="22"/>
              </w:rPr>
              <w:t>Keywords:</w:t>
            </w:r>
            <w:r w:rsidRPr="00076E76">
              <w:rPr>
                <w:rFonts w:ascii="Gill Sans" w:hAnsi="Gill Sans" w:cs="Gill Sans"/>
                <w:i/>
                <w:sz w:val="22"/>
                <w:szCs w:val="22"/>
              </w:rPr>
              <w:t xml:space="preserve"> </w:t>
            </w:r>
            <w:r w:rsidR="00DC219B">
              <w:rPr>
                <w:rFonts w:ascii="Gill Sans" w:hAnsi="Gill Sans" w:cs="Gill Sans"/>
                <w:i/>
                <w:sz w:val="22"/>
                <w:szCs w:val="22"/>
              </w:rPr>
              <w:t>W</w:t>
            </w:r>
            <w:r w:rsidRPr="00076E76">
              <w:rPr>
                <w:rFonts w:ascii="Gill Sans" w:hAnsi="Gill Sans" w:cs="Gill Sans"/>
                <w:i/>
                <w:sz w:val="22"/>
                <w:szCs w:val="22"/>
              </w:rPr>
              <w:t>idening participation; partnership; collaboration; transition to HE; access.</w:t>
            </w:r>
          </w:p>
        </w:tc>
        <w:tc>
          <w:tcPr>
            <w:tcW w:w="10064" w:type="dxa"/>
          </w:tcPr>
          <w:p w14:paraId="1E4A52B8" w14:textId="3A7B32C4" w:rsidR="00FC3249" w:rsidRPr="00076E76" w:rsidRDefault="00FC3249" w:rsidP="003E50C1">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sidRPr="00076E76">
              <w:rPr>
                <w:rFonts w:ascii="Gill Sans" w:hAnsi="Gill Sans" w:cs="Gill Sans"/>
                <w:color w:val="000000"/>
                <w:szCs w:val="22"/>
                <w:lang w:val="en-AU"/>
              </w:rPr>
              <w:t xml:space="preserve">Post-Dearing Report in UK – widening participation agenda and New Labour WP targets. Massification of HE = increase in provision of HE in FE colleges. Examines partnerships/ successful collaboration between further education and higher education. Paper based on collaboration between Teesdale University and FE colleges and creation of ‘Preparation for Higher Education’ 20 credit Level 4 module – main </w:t>
            </w:r>
            <w:proofErr w:type="gramStart"/>
            <w:r w:rsidRPr="00076E76">
              <w:rPr>
                <w:rFonts w:ascii="Gill Sans" w:hAnsi="Gill Sans" w:cs="Gill Sans"/>
                <w:color w:val="000000"/>
                <w:szCs w:val="22"/>
                <w:lang w:val="en-AU"/>
              </w:rPr>
              <w:t>focus  =</w:t>
            </w:r>
            <w:proofErr w:type="gramEnd"/>
            <w:r w:rsidRPr="00076E76">
              <w:rPr>
                <w:rFonts w:ascii="Gill Sans" w:hAnsi="Gill Sans" w:cs="Gill Sans"/>
                <w:color w:val="000000"/>
                <w:szCs w:val="22"/>
                <w:lang w:val="en-AU"/>
              </w:rPr>
              <w:t xml:space="preserve"> enhance coursework and research skills and to remove perceived barriers to entering HE. By Sep 2009, PHE = offered in 5 FE colleges.</w:t>
            </w:r>
          </w:p>
          <w:p w14:paraId="24541557" w14:textId="0609332E" w:rsidR="00FC3249" w:rsidRPr="00076E76" w:rsidRDefault="00FC3249" w:rsidP="003E50C1">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sidRPr="00076E76">
              <w:rPr>
                <w:rFonts w:ascii="Gill Sans" w:hAnsi="Gill Sans" w:cs="Gill Sans"/>
                <w:color w:val="000000"/>
                <w:szCs w:val="22"/>
                <w:lang w:val="en-AU"/>
              </w:rPr>
              <w:t>To present findings from second stage of longitudinal project (evaluation) examining collaborative project; to present challenges in the collaboration; “</w:t>
            </w:r>
            <w:r w:rsidRPr="00076E76">
              <w:rPr>
                <w:rFonts w:ascii="Gill Sans" w:hAnsi="Gill Sans" w:cs="Gill Sans"/>
                <w:sz w:val="23"/>
                <w:szCs w:val="23"/>
              </w:rPr>
              <w:t>to gain an understanding of key issues and identify practices which require further development to enable the partnership to progress and highlight to other institutions how they might proceed with similar activities” (p.5)</w:t>
            </w:r>
          </w:p>
          <w:p w14:paraId="48C382CC" w14:textId="77777777" w:rsidR="00FC3249" w:rsidRPr="00076E76" w:rsidRDefault="00FC3249" w:rsidP="003E50C1">
            <w:pPr>
              <w:rPr>
                <w:rFonts w:ascii="Gill Sans" w:hAnsi="Gill Sans" w:cs="Gill Sans"/>
                <w:b/>
                <w:color w:val="000000"/>
                <w:szCs w:val="22"/>
                <w:lang w:val="en-AU"/>
              </w:rPr>
            </w:pPr>
            <w:r w:rsidRPr="00076E76">
              <w:rPr>
                <w:rFonts w:ascii="Gill Sans" w:hAnsi="Gill Sans" w:cs="Gill Sans"/>
                <w:b/>
                <w:color w:val="000000"/>
                <w:szCs w:val="22"/>
                <w:lang w:val="en-AU"/>
              </w:rPr>
              <w:t>Theoretical frame:</w:t>
            </w:r>
          </w:p>
          <w:p w14:paraId="0F7D9DEF" w14:textId="289E0D34" w:rsidR="00FC3249" w:rsidRPr="00076E76" w:rsidRDefault="00FC3249" w:rsidP="003E50C1">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Second stage of evaluation = interviewing colleges involved and following students who moved to HE: 6 x focus groups with students (n=63) studying the module – comparison between groups from different colleges. In-depth interviews conducted with 3x students who had moved into HE</w:t>
            </w:r>
          </w:p>
          <w:p w14:paraId="3FED920F" w14:textId="44A1B640" w:rsidR="00FC3249" w:rsidRPr="00076E76" w:rsidRDefault="00FC3249" w:rsidP="006C471E">
            <w:pPr>
              <w:rPr>
                <w:rFonts w:ascii="Gill Sans" w:hAnsi="Gill Sans" w:cs="Gill Sans"/>
                <w:b/>
                <w:color w:val="000000"/>
                <w:szCs w:val="22"/>
                <w:lang w:val="en-AU"/>
              </w:rPr>
            </w:pPr>
            <w:r w:rsidRPr="00076E76">
              <w:rPr>
                <w:rFonts w:ascii="Gill Sans" w:hAnsi="Gill Sans" w:cs="Gill Sans"/>
                <w:b/>
                <w:color w:val="000000"/>
                <w:szCs w:val="22"/>
                <w:lang w:val="en-AU"/>
              </w:rPr>
              <w:t xml:space="preserve">Findings: </w:t>
            </w:r>
            <w:r w:rsidRPr="00076E76">
              <w:rPr>
                <w:rFonts w:ascii="Gill Sans" w:hAnsi="Gill Sans" w:cs="Gill Sans"/>
                <w:color w:val="000000"/>
                <w:szCs w:val="22"/>
                <w:lang w:val="en-AU"/>
              </w:rPr>
              <w:t xml:space="preserve">PHE = successful in terms of partner uptake and partnerships, and useful tool for recruitment for Teesdale University. Colleges = consensus that module works best when embedded into programs and </w:t>
            </w:r>
            <w:r w:rsidRPr="00076E76">
              <w:rPr>
                <w:rFonts w:ascii="Gill Sans" w:hAnsi="Gill Sans" w:cs="Gill Sans"/>
                <w:color w:val="000000"/>
                <w:szCs w:val="22"/>
                <w:lang w:val="en-AU"/>
              </w:rPr>
              <w:lastRenderedPageBreak/>
              <w:t xml:space="preserve">attendance on university campus. Flexibility = driver for growth and its perception as contributing to WP agenda (esp. non-traditional students). Perceived multiple benefits to students. However, also disparity in views between university and college lecturers: university sees it as </w:t>
            </w:r>
            <w:proofErr w:type="gramStart"/>
            <w:r w:rsidRPr="00076E76">
              <w:rPr>
                <w:rFonts w:ascii="Gill Sans" w:hAnsi="Gill Sans" w:cs="Gill Sans"/>
                <w:color w:val="000000"/>
                <w:szCs w:val="22"/>
                <w:lang w:val="en-AU"/>
              </w:rPr>
              <w:t>collaborative</w:t>
            </w:r>
            <w:proofErr w:type="gramEnd"/>
            <w:r w:rsidRPr="00076E76">
              <w:rPr>
                <w:rFonts w:ascii="Gill Sans" w:hAnsi="Gill Sans" w:cs="Gill Sans"/>
                <w:color w:val="000000"/>
                <w:szCs w:val="22"/>
                <w:lang w:val="en-AU"/>
              </w:rPr>
              <w:t xml:space="preserve"> but it more resembles a franchise – assumption that university practices are superior = complex relationship</w:t>
            </w:r>
          </w:p>
        </w:tc>
      </w:tr>
      <w:tr w:rsidR="00076E76" w:rsidRPr="00076E76" w14:paraId="54142504" w14:textId="77777777" w:rsidTr="002E557C">
        <w:tc>
          <w:tcPr>
            <w:tcW w:w="5529" w:type="dxa"/>
          </w:tcPr>
          <w:p w14:paraId="08DBC5C5" w14:textId="710B52B6" w:rsidR="00076E76" w:rsidRPr="00076E76" w:rsidRDefault="00076E76" w:rsidP="00076E76">
            <w:pPr>
              <w:autoSpaceDE w:val="0"/>
              <w:autoSpaceDN w:val="0"/>
              <w:adjustRightInd w:val="0"/>
              <w:rPr>
                <w:rFonts w:ascii="Gill Sans" w:hAnsi="Gill Sans" w:cs="Gill Sans"/>
              </w:rPr>
            </w:pPr>
            <w:proofErr w:type="spellStart"/>
            <w:r w:rsidRPr="00076E76">
              <w:rPr>
                <w:rFonts w:ascii="Gill Sans" w:hAnsi="Gill Sans" w:cs="Gill Sans"/>
              </w:rPr>
              <w:lastRenderedPageBreak/>
              <w:t>Cebulla</w:t>
            </w:r>
            <w:proofErr w:type="spellEnd"/>
            <w:r w:rsidRPr="00076E76">
              <w:rPr>
                <w:rFonts w:ascii="Gill Sans" w:hAnsi="Gill Sans" w:cs="Gill Sans"/>
              </w:rPr>
              <w:t xml:space="preserve">, A. and </w:t>
            </w:r>
            <w:proofErr w:type="spellStart"/>
            <w:r w:rsidRPr="00076E76">
              <w:rPr>
                <w:rFonts w:ascii="Gill Sans" w:hAnsi="Gill Sans" w:cs="Gill Sans"/>
              </w:rPr>
              <w:t>Whetton</w:t>
            </w:r>
            <w:proofErr w:type="spellEnd"/>
            <w:r w:rsidRPr="00076E76">
              <w:rPr>
                <w:rFonts w:ascii="Gill Sans" w:hAnsi="Gill Sans" w:cs="Gill Sans"/>
              </w:rPr>
              <w:t>, S. (2017) </w:t>
            </w:r>
            <w:hyperlink r:id="rId34" w:history="1">
              <w:r w:rsidRPr="00A56645">
                <w:rPr>
                  <w:rStyle w:val="Hyperlink"/>
                  <w:rFonts w:ascii="Gill Sans" w:hAnsi="Gill Sans" w:cs="Gill Sans"/>
                </w:rPr>
                <w:t>All roads leading to Rome? The medium term outcomes of Australian youth’s transition pathways from education</w:t>
              </w:r>
            </w:hyperlink>
            <w:r w:rsidRPr="00076E76">
              <w:rPr>
                <w:rFonts w:ascii="Gill Sans" w:hAnsi="Gill Sans" w:cs="Gill Sans"/>
              </w:rPr>
              <w:t>, </w:t>
            </w:r>
            <w:r w:rsidRPr="00076E76">
              <w:rPr>
                <w:rFonts w:ascii="Gill Sans" w:hAnsi="Gill Sans" w:cs="Gill Sans"/>
                <w:i/>
                <w:iCs/>
              </w:rPr>
              <w:t>Journal of Youth Studies</w:t>
            </w:r>
            <w:r w:rsidRPr="00076E76">
              <w:rPr>
                <w:rFonts w:ascii="Gill Sans" w:hAnsi="Gill Sans" w:cs="Gill Sans"/>
              </w:rPr>
              <w:t>, 21(3), 304–323.</w:t>
            </w:r>
            <w:r w:rsidRPr="00076E76">
              <w:rPr>
                <w:rFonts w:ascii="Gill Sans" w:hAnsi="Gill Sans" w:cs="Gill Sans"/>
              </w:rPr>
              <w:br/>
            </w:r>
          </w:p>
          <w:p w14:paraId="723EBA4E" w14:textId="77777777" w:rsidR="00076E76" w:rsidRPr="00076E76" w:rsidRDefault="00076E76" w:rsidP="00076E76">
            <w:pPr>
              <w:autoSpaceDE w:val="0"/>
              <w:autoSpaceDN w:val="0"/>
              <w:adjustRightInd w:val="0"/>
              <w:rPr>
                <w:rFonts w:ascii="Gill Sans" w:hAnsi="Gill Sans" w:cs="Gill Sans"/>
              </w:rPr>
            </w:pPr>
            <w:r w:rsidRPr="00076E76">
              <w:rPr>
                <w:rFonts w:ascii="Gill Sans" w:hAnsi="Gill Sans" w:cs="Gill Sans"/>
              </w:rPr>
              <w:t>AUS</w:t>
            </w:r>
          </w:p>
          <w:p w14:paraId="6B7E34D3" w14:textId="77777777" w:rsidR="00076E76" w:rsidRPr="00076E76" w:rsidRDefault="00076E76" w:rsidP="00076E76">
            <w:pPr>
              <w:rPr>
                <w:rFonts w:ascii="Gill Sans" w:eastAsia="Times New Roman" w:hAnsi="Gill Sans" w:cs="Gill Sans"/>
                <w:bCs/>
                <w:color w:val="000000"/>
                <w:lang w:val="en-GB" w:eastAsia="en-AU"/>
              </w:rPr>
            </w:pPr>
            <w:r w:rsidRPr="00076E76">
              <w:rPr>
                <w:rFonts w:ascii="Gill Sans" w:eastAsia="Times New Roman" w:hAnsi="Gill Sans" w:cs="Gill Sans"/>
                <w:bCs/>
                <w:color w:val="000000"/>
                <w:lang w:val="en-GB" w:eastAsia="en-AU"/>
              </w:rPr>
              <w:t>Annotation written by Dr Megan Rose</w:t>
            </w:r>
          </w:p>
          <w:p w14:paraId="63BD7178" w14:textId="77777777" w:rsidR="00076E76" w:rsidRPr="00076E76" w:rsidRDefault="00076E76" w:rsidP="00076E76">
            <w:pPr>
              <w:autoSpaceDE w:val="0"/>
              <w:autoSpaceDN w:val="0"/>
              <w:adjustRightInd w:val="0"/>
              <w:rPr>
                <w:rFonts w:ascii="Gill Sans" w:hAnsi="Gill Sans" w:cs="Gill Sans"/>
              </w:rPr>
            </w:pPr>
          </w:p>
          <w:p w14:paraId="63770071" w14:textId="4B39EE0A" w:rsidR="00076E76" w:rsidRPr="00076E76" w:rsidRDefault="00076E76" w:rsidP="00FA514E">
            <w:pPr>
              <w:rPr>
                <w:rFonts w:ascii="Gill Sans" w:hAnsi="Gill Sans" w:cs="Gill Sans"/>
                <w:szCs w:val="22"/>
              </w:rPr>
            </w:pPr>
            <w:r w:rsidRPr="00076E76">
              <w:rPr>
                <w:rFonts w:ascii="Gill Sans" w:hAnsi="Gill Sans" w:cs="Gill Sans"/>
              </w:rPr>
              <w:t xml:space="preserve">Keywords: </w:t>
            </w:r>
            <w:r w:rsidRPr="00076E76">
              <w:rPr>
                <w:rFonts w:ascii="Gill Sans" w:hAnsi="Gill Sans" w:cs="Gill Sans"/>
                <w:i/>
                <w:iCs/>
              </w:rPr>
              <w:t>Transitions</w:t>
            </w:r>
            <w:r w:rsidR="00DC219B">
              <w:rPr>
                <w:rFonts w:ascii="Gill Sans" w:hAnsi="Gill Sans" w:cs="Gill Sans"/>
                <w:i/>
                <w:iCs/>
              </w:rPr>
              <w:t>;</w:t>
            </w:r>
            <w:r w:rsidRPr="00076E76">
              <w:rPr>
                <w:rFonts w:ascii="Gill Sans" w:hAnsi="Gill Sans" w:cs="Gill Sans"/>
                <w:i/>
                <w:iCs/>
              </w:rPr>
              <w:t xml:space="preserve"> Australia</w:t>
            </w:r>
            <w:r w:rsidR="00DC219B">
              <w:rPr>
                <w:rFonts w:ascii="Gill Sans" w:hAnsi="Gill Sans" w:cs="Gill Sans"/>
                <w:i/>
                <w:iCs/>
              </w:rPr>
              <w:t xml:space="preserve">; </w:t>
            </w:r>
            <w:r w:rsidRPr="00076E76">
              <w:rPr>
                <w:rFonts w:ascii="Gill Sans" w:hAnsi="Gill Sans" w:cs="Gill Sans"/>
                <w:i/>
                <w:iCs/>
              </w:rPr>
              <w:t>Youth, Education</w:t>
            </w:r>
            <w:r w:rsidR="00DC219B">
              <w:rPr>
                <w:rFonts w:ascii="Gill Sans" w:hAnsi="Gill Sans" w:cs="Gill Sans"/>
                <w:i/>
                <w:iCs/>
              </w:rPr>
              <w:t xml:space="preserve">; </w:t>
            </w:r>
            <w:r w:rsidRPr="00076E76">
              <w:rPr>
                <w:rFonts w:ascii="Gill Sans" w:hAnsi="Gill Sans" w:cs="Gill Sans"/>
                <w:i/>
                <w:iCs/>
              </w:rPr>
              <w:t>Employment</w:t>
            </w:r>
            <w:r w:rsidR="00DC219B">
              <w:rPr>
                <w:rFonts w:ascii="Gill Sans" w:hAnsi="Gill Sans" w:cs="Gill Sans"/>
                <w:i/>
                <w:iCs/>
              </w:rPr>
              <w:t xml:space="preserve">; </w:t>
            </w:r>
            <w:r w:rsidRPr="00076E76">
              <w:rPr>
                <w:rFonts w:ascii="Gill Sans" w:hAnsi="Gill Sans" w:cs="Gill Sans"/>
                <w:i/>
                <w:iCs/>
              </w:rPr>
              <w:t>Salaries</w:t>
            </w:r>
            <w:r w:rsidR="00DC219B">
              <w:rPr>
                <w:rFonts w:ascii="Gill Sans" w:hAnsi="Gill Sans" w:cs="Gill Sans"/>
                <w:i/>
                <w:iCs/>
              </w:rPr>
              <w:t xml:space="preserve">; </w:t>
            </w:r>
            <w:r w:rsidRPr="00076E76">
              <w:rPr>
                <w:rFonts w:ascii="Gill Sans" w:hAnsi="Gill Sans" w:cs="Gill Sans"/>
                <w:i/>
                <w:iCs/>
              </w:rPr>
              <w:t>Job Satisfaction</w:t>
            </w:r>
          </w:p>
        </w:tc>
        <w:tc>
          <w:tcPr>
            <w:tcW w:w="10064" w:type="dxa"/>
          </w:tcPr>
          <w:p w14:paraId="07D3E310" w14:textId="77777777" w:rsidR="00076E76" w:rsidRPr="00076E76" w:rsidRDefault="00076E76" w:rsidP="00076E76">
            <w:pPr>
              <w:rPr>
                <w:rFonts w:ascii="Gill Sans" w:hAnsi="Gill Sans" w:cs="Gill Sans"/>
                <w:b/>
                <w:color w:val="000000"/>
              </w:rPr>
            </w:pPr>
            <w:r w:rsidRPr="00076E76">
              <w:rPr>
                <w:rFonts w:ascii="Gill Sans" w:hAnsi="Gill Sans" w:cs="Gill Sans"/>
                <w:b/>
                <w:bCs/>
                <w:color w:val="000000"/>
              </w:rPr>
              <w:t>Context: </w:t>
            </w:r>
            <w:r w:rsidRPr="00076E76">
              <w:rPr>
                <w:rFonts w:ascii="Gill Sans" w:hAnsi="Gill Sans" w:cs="Gill Sans"/>
                <w:bCs/>
                <w:color w:val="000000"/>
              </w:rPr>
              <w:t>Post-education pathways taken by youth aged 15-24 years of age compared to pathways of youth aged 29-38.</w:t>
            </w:r>
          </w:p>
          <w:p w14:paraId="66BA9CE0" w14:textId="77777777" w:rsidR="00076E76" w:rsidRPr="00076E76" w:rsidRDefault="00076E76" w:rsidP="00076E76">
            <w:pPr>
              <w:rPr>
                <w:rFonts w:ascii="Gill Sans" w:hAnsi="Gill Sans" w:cs="Gill Sans"/>
                <w:b/>
                <w:color w:val="000000"/>
              </w:rPr>
            </w:pPr>
            <w:r w:rsidRPr="00076E76">
              <w:rPr>
                <w:rFonts w:ascii="Gill Sans" w:hAnsi="Gill Sans" w:cs="Gill Sans"/>
                <w:b/>
                <w:bCs/>
                <w:color w:val="000000"/>
              </w:rPr>
              <w:t>Aim:</w:t>
            </w:r>
            <w:r w:rsidRPr="00076E76">
              <w:rPr>
                <w:rFonts w:ascii="Gill Sans" w:hAnsi="Gill Sans" w:cs="Gill Sans"/>
                <w:b/>
                <w:color w:val="000000"/>
              </w:rPr>
              <w:t> </w:t>
            </w:r>
            <w:r w:rsidRPr="00076E76">
              <w:rPr>
                <w:rFonts w:ascii="Gill Sans" w:hAnsi="Gill Sans" w:cs="Gill Sans"/>
                <w:bCs/>
                <w:color w:val="000000"/>
              </w:rPr>
              <w:t>To explore the links between transition from education to employment pathways and graduate earnings, perception of employment opportunities, job satisfaction and debt.</w:t>
            </w:r>
          </w:p>
          <w:p w14:paraId="202122D5" w14:textId="77777777" w:rsidR="00076E76" w:rsidRPr="00076E76" w:rsidRDefault="00076E76" w:rsidP="00076E76">
            <w:pPr>
              <w:rPr>
                <w:rFonts w:ascii="Gill Sans" w:hAnsi="Gill Sans" w:cs="Gill Sans"/>
                <w:b/>
                <w:color w:val="000000"/>
              </w:rPr>
            </w:pPr>
            <w:r w:rsidRPr="00076E76">
              <w:rPr>
                <w:rFonts w:ascii="Gill Sans" w:hAnsi="Gill Sans" w:cs="Gill Sans"/>
                <w:b/>
                <w:bCs/>
                <w:color w:val="000000"/>
              </w:rPr>
              <w:t>Methodology: </w:t>
            </w:r>
            <w:r w:rsidRPr="00076E76">
              <w:rPr>
                <w:rFonts w:ascii="Gill Sans" w:hAnsi="Gill Sans" w:cs="Gill Sans"/>
                <w:bCs/>
                <w:color w:val="000000"/>
              </w:rPr>
              <w:t>Applied sequence analysis of </w:t>
            </w:r>
            <w:r w:rsidRPr="00076E76">
              <w:rPr>
                <w:rFonts w:ascii="Gill Sans" w:hAnsi="Gill Sans" w:cs="Gill Sans"/>
                <w:bCs/>
                <w:color w:val="000000"/>
                <w:lang w:val="en-GB"/>
              </w:rPr>
              <w:t>Household Income and Labour Dynamics in Australia (HILDA) survey (2001-2014);</w:t>
            </w:r>
            <w:r w:rsidRPr="00076E76">
              <w:rPr>
                <w:rFonts w:ascii="Gill Sans" w:hAnsi="Gill Sans" w:cs="Gill Sans"/>
                <w:bCs/>
                <w:color w:val="000000"/>
              </w:rPr>
              <w:t> built on Fry and Boulton’s (2013) study, extending to include 14 years of data; n=20,000 households.</w:t>
            </w:r>
          </w:p>
          <w:p w14:paraId="3241F69C" w14:textId="77777777" w:rsidR="00076E76" w:rsidRPr="00076E76" w:rsidRDefault="00076E76" w:rsidP="00076E76">
            <w:pPr>
              <w:rPr>
                <w:rFonts w:ascii="Gill Sans" w:hAnsi="Gill Sans" w:cs="Gill Sans"/>
                <w:b/>
                <w:color w:val="000000"/>
              </w:rPr>
            </w:pPr>
            <w:r w:rsidRPr="00076E76">
              <w:rPr>
                <w:rFonts w:ascii="Gill Sans" w:hAnsi="Gill Sans" w:cs="Gill Sans"/>
                <w:b/>
                <w:bCs/>
                <w:color w:val="000000"/>
              </w:rPr>
              <w:t>Findings:</w:t>
            </w:r>
          </w:p>
          <w:p w14:paraId="279E7F1D" w14:textId="77777777" w:rsidR="00076E76" w:rsidRPr="00076E76" w:rsidRDefault="00076E76" w:rsidP="00076E76">
            <w:pPr>
              <w:numPr>
                <w:ilvl w:val="0"/>
                <w:numId w:val="34"/>
              </w:numPr>
              <w:rPr>
                <w:rFonts w:ascii="Gill Sans" w:hAnsi="Gill Sans" w:cs="Gill Sans"/>
                <w:bCs/>
                <w:color w:val="000000"/>
              </w:rPr>
            </w:pPr>
            <w:r w:rsidRPr="00076E76">
              <w:rPr>
                <w:rFonts w:ascii="Gill Sans" w:hAnsi="Gill Sans" w:cs="Gill Sans"/>
                <w:bCs/>
                <w:color w:val="000000"/>
              </w:rPr>
              <w:t>Fry and Boulton (2013) found that across all pathways, earnings and employment converged over time, however the most rewarding pathway was a combination of earning and work.</w:t>
            </w:r>
          </w:p>
          <w:p w14:paraId="067F371B" w14:textId="77777777" w:rsidR="00076E76" w:rsidRPr="00076E76" w:rsidRDefault="00076E76" w:rsidP="00076E76">
            <w:pPr>
              <w:numPr>
                <w:ilvl w:val="0"/>
                <w:numId w:val="34"/>
              </w:numPr>
              <w:rPr>
                <w:rFonts w:ascii="Gill Sans" w:hAnsi="Gill Sans" w:cs="Gill Sans"/>
                <w:bCs/>
                <w:color w:val="000000"/>
              </w:rPr>
            </w:pPr>
            <w:r w:rsidRPr="00076E76">
              <w:rPr>
                <w:rFonts w:ascii="Gill Sans" w:hAnsi="Gill Sans" w:cs="Gill Sans"/>
                <w:bCs/>
                <w:color w:val="000000"/>
              </w:rPr>
              <w:t>24% of the sample of the HILDA survey in 2014 pursued a work and study to work pathway, where participants engaged in work and study equally.</w:t>
            </w:r>
          </w:p>
          <w:p w14:paraId="5971C9CB" w14:textId="77777777" w:rsidR="00076E76" w:rsidRPr="00076E76" w:rsidRDefault="00076E76" w:rsidP="00076E76">
            <w:pPr>
              <w:numPr>
                <w:ilvl w:val="0"/>
                <w:numId w:val="34"/>
              </w:numPr>
              <w:rPr>
                <w:rFonts w:ascii="Gill Sans" w:hAnsi="Gill Sans" w:cs="Gill Sans"/>
                <w:bCs/>
                <w:color w:val="000000"/>
              </w:rPr>
            </w:pPr>
            <w:r w:rsidRPr="00076E76">
              <w:rPr>
                <w:rFonts w:ascii="Gill Sans" w:hAnsi="Gill Sans" w:cs="Gill Sans"/>
                <w:bCs/>
                <w:color w:val="000000"/>
                <w:lang w:val="en-GB"/>
              </w:rPr>
              <w:t>15% of the sample in 2014 pursued the work, with and without study, pathway, whereby study is the primary focus for the first 2-3 years followed by increased work and study.</w:t>
            </w:r>
          </w:p>
          <w:p w14:paraId="7D57596B" w14:textId="77777777" w:rsidR="00076E76" w:rsidRPr="00076E76" w:rsidRDefault="00076E76" w:rsidP="00076E76">
            <w:pPr>
              <w:numPr>
                <w:ilvl w:val="0"/>
                <w:numId w:val="34"/>
              </w:numPr>
              <w:rPr>
                <w:rFonts w:ascii="Gill Sans" w:hAnsi="Gill Sans" w:cs="Gill Sans"/>
                <w:bCs/>
                <w:color w:val="000000"/>
              </w:rPr>
            </w:pPr>
            <w:r w:rsidRPr="00076E76">
              <w:rPr>
                <w:rFonts w:ascii="Gill Sans" w:hAnsi="Gill Sans" w:cs="Gill Sans"/>
                <w:bCs/>
                <w:color w:val="000000"/>
                <w:lang w:val="en-GB"/>
              </w:rPr>
              <w:t>10% partook in the not in the labour force pathway, whereby they were not employed or in the labour work force.</w:t>
            </w:r>
          </w:p>
          <w:p w14:paraId="1B0E548F" w14:textId="77777777" w:rsidR="00076E76" w:rsidRPr="00076E76" w:rsidRDefault="00076E76" w:rsidP="00076E76">
            <w:pPr>
              <w:numPr>
                <w:ilvl w:val="0"/>
                <w:numId w:val="34"/>
              </w:numPr>
              <w:rPr>
                <w:rFonts w:ascii="Gill Sans" w:hAnsi="Gill Sans" w:cs="Gill Sans"/>
                <w:bCs/>
                <w:color w:val="000000"/>
              </w:rPr>
            </w:pPr>
            <w:r w:rsidRPr="00076E76">
              <w:rPr>
                <w:rFonts w:ascii="Gill Sans" w:hAnsi="Gill Sans" w:cs="Gill Sans"/>
                <w:bCs/>
                <w:color w:val="000000"/>
                <w:lang w:val="en-GB"/>
              </w:rPr>
              <w:t>39% were in the “churning with work” pathway, where work was the primary focus.</w:t>
            </w:r>
          </w:p>
          <w:p w14:paraId="0FCEC100" w14:textId="77777777" w:rsidR="00076E76" w:rsidRPr="00076E76" w:rsidRDefault="00076E76" w:rsidP="00076E76">
            <w:pPr>
              <w:numPr>
                <w:ilvl w:val="0"/>
                <w:numId w:val="34"/>
              </w:numPr>
              <w:rPr>
                <w:rFonts w:ascii="Gill Sans" w:hAnsi="Gill Sans" w:cs="Gill Sans"/>
                <w:bCs/>
                <w:color w:val="000000"/>
              </w:rPr>
            </w:pPr>
            <w:r w:rsidRPr="00076E76">
              <w:rPr>
                <w:rFonts w:ascii="Gill Sans" w:hAnsi="Gill Sans" w:cs="Gill Sans"/>
                <w:bCs/>
                <w:color w:val="000000"/>
                <w:lang w:val="en-GB"/>
              </w:rPr>
              <w:t xml:space="preserve">The work, with and without study and churning with work pathways produced the highest </w:t>
            </w:r>
            <w:proofErr w:type="gramStart"/>
            <w:r w:rsidRPr="00076E76">
              <w:rPr>
                <w:rFonts w:ascii="Gill Sans" w:hAnsi="Gill Sans" w:cs="Gill Sans"/>
                <w:bCs/>
                <w:color w:val="000000"/>
                <w:lang w:val="en-GB"/>
              </w:rPr>
              <w:t>4 year</w:t>
            </w:r>
            <w:proofErr w:type="gramEnd"/>
            <w:r w:rsidRPr="00076E76">
              <w:rPr>
                <w:rFonts w:ascii="Gill Sans" w:hAnsi="Gill Sans" w:cs="Gill Sans"/>
                <w:bCs/>
                <w:color w:val="000000"/>
                <w:lang w:val="en-GB"/>
              </w:rPr>
              <w:t xml:space="preserve"> average earnings 2009-2013.</w:t>
            </w:r>
          </w:p>
          <w:p w14:paraId="09CEE8AE" w14:textId="77777777" w:rsidR="00076E76" w:rsidRPr="00076E76" w:rsidRDefault="00076E76" w:rsidP="00076E76">
            <w:pPr>
              <w:numPr>
                <w:ilvl w:val="0"/>
                <w:numId w:val="34"/>
              </w:numPr>
              <w:rPr>
                <w:rFonts w:ascii="Gill Sans" w:hAnsi="Gill Sans" w:cs="Gill Sans"/>
                <w:bCs/>
                <w:color w:val="000000"/>
              </w:rPr>
            </w:pPr>
            <w:r w:rsidRPr="00076E76">
              <w:rPr>
                <w:rFonts w:ascii="Gill Sans" w:hAnsi="Gill Sans" w:cs="Gill Sans"/>
                <w:bCs/>
                <w:color w:val="000000"/>
                <w:lang w:val="en-GB"/>
              </w:rPr>
              <w:t>The work and study to work pathway, whereby a higher educational qualification was obtained, did not enable them to match the earnings of work, with and without study group. This suggests that the returns of participating in higher education are in decline, where this group is “sandwiched” between a prioritised pool of top-graduates, post-graduates and the churning with work group, and then the HSC educated group moving from education to work.</w:t>
            </w:r>
          </w:p>
          <w:p w14:paraId="61C12038" w14:textId="01C91EFF" w:rsidR="00076E76" w:rsidRPr="00076E76" w:rsidRDefault="00076E76" w:rsidP="00076E76">
            <w:pPr>
              <w:rPr>
                <w:rFonts w:ascii="Gill Sans" w:hAnsi="Gill Sans" w:cs="Gill Sans"/>
                <w:b/>
                <w:color w:val="000000"/>
              </w:rPr>
            </w:pPr>
            <w:r w:rsidRPr="00076E76">
              <w:rPr>
                <w:rFonts w:ascii="Gill Sans" w:hAnsi="Gill Sans" w:cs="Gill Sans"/>
                <w:b/>
                <w:bCs/>
                <w:color w:val="000000"/>
              </w:rPr>
              <w:t>Core argument:</w:t>
            </w:r>
          </w:p>
          <w:p w14:paraId="48FDE959" w14:textId="77777777" w:rsidR="00076E76" w:rsidRPr="00076E76" w:rsidRDefault="00076E76" w:rsidP="00076E76">
            <w:pPr>
              <w:rPr>
                <w:rFonts w:ascii="Gill Sans" w:hAnsi="Gill Sans" w:cs="Gill Sans"/>
                <w:bCs/>
                <w:color w:val="000000"/>
              </w:rPr>
            </w:pPr>
            <w:r w:rsidRPr="00076E76">
              <w:rPr>
                <w:rFonts w:ascii="Gill Sans" w:hAnsi="Gill Sans" w:cs="Gill Sans"/>
                <w:bCs/>
                <w:color w:val="000000"/>
                <w:lang w:val="en-GB"/>
              </w:rPr>
              <w:t xml:space="preserve">Earnings for those churning with work or studying with an increasing amount of work were the highest among all 5 pathways. While transition pathways provide different earnings in the medium term, this difference does not impact on young </w:t>
            </w:r>
            <w:proofErr w:type="spellStart"/>
            <w:proofErr w:type="gramStart"/>
            <w:r w:rsidRPr="00076E76">
              <w:rPr>
                <w:rFonts w:ascii="Gill Sans" w:hAnsi="Gill Sans" w:cs="Gill Sans"/>
                <w:bCs/>
                <w:color w:val="000000"/>
                <w:lang w:val="en-GB"/>
              </w:rPr>
              <w:t>peoples</w:t>
            </w:r>
            <w:proofErr w:type="spellEnd"/>
            <w:proofErr w:type="gramEnd"/>
            <w:r w:rsidRPr="00076E76">
              <w:rPr>
                <w:rFonts w:ascii="Gill Sans" w:hAnsi="Gill Sans" w:cs="Gill Sans"/>
                <w:bCs/>
                <w:color w:val="000000"/>
                <w:lang w:val="en-GB"/>
              </w:rPr>
              <w:t xml:space="preserve"> perception of employment opportunities or ability to pay bills. </w:t>
            </w:r>
            <w:r w:rsidRPr="00076E76">
              <w:rPr>
                <w:rFonts w:ascii="Gill Sans" w:hAnsi="Gill Sans" w:cs="Gill Sans"/>
                <w:bCs/>
                <w:color w:val="000000"/>
                <w:lang w:val="en-GB"/>
              </w:rPr>
              <w:lastRenderedPageBreak/>
              <w:t>In the medium term, pathways that combined study and work (either with a strategy in mind, or as part of a work/study balance) appeared to be the most rewarding.  </w:t>
            </w:r>
          </w:p>
          <w:p w14:paraId="4FEDCF7A" w14:textId="77777777" w:rsidR="00076E76" w:rsidRPr="00076E76" w:rsidRDefault="00076E76" w:rsidP="00076E76">
            <w:pPr>
              <w:rPr>
                <w:rFonts w:ascii="Gill Sans" w:hAnsi="Gill Sans" w:cs="Gill Sans"/>
                <w:bCs/>
                <w:color w:val="000000"/>
              </w:rPr>
            </w:pPr>
            <w:r w:rsidRPr="00076E76">
              <w:rPr>
                <w:rFonts w:ascii="Gill Sans" w:hAnsi="Gill Sans" w:cs="Gill Sans"/>
                <w:bCs/>
                <w:color w:val="000000"/>
                <w:lang w:val="en-GB"/>
              </w:rPr>
              <w:t>“Currently being in work, higher education qualifications, good health and living in a coupled household without children most consistently ‘explained’ more positive outcomes, alongside having parents with higher</w:t>
            </w:r>
          </w:p>
          <w:p w14:paraId="6758C897" w14:textId="713D547B" w:rsidR="00076E76" w:rsidRPr="00076E76" w:rsidRDefault="00076E76" w:rsidP="003E50C1">
            <w:pPr>
              <w:rPr>
                <w:rFonts w:ascii="Gill Sans" w:hAnsi="Gill Sans" w:cs="Gill Sans"/>
                <w:b/>
                <w:color w:val="000000"/>
                <w:szCs w:val="22"/>
                <w:lang w:val="en-AU"/>
              </w:rPr>
            </w:pPr>
            <w:r w:rsidRPr="00076E76">
              <w:rPr>
                <w:rFonts w:ascii="Gill Sans" w:hAnsi="Gill Sans" w:cs="Gill Sans"/>
                <w:bCs/>
                <w:color w:val="000000"/>
                <w:lang w:val="en-GB"/>
              </w:rPr>
              <w:t>occupational background and (in the case of unpaid bills) the absence of unpaid bills when last asked.” (11)</w:t>
            </w:r>
          </w:p>
        </w:tc>
      </w:tr>
      <w:tr w:rsidR="00076E76" w:rsidRPr="00076E76" w14:paraId="3E63C493" w14:textId="77777777" w:rsidTr="002E557C">
        <w:tc>
          <w:tcPr>
            <w:tcW w:w="5529" w:type="dxa"/>
          </w:tcPr>
          <w:p w14:paraId="099F7CB4" w14:textId="26199E73" w:rsidR="00076E76" w:rsidRPr="00076E76" w:rsidRDefault="00076E76" w:rsidP="00FA2E2D">
            <w:pPr>
              <w:rPr>
                <w:rFonts w:ascii="Gill Sans" w:hAnsi="Gill Sans" w:cs="Gill Sans"/>
                <w:bCs/>
                <w:szCs w:val="22"/>
              </w:rPr>
            </w:pPr>
            <w:r w:rsidRPr="00076E76">
              <w:rPr>
                <w:rFonts w:ascii="Gill Sans" w:hAnsi="Gill Sans" w:cs="Gill Sans"/>
                <w:szCs w:val="22"/>
              </w:rPr>
              <w:lastRenderedPageBreak/>
              <w:t xml:space="preserve">Chester, A.; Burton, L.; </w:t>
            </w:r>
            <w:proofErr w:type="spellStart"/>
            <w:r w:rsidRPr="00076E76">
              <w:rPr>
                <w:rFonts w:ascii="Gill Sans" w:hAnsi="Gill Sans" w:cs="Gill Sans"/>
                <w:szCs w:val="22"/>
              </w:rPr>
              <w:t>Xenos</w:t>
            </w:r>
            <w:proofErr w:type="spellEnd"/>
            <w:r w:rsidRPr="00076E76">
              <w:rPr>
                <w:rFonts w:ascii="Gill Sans" w:hAnsi="Gill Sans" w:cs="Gill Sans"/>
                <w:szCs w:val="22"/>
              </w:rPr>
              <w:t xml:space="preserve">, S.; Elgar, K. &amp; Denny, B. (2013). </w:t>
            </w:r>
            <w:hyperlink r:id="rId35" w:history="1">
              <w:r w:rsidRPr="00A56645">
                <w:rPr>
                  <w:rStyle w:val="Hyperlink"/>
                  <w:rFonts w:ascii="Gill Sans" w:hAnsi="Gill Sans" w:cs="Gill Sans"/>
                  <w:bCs/>
                  <w:szCs w:val="22"/>
                </w:rPr>
                <w:t xml:space="preserve">Transition in, </w:t>
              </w:r>
              <w:proofErr w:type="gramStart"/>
              <w:r w:rsidRPr="00A56645">
                <w:rPr>
                  <w:rStyle w:val="Hyperlink"/>
                  <w:rFonts w:ascii="Gill Sans" w:hAnsi="Gill Sans" w:cs="Gill Sans"/>
                  <w:bCs/>
                  <w:szCs w:val="22"/>
                </w:rPr>
                <w:t>Transition</w:t>
              </w:r>
              <w:proofErr w:type="gramEnd"/>
              <w:r w:rsidRPr="00A56645">
                <w:rPr>
                  <w:rStyle w:val="Hyperlink"/>
                  <w:rFonts w:ascii="Gill Sans" w:hAnsi="Gill Sans" w:cs="Gill Sans"/>
                  <w:bCs/>
                  <w:szCs w:val="22"/>
                </w:rPr>
                <w:t xml:space="preserve"> out: A sustainable model to engage first year students in learning</w:t>
              </w:r>
            </w:hyperlink>
            <w:r w:rsidRPr="00076E76">
              <w:rPr>
                <w:rFonts w:ascii="Gill Sans" w:hAnsi="Gill Sans" w:cs="Gill Sans"/>
                <w:bCs/>
                <w:szCs w:val="22"/>
              </w:rPr>
              <w:t xml:space="preserve">. A Practice Report, </w:t>
            </w:r>
            <w:r w:rsidRPr="00076E76">
              <w:rPr>
                <w:rFonts w:ascii="Gill Sans" w:hAnsi="Gill Sans" w:cs="Gill Sans"/>
                <w:bCs/>
                <w:i/>
                <w:szCs w:val="22"/>
              </w:rPr>
              <w:t xml:space="preserve">The International Journal of the First Year in Higher Education, </w:t>
            </w:r>
            <w:r w:rsidR="00567851">
              <w:rPr>
                <w:rFonts w:ascii="Gill Sans" w:hAnsi="Gill Sans" w:cs="Gill Sans"/>
                <w:bCs/>
                <w:szCs w:val="22"/>
              </w:rPr>
              <w:t>4(2), 125–</w:t>
            </w:r>
            <w:r w:rsidRPr="00076E76">
              <w:rPr>
                <w:rFonts w:ascii="Gill Sans" w:hAnsi="Gill Sans" w:cs="Gill Sans"/>
                <w:bCs/>
                <w:szCs w:val="22"/>
              </w:rPr>
              <w:t>130.</w:t>
            </w:r>
          </w:p>
          <w:p w14:paraId="467FC4C8" w14:textId="77777777" w:rsidR="00076E76" w:rsidRPr="00076E76" w:rsidRDefault="00076E76" w:rsidP="00FA2E2D">
            <w:pPr>
              <w:rPr>
                <w:rFonts w:ascii="Gill Sans" w:hAnsi="Gill Sans" w:cs="Gill Sans"/>
                <w:bCs/>
                <w:szCs w:val="22"/>
              </w:rPr>
            </w:pPr>
          </w:p>
          <w:p w14:paraId="2EACF9C2" w14:textId="77777777" w:rsidR="00076E76" w:rsidRPr="00076E76" w:rsidRDefault="00076E76" w:rsidP="00FA2E2D">
            <w:pPr>
              <w:rPr>
                <w:rFonts w:ascii="Gill Sans" w:hAnsi="Gill Sans" w:cs="Gill Sans"/>
                <w:bCs/>
                <w:szCs w:val="22"/>
              </w:rPr>
            </w:pPr>
            <w:r w:rsidRPr="00076E76">
              <w:rPr>
                <w:rFonts w:ascii="Gill Sans" w:hAnsi="Gill Sans" w:cs="Gill Sans"/>
                <w:bCs/>
                <w:szCs w:val="22"/>
              </w:rPr>
              <w:t>AUS</w:t>
            </w:r>
          </w:p>
          <w:p w14:paraId="2A5E6C84" w14:textId="77777777" w:rsidR="00076E76" w:rsidRPr="00076E76" w:rsidRDefault="00076E76" w:rsidP="00FA2E2D">
            <w:pPr>
              <w:rPr>
                <w:rFonts w:ascii="Gill Sans" w:hAnsi="Gill Sans" w:cs="Gill Sans"/>
                <w:szCs w:val="22"/>
              </w:rPr>
            </w:pPr>
            <w:r w:rsidRPr="00076E76">
              <w:rPr>
                <w:rFonts w:ascii="Gill Sans" w:hAnsi="Gill Sans" w:cs="Gill Sans"/>
                <w:szCs w:val="22"/>
              </w:rPr>
              <w:t>Annotation by Sally Baker</w:t>
            </w:r>
          </w:p>
          <w:p w14:paraId="2D3A59A4" w14:textId="77777777" w:rsidR="00076E76" w:rsidRPr="00076E76" w:rsidRDefault="00076E76" w:rsidP="00FA2E2D">
            <w:pPr>
              <w:rPr>
                <w:rFonts w:ascii="Gill Sans" w:hAnsi="Gill Sans" w:cs="Gill Sans"/>
                <w:bCs/>
                <w:szCs w:val="22"/>
              </w:rPr>
            </w:pPr>
          </w:p>
          <w:p w14:paraId="237F9502" w14:textId="36375129" w:rsidR="00DC219B" w:rsidRPr="00DC219B" w:rsidRDefault="00DC219B" w:rsidP="00DC219B">
            <w:pPr>
              <w:rPr>
                <w:rFonts w:ascii="Gill Sans" w:hAnsi="Gill Sans" w:cs="Gill Sans"/>
                <w:szCs w:val="22"/>
                <w:lang w:val="en-GB"/>
              </w:rPr>
            </w:pPr>
            <w:r>
              <w:rPr>
                <w:rFonts w:ascii="Gill Sans" w:hAnsi="Gill Sans" w:cs="Gill Sans"/>
                <w:szCs w:val="22"/>
                <w:lang w:val="en-GB"/>
              </w:rPr>
              <w:t>Keywords: p</w:t>
            </w:r>
            <w:r w:rsidRPr="00DC219B">
              <w:rPr>
                <w:rFonts w:ascii="Gill Sans" w:hAnsi="Gill Sans" w:cs="Gill Sans"/>
                <w:szCs w:val="22"/>
                <w:lang w:val="en-GB"/>
              </w:rPr>
              <w:t>eer mentoring</w:t>
            </w:r>
            <w:r>
              <w:rPr>
                <w:rFonts w:ascii="Gill Sans" w:hAnsi="Gill Sans" w:cs="Gill Sans"/>
                <w:szCs w:val="22"/>
                <w:lang w:val="en-GB"/>
              </w:rPr>
              <w:t xml:space="preserve">; </w:t>
            </w:r>
            <w:r w:rsidRPr="00DC219B">
              <w:rPr>
                <w:rFonts w:ascii="Gill Sans" w:hAnsi="Gill Sans" w:cs="Gill Sans"/>
                <w:szCs w:val="22"/>
                <w:lang w:val="en-GB"/>
              </w:rPr>
              <w:t>first year experience</w:t>
            </w:r>
            <w:r>
              <w:rPr>
                <w:rFonts w:ascii="Gill Sans" w:hAnsi="Gill Sans" w:cs="Gill Sans"/>
                <w:szCs w:val="22"/>
                <w:lang w:val="en-GB"/>
              </w:rPr>
              <w:t>;</w:t>
            </w:r>
            <w:r w:rsidRPr="00DC219B">
              <w:rPr>
                <w:rFonts w:ascii="Gill Sans" w:hAnsi="Gill Sans" w:cs="Gill Sans"/>
                <w:szCs w:val="22"/>
                <w:lang w:val="en-GB"/>
              </w:rPr>
              <w:t xml:space="preserve"> transition</w:t>
            </w:r>
            <w:r>
              <w:rPr>
                <w:rFonts w:ascii="Gill Sans" w:hAnsi="Gill Sans" w:cs="Gill Sans"/>
                <w:szCs w:val="22"/>
                <w:lang w:val="en-GB"/>
              </w:rPr>
              <w:t xml:space="preserve">; </w:t>
            </w:r>
            <w:r w:rsidRPr="00DC219B">
              <w:rPr>
                <w:rFonts w:ascii="Gill Sans" w:hAnsi="Gill Sans" w:cs="Gill Sans"/>
                <w:szCs w:val="22"/>
                <w:lang w:val="en-GB"/>
              </w:rPr>
              <w:t>peer mentoring evaluation</w:t>
            </w:r>
            <w:r>
              <w:rPr>
                <w:rFonts w:ascii="Gill Sans" w:hAnsi="Gill Sans" w:cs="Gill Sans"/>
                <w:szCs w:val="22"/>
                <w:lang w:val="en-GB"/>
              </w:rPr>
              <w:t>; l</w:t>
            </w:r>
            <w:r w:rsidRPr="00DC219B">
              <w:rPr>
                <w:rFonts w:ascii="Gill Sans" w:hAnsi="Gill Sans" w:cs="Gill Sans"/>
                <w:szCs w:val="22"/>
                <w:lang w:val="en-GB"/>
              </w:rPr>
              <w:t>earning approaches</w:t>
            </w:r>
          </w:p>
          <w:p w14:paraId="70844444" w14:textId="77777777" w:rsidR="00DC219B" w:rsidRPr="00DC219B" w:rsidRDefault="00DC219B" w:rsidP="00DC219B">
            <w:pPr>
              <w:rPr>
                <w:rFonts w:ascii="Gill Sans" w:hAnsi="Gill Sans" w:cs="Gill Sans"/>
                <w:b/>
                <w:szCs w:val="22"/>
                <w:lang w:val="en-GB"/>
              </w:rPr>
            </w:pPr>
          </w:p>
          <w:p w14:paraId="60D3FCD8" w14:textId="303202BB" w:rsidR="00076E76" w:rsidRPr="00076E76" w:rsidRDefault="00076E76" w:rsidP="00787831">
            <w:pPr>
              <w:rPr>
                <w:rFonts w:ascii="Gill Sans" w:hAnsi="Gill Sans" w:cs="Gill Sans"/>
                <w:b/>
                <w:szCs w:val="22"/>
              </w:rPr>
            </w:pPr>
          </w:p>
        </w:tc>
        <w:tc>
          <w:tcPr>
            <w:tcW w:w="10064" w:type="dxa"/>
          </w:tcPr>
          <w:p w14:paraId="0AA1519D" w14:textId="77777777" w:rsidR="00076E76" w:rsidRPr="00076E76" w:rsidRDefault="00076E76" w:rsidP="00FA2E2D">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sidRPr="00076E76">
              <w:rPr>
                <w:rFonts w:ascii="Gill Sans" w:hAnsi="Gill Sans" w:cs="Gill Sans"/>
                <w:color w:val="000000"/>
                <w:szCs w:val="22"/>
                <w:lang w:val="en-AU"/>
              </w:rPr>
              <w:t xml:space="preserve">Discusses the ‘Transition in, </w:t>
            </w:r>
            <w:proofErr w:type="gramStart"/>
            <w:r w:rsidRPr="00076E76">
              <w:rPr>
                <w:rFonts w:ascii="Gill Sans" w:hAnsi="Gill Sans" w:cs="Gill Sans"/>
                <w:color w:val="000000"/>
                <w:szCs w:val="22"/>
                <w:lang w:val="en-AU"/>
              </w:rPr>
              <w:t>Transition</w:t>
            </w:r>
            <w:proofErr w:type="gramEnd"/>
            <w:r w:rsidRPr="00076E76">
              <w:rPr>
                <w:rFonts w:ascii="Gill Sans" w:hAnsi="Gill Sans" w:cs="Gill Sans"/>
                <w:color w:val="000000"/>
                <w:szCs w:val="22"/>
                <w:lang w:val="en-AU"/>
              </w:rPr>
              <w:t xml:space="preserve"> out’ peer mentoring program at USQ for supporting students’ transitioning into Australian higher education – particularly development of sustainable and scalable models. </w:t>
            </w:r>
            <w:proofErr w:type="spellStart"/>
            <w:r w:rsidRPr="00076E76">
              <w:rPr>
                <w:rFonts w:ascii="Gill Sans" w:hAnsi="Gill Sans" w:cs="Gill Sans"/>
                <w:color w:val="000000"/>
                <w:szCs w:val="22"/>
                <w:lang w:val="en-AU"/>
              </w:rPr>
              <w:t>TiTo</w:t>
            </w:r>
            <w:proofErr w:type="spellEnd"/>
            <w:r w:rsidRPr="00076E76">
              <w:rPr>
                <w:rFonts w:ascii="Gill Sans" w:hAnsi="Gill Sans" w:cs="Gill Sans"/>
                <w:color w:val="000000"/>
                <w:szCs w:val="22"/>
                <w:lang w:val="en-AU"/>
              </w:rPr>
              <w:t xml:space="preserve"> addresses psychological and academic dimensions of transition = embedded into curriculum</w:t>
            </w:r>
          </w:p>
          <w:p w14:paraId="69C4B0A6" w14:textId="77777777" w:rsidR="00076E76" w:rsidRPr="00076E76" w:rsidRDefault="00076E76" w:rsidP="00FA2E2D">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sidRPr="00076E76">
              <w:rPr>
                <w:rFonts w:ascii="Gill Sans" w:hAnsi="Gill Sans" w:cs="Gill Sans"/>
                <w:color w:val="000000"/>
                <w:szCs w:val="22"/>
                <w:lang w:val="en-AU"/>
              </w:rPr>
              <w:t>To describe evaluation of ‘Transition in, Transition out’ (</w:t>
            </w:r>
            <w:proofErr w:type="spellStart"/>
            <w:r w:rsidRPr="00076E76">
              <w:rPr>
                <w:rFonts w:ascii="Gill Sans" w:hAnsi="Gill Sans" w:cs="Gill Sans"/>
                <w:color w:val="000000"/>
                <w:szCs w:val="22"/>
                <w:lang w:val="en-AU"/>
              </w:rPr>
              <w:t>TiTo</w:t>
            </w:r>
            <w:proofErr w:type="spellEnd"/>
            <w:r w:rsidRPr="00076E76">
              <w:rPr>
                <w:rFonts w:ascii="Gill Sans" w:hAnsi="Gill Sans" w:cs="Gill Sans"/>
                <w:color w:val="000000"/>
                <w:szCs w:val="22"/>
                <w:lang w:val="en-AU"/>
              </w:rPr>
              <w:t>) in on-campus and offline modes</w:t>
            </w:r>
          </w:p>
          <w:p w14:paraId="39B9CE7C" w14:textId="77777777" w:rsidR="00076E76" w:rsidRPr="00076E76" w:rsidRDefault="00076E76" w:rsidP="00FA2E2D">
            <w:pPr>
              <w:rPr>
                <w:rFonts w:ascii="Gill Sans" w:hAnsi="Gill Sans" w:cs="Gill Sans"/>
                <w:b/>
                <w:color w:val="000000"/>
                <w:szCs w:val="22"/>
                <w:lang w:val="en-AU"/>
              </w:rPr>
            </w:pPr>
            <w:r w:rsidRPr="00076E76">
              <w:rPr>
                <w:rFonts w:ascii="Gill Sans" w:hAnsi="Gill Sans" w:cs="Gill Sans"/>
                <w:b/>
                <w:color w:val="000000"/>
                <w:szCs w:val="22"/>
                <w:lang w:val="en-AU"/>
              </w:rPr>
              <w:t>Theoretical frame:</w:t>
            </w:r>
          </w:p>
          <w:p w14:paraId="28334064" w14:textId="77777777" w:rsidR="00076E76" w:rsidRPr="00076E76" w:rsidRDefault="00076E76" w:rsidP="00FA2E2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 xml:space="preserve">Describes evaluation of </w:t>
            </w:r>
            <w:proofErr w:type="spellStart"/>
            <w:r w:rsidRPr="00076E76">
              <w:rPr>
                <w:rFonts w:ascii="Gill Sans" w:hAnsi="Gill Sans" w:cs="Gill Sans"/>
                <w:color w:val="000000"/>
                <w:szCs w:val="22"/>
                <w:lang w:val="en-AU"/>
              </w:rPr>
              <w:t>TiTo</w:t>
            </w:r>
            <w:proofErr w:type="spellEnd"/>
            <w:r w:rsidRPr="00076E76">
              <w:rPr>
                <w:rFonts w:ascii="Gill Sans" w:hAnsi="Gill Sans" w:cs="Gill Sans"/>
                <w:color w:val="000000"/>
                <w:szCs w:val="22"/>
                <w:lang w:val="en-AU"/>
              </w:rPr>
              <w:t xml:space="preserve"> – data collected using ASSIST inventory (Entwistle, 2000) = measures three levels of learning: surface, strategic and deep + academic performance results + survey of students (Psychology undergraduate course = one on-campus, one offline). Students (n=</w:t>
            </w:r>
          </w:p>
          <w:p w14:paraId="513A11E5" w14:textId="77777777" w:rsidR="00076E76" w:rsidRPr="00076E76" w:rsidRDefault="00076E76" w:rsidP="00FA2E2D">
            <w:pPr>
              <w:rPr>
                <w:rFonts w:ascii="Gill Sans" w:hAnsi="Gill Sans" w:cs="Gill Sans"/>
                <w:color w:val="000000"/>
                <w:szCs w:val="22"/>
                <w:lang w:val="en-AU"/>
              </w:rPr>
            </w:pPr>
            <w:r w:rsidRPr="00076E76">
              <w:rPr>
                <w:rFonts w:ascii="Gill Sans" w:hAnsi="Gill Sans" w:cs="Gill Sans"/>
                <w:b/>
                <w:color w:val="000000"/>
                <w:szCs w:val="22"/>
                <w:lang w:val="en-AU"/>
              </w:rPr>
              <w:t xml:space="preserve">Findings: </w:t>
            </w:r>
            <w:r w:rsidRPr="00076E76">
              <w:rPr>
                <w:rFonts w:ascii="Gill Sans" w:hAnsi="Gill Sans" w:cs="Gill Sans"/>
                <w:color w:val="000000"/>
                <w:szCs w:val="22"/>
                <w:lang w:val="en-AU"/>
              </w:rPr>
              <w:t>ASSIST scores suggest students developed strategic and deep learning strategies over the course (one semester). Final marks (compared with previous cohort) appeared to show that more students achieved grades over 60%, although a similar percentage failed.</w:t>
            </w:r>
          </w:p>
          <w:p w14:paraId="3BCD68AA" w14:textId="77777777" w:rsidR="00076E76" w:rsidRPr="00076E76" w:rsidRDefault="00076E76" w:rsidP="00FA2E2D">
            <w:pPr>
              <w:rPr>
                <w:rFonts w:ascii="Gill Sans" w:hAnsi="Gill Sans" w:cs="Gill Sans"/>
                <w:color w:val="000000"/>
                <w:szCs w:val="22"/>
                <w:lang w:val="en-AU"/>
              </w:rPr>
            </w:pPr>
            <w:r w:rsidRPr="00076E76">
              <w:rPr>
                <w:rFonts w:ascii="Gill Sans" w:hAnsi="Gill Sans" w:cs="Gill Sans"/>
                <w:color w:val="000000"/>
                <w:szCs w:val="22"/>
                <w:lang w:val="en-AU"/>
              </w:rPr>
              <w:t>The majority (70%) enjoyed the program</w:t>
            </w:r>
          </w:p>
          <w:p w14:paraId="52351FDE" w14:textId="77777777" w:rsidR="00076E76" w:rsidRPr="00076E76" w:rsidRDefault="00076E76" w:rsidP="00FA2E2D">
            <w:pPr>
              <w:rPr>
                <w:rFonts w:ascii="Gill Sans" w:hAnsi="Gill Sans" w:cs="Gill Sans"/>
                <w:color w:val="000000"/>
                <w:szCs w:val="22"/>
                <w:lang w:val="en-AU"/>
              </w:rPr>
            </w:pPr>
            <w:r w:rsidRPr="00076E76">
              <w:rPr>
                <w:rFonts w:ascii="Gill Sans" w:hAnsi="Gill Sans" w:cs="Gill Sans"/>
                <w:color w:val="000000"/>
                <w:szCs w:val="22"/>
                <w:lang w:val="en-AU"/>
              </w:rPr>
              <w:t>Poses three questions at end for others considering implementing a transition program:</w:t>
            </w:r>
          </w:p>
          <w:p w14:paraId="5B1466E2" w14:textId="77777777" w:rsidR="00076E76" w:rsidRPr="00076E76" w:rsidRDefault="00076E76" w:rsidP="00FA2E2D">
            <w:pPr>
              <w:pStyle w:val="ListParagraph"/>
              <w:numPr>
                <w:ilvl w:val="0"/>
                <w:numId w:val="33"/>
              </w:numPr>
              <w:rPr>
                <w:rFonts w:ascii="Gill Sans" w:hAnsi="Gill Sans" w:cs="Gill Sans"/>
              </w:rPr>
            </w:pPr>
            <w:r w:rsidRPr="00076E76">
              <w:rPr>
                <w:rFonts w:ascii="Gill Sans" w:hAnsi="Gill Sans" w:cs="Gill Sans"/>
              </w:rPr>
              <w:t xml:space="preserve">To what extent can these outcomes, described within the discipline of psychology, be </w:t>
            </w:r>
            <w:proofErr w:type="spellStart"/>
            <w:r w:rsidRPr="00076E76">
              <w:rPr>
                <w:rFonts w:ascii="Gill Sans" w:hAnsi="Gill Sans" w:cs="Gill Sans"/>
              </w:rPr>
              <w:t>generalised</w:t>
            </w:r>
            <w:proofErr w:type="spellEnd"/>
            <w:r w:rsidRPr="00076E76">
              <w:rPr>
                <w:rFonts w:ascii="Gill Sans" w:hAnsi="Gill Sans" w:cs="Gill Sans"/>
              </w:rPr>
              <w:t xml:space="preserve"> to other programs? </w:t>
            </w:r>
          </w:p>
          <w:p w14:paraId="38BBC0C5" w14:textId="77777777" w:rsidR="00076E76" w:rsidRPr="00076E76" w:rsidRDefault="00076E76" w:rsidP="00FA2E2D">
            <w:pPr>
              <w:pStyle w:val="ListParagraph"/>
              <w:numPr>
                <w:ilvl w:val="0"/>
                <w:numId w:val="33"/>
              </w:numPr>
              <w:rPr>
                <w:rFonts w:ascii="Gill Sans" w:hAnsi="Gill Sans" w:cs="Gill Sans"/>
              </w:rPr>
            </w:pPr>
            <w:r w:rsidRPr="00076E76">
              <w:rPr>
                <w:rFonts w:ascii="Gill Sans" w:hAnsi="Gill Sans" w:cs="Gill Sans"/>
              </w:rPr>
              <w:t xml:space="preserve">What would be required to embed </w:t>
            </w:r>
            <w:proofErr w:type="spellStart"/>
            <w:r w:rsidRPr="00076E76">
              <w:rPr>
                <w:rFonts w:ascii="Gill Sans" w:hAnsi="Gill Sans" w:cs="Gill Sans"/>
              </w:rPr>
              <w:t>TiTo</w:t>
            </w:r>
            <w:proofErr w:type="spellEnd"/>
            <w:r w:rsidRPr="00076E76">
              <w:rPr>
                <w:rFonts w:ascii="Gill Sans" w:hAnsi="Gill Sans" w:cs="Gill Sans"/>
              </w:rPr>
              <w:t xml:space="preserve"> in your program? </w:t>
            </w:r>
          </w:p>
          <w:p w14:paraId="3F97D218" w14:textId="15DF2926" w:rsidR="00076E76" w:rsidRPr="00076E76" w:rsidRDefault="00076E76" w:rsidP="00787831">
            <w:pPr>
              <w:rPr>
                <w:rFonts w:ascii="Gill Sans" w:hAnsi="Gill Sans" w:cs="Gill Sans"/>
                <w:b/>
                <w:color w:val="000000"/>
                <w:szCs w:val="22"/>
                <w:lang w:val="en-AU"/>
              </w:rPr>
            </w:pPr>
            <w:r w:rsidRPr="00076E76">
              <w:rPr>
                <w:rFonts w:ascii="Gill Sans" w:hAnsi="Gill Sans" w:cs="Gill Sans"/>
              </w:rPr>
              <w:t xml:space="preserve">Are there any specific aspects that might constrain the implementation of </w:t>
            </w:r>
            <w:proofErr w:type="spellStart"/>
            <w:r w:rsidRPr="00076E76">
              <w:rPr>
                <w:rFonts w:ascii="Gill Sans" w:hAnsi="Gill Sans" w:cs="Gill Sans"/>
              </w:rPr>
              <w:t>TiTo</w:t>
            </w:r>
            <w:proofErr w:type="spellEnd"/>
            <w:r w:rsidRPr="00076E76">
              <w:rPr>
                <w:rFonts w:ascii="Gill Sans" w:hAnsi="Gill Sans" w:cs="Gill Sans"/>
              </w:rPr>
              <w:t xml:space="preserve"> in your program/School/University? </w:t>
            </w:r>
          </w:p>
        </w:tc>
      </w:tr>
      <w:tr w:rsidR="00076E76" w:rsidRPr="00076E76" w14:paraId="24911BF4" w14:textId="77777777" w:rsidTr="002E557C">
        <w:tc>
          <w:tcPr>
            <w:tcW w:w="5529" w:type="dxa"/>
          </w:tcPr>
          <w:p w14:paraId="3F257434" w14:textId="466313D5" w:rsidR="00076E76" w:rsidRPr="00076E76" w:rsidRDefault="00076E76" w:rsidP="00787831">
            <w:pPr>
              <w:rPr>
                <w:rFonts w:ascii="Gill Sans" w:hAnsi="Gill Sans" w:cs="Gill Sans"/>
                <w:szCs w:val="22"/>
              </w:rPr>
            </w:pPr>
            <w:r w:rsidRPr="00076E76">
              <w:rPr>
                <w:rFonts w:ascii="Gill Sans" w:hAnsi="Gill Sans" w:cs="Gill Sans"/>
                <w:szCs w:val="22"/>
              </w:rPr>
              <w:t xml:space="preserve">Choi, T. (2017). </w:t>
            </w:r>
            <w:hyperlink r:id="rId36" w:history="1">
              <w:r w:rsidRPr="00EC0E03">
                <w:rPr>
                  <w:rStyle w:val="Hyperlink"/>
                  <w:rFonts w:ascii="Gill Sans" w:hAnsi="Gill Sans" w:cs="Gill Sans"/>
                  <w:szCs w:val="22"/>
                </w:rPr>
                <w:t>Narratives of educational transition and learner identity</w:t>
              </w:r>
            </w:hyperlink>
            <w:r w:rsidRPr="00076E76">
              <w:rPr>
                <w:rFonts w:ascii="Gill Sans" w:hAnsi="Gill Sans" w:cs="Gill Sans"/>
                <w:szCs w:val="22"/>
              </w:rPr>
              <w:t xml:space="preserve">, </w:t>
            </w:r>
            <w:r w:rsidRPr="00076E76">
              <w:rPr>
                <w:rFonts w:ascii="Gill Sans" w:hAnsi="Gill Sans" w:cs="Gill Sans"/>
                <w:i/>
                <w:szCs w:val="22"/>
              </w:rPr>
              <w:t xml:space="preserve">British Journal of Sociology of Education, </w:t>
            </w:r>
            <w:r w:rsidR="00567851">
              <w:rPr>
                <w:rFonts w:ascii="Gill Sans" w:hAnsi="Gill Sans" w:cs="Gill Sans"/>
                <w:szCs w:val="22"/>
              </w:rPr>
              <w:t>38(2), 164–</w:t>
            </w:r>
            <w:r w:rsidRPr="00076E76">
              <w:rPr>
                <w:rFonts w:ascii="Gill Sans" w:hAnsi="Gill Sans" w:cs="Gill Sans"/>
                <w:szCs w:val="22"/>
              </w:rPr>
              <w:t>183.</w:t>
            </w:r>
          </w:p>
          <w:p w14:paraId="4B51257B" w14:textId="77777777" w:rsidR="00076E76" w:rsidRPr="00076E76" w:rsidRDefault="00076E76" w:rsidP="00787831">
            <w:pPr>
              <w:rPr>
                <w:rFonts w:ascii="Gill Sans" w:hAnsi="Gill Sans" w:cs="Gill Sans"/>
                <w:szCs w:val="22"/>
              </w:rPr>
            </w:pPr>
          </w:p>
          <w:p w14:paraId="55E541A0" w14:textId="77777777" w:rsidR="00076E76" w:rsidRPr="00076E76" w:rsidRDefault="00076E76" w:rsidP="00787831">
            <w:pPr>
              <w:rPr>
                <w:rFonts w:ascii="Gill Sans" w:hAnsi="Gill Sans" w:cs="Gill Sans"/>
                <w:szCs w:val="22"/>
              </w:rPr>
            </w:pPr>
            <w:r w:rsidRPr="00076E76">
              <w:rPr>
                <w:rFonts w:ascii="Gill Sans" w:hAnsi="Gill Sans" w:cs="Gill Sans"/>
                <w:szCs w:val="22"/>
              </w:rPr>
              <w:t>HK</w:t>
            </w:r>
          </w:p>
          <w:p w14:paraId="2DC71E14" w14:textId="77777777" w:rsidR="00076E76" w:rsidRPr="00076E76" w:rsidRDefault="00076E76" w:rsidP="000F60CF">
            <w:pPr>
              <w:rPr>
                <w:rFonts w:ascii="Gill Sans" w:hAnsi="Gill Sans" w:cs="Gill Sans"/>
                <w:szCs w:val="22"/>
              </w:rPr>
            </w:pPr>
            <w:r w:rsidRPr="00076E76">
              <w:rPr>
                <w:rFonts w:ascii="Gill Sans" w:hAnsi="Gill Sans" w:cs="Gill Sans"/>
                <w:szCs w:val="22"/>
              </w:rPr>
              <w:t>Annotation by Sally Baker</w:t>
            </w:r>
          </w:p>
          <w:p w14:paraId="0F363620" w14:textId="77777777" w:rsidR="00076E76" w:rsidRPr="00076E76" w:rsidRDefault="00076E76" w:rsidP="00787831">
            <w:pPr>
              <w:rPr>
                <w:rFonts w:ascii="Gill Sans" w:hAnsi="Gill Sans" w:cs="Gill Sans"/>
                <w:szCs w:val="22"/>
              </w:rPr>
            </w:pPr>
          </w:p>
          <w:p w14:paraId="50CA8590" w14:textId="77777777" w:rsidR="00076E76" w:rsidRPr="00076E76" w:rsidRDefault="00076E76" w:rsidP="00787831">
            <w:pPr>
              <w:rPr>
                <w:rFonts w:ascii="Gill Sans" w:hAnsi="Gill Sans" w:cs="Gill Sans"/>
                <w:szCs w:val="22"/>
              </w:rPr>
            </w:pPr>
          </w:p>
          <w:p w14:paraId="0472CEBE" w14:textId="20B3BD05" w:rsidR="00076E76" w:rsidRPr="00076E76" w:rsidRDefault="00076E76" w:rsidP="00787831">
            <w:pPr>
              <w:rPr>
                <w:rFonts w:ascii="Gill Sans" w:hAnsi="Gill Sans" w:cs="Gill Sans"/>
                <w:szCs w:val="22"/>
              </w:rPr>
            </w:pPr>
            <w:r w:rsidRPr="00076E76">
              <w:rPr>
                <w:rFonts w:ascii="Gill Sans" w:hAnsi="Gill Sans" w:cs="Gill Sans"/>
                <w:szCs w:val="22"/>
              </w:rPr>
              <w:t xml:space="preserve">Keywords: </w:t>
            </w:r>
            <w:r w:rsidRPr="00076E76">
              <w:rPr>
                <w:rFonts w:ascii="Gill Sans" w:hAnsi="Gill Sans" w:cs="Gill Sans"/>
                <w:i/>
                <w:szCs w:val="22"/>
              </w:rPr>
              <w:t>class; habitus; field; capital; identity; transition</w:t>
            </w:r>
          </w:p>
          <w:p w14:paraId="571377DB" w14:textId="77777777" w:rsidR="00076E76" w:rsidRPr="00076E76" w:rsidRDefault="00076E76" w:rsidP="00787831">
            <w:pPr>
              <w:rPr>
                <w:rFonts w:ascii="Gill Sans" w:hAnsi="Gill Sans" w:cs="Gill Sans"/>
                <w:szCs w:val="22"/>
              </w:rPr>
            </w:pPr>
          </w:p>
          <w:p w14:paraId="76AAE852" w14:textId="033166B8" w:rsidR="00076E76" w:rsidRPr="00076E76" w:rsidRDefault="00076E76" w:rsidP="00787831">
            <w:pPr>
              <w:rPr>
                <w:rFonts w:ascii="Gill Sans" w:hAnsi="Gill Sans" w:cs="Gill Sans"/>
                <w:b/>
                <w:szCs w:val="22"/>
              </w:rPr>
            </w:pPr>
          </w:p>
        </w:tc>
        <w:tc>
          <w:tcPr>
            <w:tcW w:w="10064" w:type="dxa"/>
          </w:tcPr>
          <w:p w14:paraId="16EF70E0" w14:textId="77777777" w:rsidR="00076E76" w:rsidRPr="00076E76" w:rsidRDefault="00076E76" w:rsidP="00932C5C">
            <w:pPr>
              <w:rPr>
                <w:rFonts w:ascii="Gill Sans" w:hAnsi="Gill Sans" w:cs="Gill Sans"/>
                <w:color w:val="000000"/>
                <w:szCs w:val="22"/>
                <w:lang w:val="en-AU"/>
              </w:rPr>
            </w:pPr>
            <w:r w:rsidRPr="00076E76">
              <w:rPr>
                <w:rFonts w:ascii="Gill Sans" w:hAnsi="Gill Sans" w:cs="Gill Sans"/>
                <w:b/>
                <w:color w:val="000000"/>
                <w:szCs w:val="22"/>
                <w:lang w:val="en-AU"/>
              </w:rPr>
              <w:lastRenderedPageBreak/>
              <w:t xml:space="preserve">Context: </w:t>
            </w:r>
            <w:r w:rsidRPr="00076E76">
              <w:rPr>
                <w:rFonts w:ascii="Gill Sans" w:hAnsi="Gill Sans" w:cs="Gill Sans"/>
                <w:color w:val="000000"/>
                <w:szCs w:val="22"/>
                <w:lang w:val="en-AU"/>
              </w:rPr>
              <w:t>Higher education in Hong Kong, expanded access (HK gov’t = 60% of HK population to have access to HE in 2001) and English language. Disparity in numbers of rich and poor students (rich = 4 times more likely to gain access than poor counterparts); access to English language post-1997 Chinese take over is significant: “</w:t>
            </w:r>
            <w:r w:rsidRPr="00076E76">
              <w:rPr>
                <w:rFonts w:ascii="Gill Sans" w:hAnsi="Gill Sans" w:cs="Gill Sans"/>
                <w:color w:val="000000"/>
                <w:szCs w:val="22"/>
              </w:rPr>
              <w:t>viable language for academically able students, and is perceived as a marker of competence, confidence, success, and status, which gives access to alternative realities in educational progressions in its highly visible academic hierarchy, through its post-colonial times” (p.168)</w:t>
            </w:r>
            <w:r w:rsidRPr="00076E76">
              <w:rPr>
                <w:rFonts w:ascii="Gill Sans" w:hAnsi="Gill Sans" w:cs="Gill Sans"/>
                <w:color w:val="000000"/>
                <w:szCs w:val="22"/>
                <w:lang w:val="en-AU"/>
              </w:rPr>
              <w:t>. English = “</w:t>
            </w:r>
            <w:r w:rsidRPr="00076E76">
              <w:rPr>
                <w:rFonts w:ascii="Gill Sans" w:hAnsi="Gill Sans" w:cs="Gill Sans"/>
                <w:color w:val="000000"/>
                <w:szCs w:val="22"/>
              </w:rPr>
              <w:t>educationally profitable linguistic capital” (p.168).</w:t>
            </w:r>
            <w:r w:rsidRPr="00076E76">
              <w:rPr>
                <w:rFonts w:ascii="Gill Sans" w:hAnsi="Gill Sans" w:cs="Gill Sans"/>
                <w:color w:val="000000"/>
                <w:szCs w:val="22"/>
                <w:lang w:val="en-AU"/>
              </w:rPr>
              <w:t xml:space="preserve"> </w:t>
            </w:r>
          </w:p>
          <w:p w14:paraId="111C5CE9" w14:textId="7ACA08A1" w:rsidR="00076E76" w:rsidRPr="00076E76" w:rsidRDefault="00076E76" w:rsidP="00932C5C">
            <w:pPr>
              <w:rPr>
                <w:rFonts w:ascii="Gill Sans" w:hAnsi="Gill Sans" w:cs="Gill Sans"/>
                <w:color w:val="000000"/>
                <w:szCs w:val="22"/>
              </w:rPr>
            </w:pPr>
            <w:r w:rsidRPr="00076E76">
              <w:rPr>
                <w:rFonts w:ascii="Gill Sans" w:hAnsi="Gill Sans" w:cs="Gill Sans"/>
                <w:color w:val="000000"/>
                <w:szCs w:val="22"/>
                <w:lang w:val="en-AU"/>
              </w:rPr>
              <w:t xml:space="preserve">Scopes literature on working class students and educational biographies </w:t>
            </w:r>
          </w:p>
          <w:p w14:paraId="0825003C" w14:textId="1CADB140" w:rsidR="00076E76" w:rsidRPr="00076E76" w:rsidRDefault="00076E76" w:rsidP="008B3C47">
            <w:pPr>
              <w:rPr>
                <w:rFonts w:ascii="Gill Sans" w:hAnsi="Gill Sans" w:cs="Gill Sans"/>
                <w:color w:val="000000"/>
                <w:szCs w:val="22"/>
              </w:rPr>
            </w:pPr>
            <w:r w:rsidRPr="00076E76">
              <w:rPr>
                <w:rFonts w:ascii="Gill Sans" w:hAnsi="Gill Sans" w:cs="Gill Sans"/>
                <w:b/>
                <w:color w:val="000000"/>
                <w:szCs w:val="22"/>
                <w:lang w:val="en-AU"/>
              </w:rPr>
              <w:t xml:space="preserve">Aim: </w:t>
            </w:r>
            <w:r w:rsidRPr="00076E76">
              <w:rPr>
                <w:rFonts w:ascii="Gill Sans" w:hAnsi="Gill Sans" w:cs="Gill Sans"/>
                <w:color w:val="000000"/>
                <w:szCs w:val="22"/>
                <w:lang w:val="en-AU"/>
              </w:rPr>
              <w:t>To argue that transitions = classed processes and practices with implications for identity; to “</w:t>
            </w:r>
            <w:r w:rsidRPr="00076E76">
              <w:rPr>
                <w:rFonts w:ascii="Gill Sans" w:hAnsi="Gill Sans" w:cs="Gill Sans"/>
                <w:color w:val="000000"/>
                <w:szCs w:val="22"/>
              </w:rPr>
              <w:t xml:space="preserve">explore </w:t>
            </w:r>
            <w:r w:rsidRPr="00076E76">
              <w:rPr>
                <w:rFonts w:ascii="Gill Sans" w:hAnsi="Gill Sans" w:cs="Gill Sans"/>
                <w:color w:val="000000"/>
                <w:szCs w:val="22"/>
              </w:rPr>
              <w:lastRenderedPageBreak/>
              <w:t>how academically able students from humble origins negotiate a new phase of learning and grapple with the class-coded culture of the new environment, in which relationships change, power is redistributed, and differing capital is prized” (p.168). To respond to two RQs:</w:t>
            </w:r>
          </w:p>
          <w:p w14:paraId="1D3DA5BE" w14:textId="7F7C82C1" w:rsidR="00076E76" w:rsidRPr="00076E76" w:rsidRDefault="00076E76" w:rsidP="00CE4B63">
            <w:pPr>
              <w:pStyle w:val="ListParagraph"/>
              <w:numPr>
                <w:ilvl w:val="0"/>
                <w:numId w:val="21"/>
              </w:numPr>
              <w:rPr>
                <w:rFonts w:ascii="Gill Sans" w:hAnsi="Gill Sans" w:cs="Gill Sans"/>
                <w:color w:val="000000"/>
                <w:szCs w:val="22"/>
              </w:rPr>
            </w:pPr>
            <w:r w:rsidRPr="00076E76">
              <w:rPr>
                <w:rFonts w:ascii="Gill Sans" w:hAnsi="Gill Sans" w:cs="Gill Sans"/>
                <w:color w:val="000000"/>
                <w:szCs w:val="22"/>
              </w:rPr>
              <w:t>How are educational transitions concurrently classed processes and practices in Hong Kong?</w:t>
            </w:r>
          </w:p>
          <w:p w14:paraId="505D6625" w14:textId="44FA46E4" w:rsidR="00076E76" w:rsidRPr="00076E76" w:rsidRDefault="00076E76" w:rsidP="00CE4B63">
            <w:pPr>
              <w:pStyle w:val="ListParagraph"/>
              <w:numPr>
                <w:ilvl w:val="0"/>
                <w:numId w:val="21"/>
              </w:numPr>
              <w:rPr>
                <w:rFonts w:ascii="Gill Sans" w:hAnsi="Gill Sans" w:cs="Gill Sans"/>
                <w:color w:val="000000"/>
                <w:szCs w:val="22"/>
                <w:lang w:val="en-AU"/>
              </w:rPr>
            </w:pPr>
            <w:r w:rsidRPr="00076E76">
              <w:rPr>
                <w:rFonts w:ascii="Gill Sans" w:hAnsi="Gill Sans" w:cs="Gill Sans"/>
                <w:color w:val="000000"/>
                <w:szCs w:val="22"/>
              </w:rPr>
              <w:t>How is learner identity developed and negotiated in an education system that prizes English as capital? (p.168)</w:t>
            </w:r>
          </w:p>
          <w:p w14:paraId="0E86AA02" w14:textId="73AFBBC9" w:rsidR="00076E76" w:rsidRPr="00076E76" w:rsidRDefault="00076E76" w:rsidP="00677C15">
            <w:pPr>
              <w:rPr>
                <w:rFonts w:ascii="Gill Sans" w:hAnsi="Gill Sans" w:cs="Gill Sans"/>
                <w:color w:val="000000"/>
                <w:szCs w:val="22"/>
                <w:lang w:val="en-AU"/>
              </w:rPr>
            </w:pPr>
            <w:r w:rsidRPr="00076E76">
              <w:rPr>
                <w:rFonts w:ascii="Gill Sans" w:hAnsi="Gill Sans" w:cs="Gill Sans"/>
                <w:b/>
                <w:color w:val="000000"/>
                <w:szCs w:val="22"/>
                <w:lang w:val="en-AU"/>
              </w:rPr>
              <w:t xml:space="preserve">Theoretical frame: </w:t>
            </w:r>
            <w:r w:rsidRPr="00076E76">
              <w:rPr>
                <w:rFonts w:ascii="Gill Sans" w:hAnsi="Gill Sans" w:cs="Gill Sans"/>
                <w:color w:val="000000"/>
                <w:szCs w:val="22"/>
                <w:lang w:val="en-AU"/>
              </w:rPr>
              <w:t>Bourdieu = habitus, field, capital; author notes the dichotomies that often accompany habitus (</w:t>
            </w:r>
            <w:r w:rsidRPr="00076E76">
              <w:rPr>
                <w:rFonts w:ascii="Gill Sans" w:hAnsi="Gill Sans" w:cs="Gill Sans"/>
                <w:color w:val="000000"/>
                <w:szCs w:val="22"/>
              </w:rPr>
              <w:t>reproduction/transformation; structure/agency; institutional/individual; resistance/change) = see p.165, but also notes Mills’ (2008) contention that habitus can be both reproductive and transformative (see also Davey, 2009; Lehmann, 2012). Habitus also understood as collective and individual</w:t>
            </w:r>
          </w:p>
          <w:p w14:paraId="5F34C8A5" w14:textId="530A7EDD" w:rsidR="00076E76" w:rsidRPr="00076E76" w:rsidRDefault="00076E76" w:rsidP="007D1B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Narrative approach/ 3 student autobiographies: “</w:t>
            </w:r>
            <w:r w:rsidRPr="00076E76">
              <w:rPr>
                <w:rFonts w:ascii="Gill Sans" w:hAnsi="Gill Sans" w:cs="Gill Sans"/>
                <w:color w:val="000000"/>
                <w:szCs w:val="22"/>
              </w:rPr>
              <w:t>life stories can provide insights into how individuals develop their identities through negotiating the social contexts in which they are situated” (p.169). Autobiographies = in written English; project yielded 10 distinct trajectories from 20 participants</w:t>
            </w:r>
          </w:p>
          <w:p w14:paraId="39A216E1" w14:textId="77777777" w:rsidR="00076E76" w:rsidRPr="00076E76" w:rsidRDefault="00076E76" w:rsidP="00B95DB4">
            <w:pPr>
              <w:rPr>
                <w:rFonts w:ascii="Gill Sans" w:hAnsi="Gill Sans" w:cs="Gill Sans"/>
                <w:b/>
                <w:color w:val="000000"/>
                <w:szCs w:val="22"/>
                <w:lang w:val="en-AU"/>
              </w:rPr>
            </w:pPr>
            <w:r w:rsidRPr="00076E76">
              <w:rPr>
                <w:rFonts w:ascii="Gill Sans" w:hAnsi="Gill Sans" w:cs="Gill Sans"/>
                <w:b/>
                <w:color w:val="000000"/>
                <w:szCs w:val="22"/>
                <w:lang w:val="en-AU"/>
              </w:rPr>
              <w:t xml:space="preserve">Findings: </w:t>
            </w:r>
          </w:p>
          <w:p w14:paraId="69AF871B" w14:textId="77777777" w:rsidR="00076E76" w:rsidRPr="00076E76" w:rsidRDefault="00076E76" w:rsidP="002F5726">
            <w:pPr>
              <w:rPr>
                <w:rFonts w:ascii="Gill Sans" w:hAnsi="Gill Sans" w:cs="Gill Sans"/>
                <w:color w:val="000000"/>
                <w:szCs w:val="22"/>
                <w:lang w:val="en-AU"/>
              </w:rPr>
            </w:pPr>
            <w:r w:rsidRPr="00076E76">
              <w:rPr>
                <w:rFonts w:ascii="Gill Sans" w:hAnsi="Gill Sans" w:cs="Gill Sans"/>
                <w:color w:val="000000"/>
                <w:szCs w:val="22"/>
                <w:lang w:val="en-AU"/>
              </w:rPr>
              <w:t xml:space="preserve">All 3 profiled participants = foregrounded impact of families’ limited ‘educational inheritance’, but parents had high aspirations for their children – </w:t>
            </w:r>
            <w:proofErr w:type="gramStart"/>
            <w:r w:rsidRPr="00076E76">
              <w:rPr>
                <w:rFonts w:ascii="Gill Sans" w:hAnsi="Gill Sans" w:cs="Gill Sans"/>
                <w:color w:val="000000"/>
                <w:szCs w:val="22"/>
                <w:lang w:val="en-AU"/>
              </w:rPr>
              <w:t>this provoked feelings of guilt</w:t>
            </w:r>
            <w:proofErr w:type="gramEnd"/>
            <w:r w:rsidRPr="00076E76">
              <w:rPr>
                <w:rFonts w:ascii="Gill Sans" w:hAnsi="Gill Sans" w:cs="Gill Sans"/>
                <w:color w:val="000000"/>
                <w:szCs w:val="22"/>
                <w:lang w:val="en-AU"/>
              </w:rPr>
              <w:t xml:space="preserve"> for the students if they did not achieve top grades (see p.171). Desire/ pride in being top = “related to the instrumental order of schooling</w:t>
            </w:r>
          </w:p>
          <w:p w14:paraId="159F8A80" w14:textId="11DFB6DD" w:rsidR="00076E76" w:rsidRPr="00076E76" w:rsidRDefault="00076E76" w:rsidP="002F5726">
            <w:pPr>
              <w:rPr>
                <w:rFonts w:ascii="Gill Sans" w:hAnsi="Gill Sans" w:cs="Gill Sans"/>
                <w:color w:val="000000"/>
                <w:szCs w:val="22"/>
                <w:lang w:val="en-AU"/>
              </w:rPr>
            </w:pPr>
            <w:r w:rsidRPr="00076E76">
              <w:rPr>
                <w:rFonts w:ascii="Gill Sans" w:hAnsi="Gill Sans" w:cs="Gill Sans"/>
                <w:color w:val="000000"/>
                <w:szCs w:val="22"/>
                <w:lang w:val="en-AU"/>
              </w:rPr>
              <w:t xml:space="preserve">seen as the acquisition of specific skills and knowledge (Bernstein, 1966) </w:t>
            </w:r>
            <w:r w:rsidRPr="00076E76">
              <w:rPr>
                <w:rFonts w:ascii="Gill Sans" w:hAnsi="Gill Sans" w:cs="Gill Sans"/>
                <w:color w:val="000000"/>
                <w:szCs w:val="22"/>
              </w:rPr>
              <w:t xml:space="preserve">and to the demands </w:t>
            </w:r>
            <w:proofErr w:type="gramStart"/>
            <w:r w:rsidRPr="00076E76">
              <w:rPr>
                <w:rFonts w:ascii="Gill Sans" w:hAnsi="Gill Sans" w:cs="Gill Sans"/>
                <w:color w:val="000000"/>
                <w:szCs w:val="22"/>
              </w:rPr>
              <w:t>of  performativity</w:t>
            </w:r>
            <w:proofErr w:type="gramEnd"/>
            <w:r w:rsidRPr="00076E76">
              <w:rPr>
                <w:rFonts w:ascii="Gill Sans" w:hAnsi="Gill Sans" w:cs="Gill Sans"/>
                <w:color w:val="000000"/>
                <w:szCs w:val="22"/>
              </w:rPr>
              <w:t xml:space="preserve"> in the highly visible academic hierarchy of Hong Kong” (p.172). 2 students expressed feelings of not belonging in prestigious schools (domain of rich where students spoke seemingly perfect English), reinforcing sense of difference/ subordination/ inferior/ embarrassment</w:t>
            </w:r>
            <w:r w:rsidRPr="00076E76">
              <w:rPr>
                <w:rFonts w:ascii="Gill Sans" w:hAnsi="Gill Sans" w:cs="Gill Sans"/>
                <w:b/>
                <w:color w:val="000000"/>
                <w:szCs w:val="22"/>
                <w:lang w:val="en-AU"/>
              </w:rPr>
              <w:br/>
              <w:t xml:space="preserve">Core argument: </w:t>
            </w:r>
            <w:r w:rsidRPr="00076E76">
              <w:rPr>
                <w:rFonts w:ascii="Gill Sans" w:hAnsi="Gill Sans" w:cs="Gill Sans"/>
                <w:color w:val="000000"/>
                <w:szCs w:val="22"/>
                <w:lang w:val="en-AU"/>
              </w:rPr>
              <w:t>[doesn’t say much about transition as phenomenon or discourse – is more about students’ classed experiences of their educational journeys]</w:t>
            </w:r>
          </w:p>
        </w:tc>
      </w:tr>
      <w:tr w:rsidR="00076E76" w:rsidRPr="00076E76" w14:paraId="24052B69" w14:textId="77777777" w:rsidTr="002E557C">
        <w:tc>
          <w:tcPr>
            <w:tcW w:w="5529" w:type="dxa"/>
          </w:tcPr>
          <w:p w14:paraId="7C68FC81" w14:textId="7683B1F2" w:rsidR="00076E76" w:rsidRPr="00076E76" w:rsidRDefault="00076E76" w:rsidP="002E557C">
            <w:pPr>
              <w:rPr>
                <w:rFonts w:ascii="Gill Sans" w:hAnsi="Gill Sans" w:cs="Gill Sans"/>
                <w:szCs w:val="22"/>
              </w:rPr>
            </w:pPr>
            <w:r w:rsidRPr="00076E76">
              <w:rPr>
                <w:rFonts w:ascii="Gill Sans" w:hAnsi="Gill Sans" w:cs="Gill Sans"/>
                <w:szCs w:val="22"/>
              </w:rPr>
              <w:lastRenderedPageBreak/>
              <w:t xml:space="preserve">Christie, H. (2009). </w:t>
            </w:r>
            <w:hyperlink r:id="rId37" w:history="1">
              <w:r w:rsidRPr="00EC0E03">
                <w:rPr>
                  <w:rStyle w:val="Hyperlink"/>
                  <w:rFonts w:ascii="Gill Sans" w:hAnsi="Gill Sans" w:cs="Gill Sans"/>
                  <w:szCs w:val="22"/>
                </w:rPr>
                <w:t>Emotional journeys: young people and transitions to university</w:t>
              </w:r>
            </w:hyperlink>
            <w:r w:rsidRPr="00076E76">
              <w:rPr>
                <w:rFonts w:ascii="Gill Sans" w:hAnsi="Gill Sans" w:cs="Gill Sans"/>
                <w:szCs w:val="22"/>
              </w:rPr>
              <w:t xml:space="preserve">, </w:t>
            </w:r>
            <w:r w:rsidRPr="00076E76">
              <w:rPr>
                <w:rFonts w:ascii="Gill Sans" w:hAnsi="Gill Sans" w:cs="Gill Sans"/>
                <w:i/>
                <w:szCs w:val="22"/>
              </w:rPr>
              <w:t xml:space="preserve">British Journal of Sociology of Education, </w:t>
            </w:r>
            <w:r w:rsidR="00567851">
              <w:rPr>
                <w:rFonts w:ascii="Gill Sans" w:hAnsi="Gill Sans" w:cs="Gill Sans"/>
                <w:szCs w:val="22"/>
              </w:rPr>
              <w:t>30(2), 123–</w:t>
            </w:r>
            <w:r w:rsidRPr="00076E76">
              <w:rPr>
                <w:rFonts w:ascii="Gill Sans" w:hAnsi="Gill Sans" w:cs="Gill Sans"/>
                <w:szCs w:val="22"/>
              </w:rPr>
              <w:t>136.</w:t>
            </w:r>
          </w:p>
          <w:p w14:paraId="736B0303" w14:textId="77777777" w:rsidR="00076E76" w:rsidRPr="00076E76" w:rsidRDefault="00076E76" w:rsidP="002E557C">
            <w:pPr>
              <w:rPr>
                <w:rFonts w:ascii="Gill Sans" w:hAnsi="Gill Sans" w:cs="Gill Sans"/>
                <w:szCs w:val="22"/>
              </w:rPr>
            </w:pPr>
          </w:p>
          <w:p w14:paraId="2331B03D" w14:textId="77777777" w:rsidR="00076E76" w:rsidRPr="00076E76" w:rsidRDefault="00076E76" w:rsidP="002E557C">
            <w:pPr>
              <w:rPr>
                <w:rFonts w:ascii="Gill Sans" w:hAnsi="Gill Sans" w:cs="Gill Sans"/>
                <w:szCs w:val="22"/>
              </w:rPr>
            </w:pPr>
            <w:r w:rsidRPr="00076E76">
              <w:rPr>
                <w:rFonts w:ascii="Gill Sans" w:hAnsi="Gill Sans" w:cs="Gill Sans"/>
                <w:szCs w:val="22"/>
              </w:rPr>
              <w:t>UK</w:t>
            </w:r>
          </w:p>
          <w:p w14:paraId="199FF8DF" w14:textId="77777777" w:rsidR="00076E76" w:rsidRPr="00076E76" w:rsidRDefault="00076E76" w:rsidP="000F60CF">
            <w:pPr>
              <w:rPr>
                <w:rFonts w:ascii="Gill Sans" w:hAnsi="Gill Sans" w:cs="Gill Sans"/>
                <w:szCs w:val="22"/>
              </w:rPr>
            </w:pPr>
            <w:r w:rsidRPr="00076E76">
              <w:rPr>
                <w:rFonts w:ascii="Gill Sans" w:hAnsi="Gill Sans" w:cs="Gill Sans"/>
                <w:szCs w:val="22"/>
              </w:rPr>
              <w:t>Annotation by Sally Baker</w:t>
            </w:r>
          </w:p>
          <w:p w14:paraId="4AD99E70" w14:textId="77777777" w:rsidR="00076E76" w:rsidRPr="00076E76" w:rsidRDefault="00076E76" w:rsidP="002E557C">
            <w:pPr>
              <w:rPr>
                <w:rFonts w:ascii="Gill Sans" w:hAnsi="Gill Sans" w:cs="Gill Sans"/>
                <w:szCs w:val="22"/>
              </w:rPr>
            </w:pPr>
          </w:p>
          <w:p w14:paraId="4442E78E" w14:textId="77777777" w:rsidR="00076E76" w:rsidRPr="00076E76" w:rsidRDefault="00076E76" w:rsidP="002E557C">
            <w:pPr>
              <w:rPr>
                <w:rFonts w:ascii="Gill Sans" w:hAnsi="Gill Sans" w:cs="Gill Sans"/>
                <w:szCs w:val="22"/>
              </w:rPr>
            </w:pPr>
          </w:p>
          <w:p w14:paraId="3389A106" w14:textId="77777777" w:rsidR="00076E76" w:rsidRPr="00076E76" w:rsidRDefault="00076E76" w:rsidP="002E557C">
            <w:pPr>
              <w:rPr>
                <w:rFonts w:ascii="Gill Sans" w:hAnsi="Gill Sans" w:cs="Gill Sans"/>
                <w:i/>
                <w:szCs w:val="22"/>
              </w:rPr>
            </w:pPr>
            <w:r w:rsidRPr="00076E76">
              <w:rPr>
                <w:rFonts w:ascii="Gill Sans" w:hAnsi="Gill Sans" w:cs="Gill Sans"/>
                <w:szCs w:val="22"/>
              </w:rPr>
              <w:t>Keywords: e</w:t>
            </w:r>
            <w:r w:rsidRPr="00076E76">
              <w:rPr>
                <w:rFonts w:ascii="Gill Sans" w:hAnsi="Gill Sans" w:cs="Gill Sans"/>
                <w:i/>
                <w:szCs w:val="22"/>
              </w:rPr>
              <w:t>motions; identities; restructuring; youth transitions</w:t>
            </w:r>
          </w:p>
          <w:p w14:paraId="41F328B4" w14:textId="77777777" w:rsidR="00076E76" w:rsidRPr="00076E76" w:rsidRDefault="00076E76" w:rsidP="002E557C">
            <w:pPr>
              <w:rPr>
                <w:rFonts w:ascii="Gill Sans" w:hAnsi="Gill Sans" w:cs="Gill Sans"/>
                <w:i/>
                <w:szCs w:val="22"/>
              </w:rPr>
            </w:pPr>
          </w:p>
          <w:p w14:paraId="6403474B" w14:textId="193E45A3" w:rsidR="00076E76" w:rsidRPr="00076E76" w:rsidRDefault="00076E76" w:rsidP="002E557C">
            <w:pPr>
              <w:rPr>
                <w:rFonts w:ascii="Gill Sans" w:hAnsi="Gill Sans" w:cs="Gill Sans"/>
                <w:b/>
                <w:szCs w:val="22"/>
              </w:rPr>
            </w:pPr>
          </w:p>
        </w:tc>
        <w:tc>
          <w:tcPr>
            <w:tcW w:w="10064" w:type="dxa"/>
          </w:tcPr>
          <w:p w14:paraId="377FB795" w14:textId="42E86BD0" w:rsidR="00076E76" w:rsidRPr="00076E76" w:rsidRDefault="00076E76" w:rsidP="00F4793E">
            <w:pPr>
              <w:rPr>
                <w:rFonts w:ascii="Gill Sans" w:hAnsi="Gill Sans" w:cs="Gill Sans"/>
                <w:color w:val="000000"/>
                <w:szCs w:val="22"/>
              </w:rPr>
            </w:pPr>
            <w:r w:rsidRPr="00076E76">
              <w:rPr>
                <w:rFonts w:ascii="Gill Sans" w:hAnsi="Gill Sans" w:cs="Gill Sans"/>
                <w:b/>
                <w:color w:val="000000"/>
                <w:szCs w:val="22"/>
                <w:lang w:val="en-AU"/>
              </w:rPr>
              <w:lastRenderedPageBreak/>
              <w:t xml:space="preserve">Context: </w:t>
            </w:r>
            <w:r w:rsidRPr="00076E76">
              <w:rPr>
                <w:rFonts w:ascii="Gill Sans" w:hAnsi="Gill Sans" w:cs="Gill Sans"/>
                <w:color w:val="000000"/>
                <w:szCs w:val="22"/>
                <w:lang w:val="en-AU"/>
              </w:rPr>
              <w:t>Non-traditional students’ transitions into elite higher education, specifically the role of emotions in choice-making process. Notes neo-liberal shifts producing “</w:t>
            </w:r>
            <w:r w:rsidRPr="00076E76">
              <w:rPr>
                <w:rFonts w:ascii="Gill Sans" w:hAnsi="Gill Sans" w:cs="Gill Sans"/>
                <w:color w:val="000000"/>
                <w:szCs w:val="22"/>
              </w:rPr>
              <w:t xml:space="preserve">a fundamental shift in the way universities go about the business of educating (young) people to degree level” (p.124) – resulting in policy directives that contributed to massification of system due to push for individual investment and arguments about national knowledge economies. Such ideological/political change has shifted the way that transition is viewed – moving from notion of transition as linear to a focus on capturing multiplicity: “Indeed it is now de </w:t>
            </w:r>
            <w:proofErr w:type="spellStart"/>
            <w:r w:rsidRPr="00076E76">
              <w:rPr>
                <w:rFonts w:ascii="Gill Sans" w:hAnsi="Gill Sans" w:cs="Gill Sans"/>
                <w:color w:val="000000"/>
                <w:szCs w:val="22"/>
              </w:rPr>
              <w:t>rigeur</w:t>
            </w:r>
            <w:proofErr w:type="spellEnd"/>
            <w:r w:rsidRPr="00076E76">
              <w:rPr>
                <w:rFonts w:ascii="Gill Sans" w:hAnsi="Gill Sans" w:cs="Gill Sans"/>
                <w:color w:val="000000"/>
                <w:szCs w:val="22"/>
              </w:rPr>
              <w:t xml:space="preserve"> to claim that there is a discernible shift to more complex life-patterns and a balancing of a range of personal</w:t>
            </w:r>
          </w:p>
          <w:p w14:paraId="360DFA7B" w14:textId="21B8BE54" w:rsidR="00076E76" w:rsidRPr="00076E76" w:rsidRDefault="00076E76" w:rsidP="00F4793E">
            <w:pPr>
              <w:rPr>
                <w:rFonts w:ascii="Gill Sans" w:hAnsi="Gill Sans" w:cs="Gill Sans"/>
                <w:color w:val="000000"/>
                <w:szCs w:val="22"/>
                <w:lang w:val="en-AU"/>
              </w:rPr>
            </w:pPr>
            <w:r w:rsidRPr="00076E76">
              <w:rPr>
                <w:rFonts w:ascii="Gill Sans" w:hAnsi="Gill Sans" w:cs="Gill Sans"/>
                <w:color w:val="000000"/>
                <w:szCs w:val="22"/>
              </w:rPr>
              <w:t xml:space="preserve">priorities and interests in explaining comparative youth transitions” (p.124). Briefly scopes literature (scant) on emotions and </w:t>
            </w:r>
            <w:proofErr w:type="spellStart"/>
            <w:r w:rsidRPr="00076E76">
              <w:rPr>
                <w:rFonts w:ascii="Gill Sans" w:hAnsi="Gill Sans" w:cs="Gill Sans"/>
                <w:color w:val="000000"/>
                <w:szCs w:val="22"/>
              </w:rPr>
              <w:t>summarises</w:t>
            </w:r>
            <w:proofErr w:type="spellEnd"/>
            <w:r w:rsidRPr="00076E76">
              <w:rPr>
                <w:rFonts w:ascii="Gill Sans" w:hAnsi="Gill Sans" w:cs="Gill Sans"/>
                <w:color w:val="000000"/>
                <w:szCs w:val="22"/>
              </w:rPr>
              <w:t xml:space="preserve"> that for non-traditional students, “</w:t>
            </w:r>
            <w:r w:rsidRPr="00076E76">
              <w:rPr>
                <w:rFonts w:ascii="Gill Sans" w:hAnsi="Gill Sans" w:cs="Gill Sans"/>
              </w:rPr>
              <w:t xml:space="preserve">the transition to university is an intensely </w:t>
            </w:r>
            <w:r w:rsidRPr="00076E76">
              <w:rPr>
                <w:rFonts w:ascii="Gill Sans" w:hAnsi="Gill Sans" w:cs="Gill Sans"/>
              </w:rPr>
              <w:lastRenderedPageBreak/>
              <w:t>emotional process, because it brings with it conflicting and paradoxical feelings of ambivalence and contradiction about ‘fitting in’ to student life, and their aged, classed and gendered identities” (p.125).</w:t>
            </w:r>
          </w:p>
          <w:p w14:paraId="7600C091" w14:textId="6557E748" w:rsidR="00076E76" w:rsidRPr="00076E76" w:rsidRDefault="00076E76" w:rsidP="00E542C1">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sidRPr="00076E76">
              <w:rPr>
                <w:rFonts w:ascii="Gill Sans" w:hAnsi="Gill Sans" w:cs="Gill Sans"/>
                <w:color w:val="000000"/>
                <w:szCs w:val="22"/>
                <w:lang w:val="en-AU"/>
              </w:rPr>
              <w:t>To “</w:t>
            </w:r>
            <w:r w:rsidRPr="00076E76">
              <w:rPr>
                <w:rFonts w:ascii="Gill Sans" w:hAnsi="Gill Sans" w:cs="Gill Sans"/>
                <w:color w:val="000000"/>
                <w:szCs w:val="22"/>
              </w:rPr>
              <w:t>investigate the powerful emotional component underpinning the transitions that young people make to university” (p.123).</w:t>
            </w:r>
          </w:p>
          <w:p w14:paraId="140C4C7C" w14:textId="3D725979" w:rsidR="00076E76" w:rsidRPr="00076E76" w:rsidRDefault="00076E76" w:rsidP="00B953E6">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Paper draws from study on experiences of 12 x young (25 or younger) non-traditional students in two pre-1992 universities in Scotland in mid-2000s (2</w:t>
            </w:r>
            <w:r w:rsidRPr="00076E76">
              <w:rPr>
                <w:rFonts w:ascii="Gill Sans" w:hAnsi="Gill Sans" w:cs="Gill Sans"/>
                <w:color w:val="000000"/>
                <w:szCs w:val="22"/>
                <w:vertAlign w:val="superscript"/>
                <w:lang w:val="en-AU"/>
              </w:rPr>
              <w:t>nd</w:t>
            </w:r>
            <w:r w:rsidRPr="00076E76">
              <w:rPr>
                <w:rFonts w:ascii="Gill Sans" w:hAnsi="Gill Sans" w:cs="Gill Sans"/>
                <w:color w:val="000000"/>
                <w:szCs w:val="22"/>
                <w:lang w:val="en-AU"/>
              </w:rPr>
              <w:t xml:space="preserve"> and 3</w:t>
            </w:r>
            <w:r w:rsidRPr="00076E76">
              <w:rPr>
                <w:rFonts w:ascii="Gill Sans" w:hAnsi="Gill Sans" w:cs="Gill Sans"/>
                <w:color w:val="000000"/>
                <w:szCs w:val="22"/>
                <w:vertAlign w:val="superscript"/>
                <w:lang w:val="en-AU"/>
              </w:rPr>
              <w:t>rd</w:t>
            </w:r>
            <w:r w:rsidRPr="00076E76">
              <w:rPr>
                <w:rFonts w:ascii="Gill Sans" w:hAnsi="Gill Sans" w:cs="Gill Sans"/>
                <w:color w:val="000000"/>
                <w:szCs w:val="22"/>
                <w:lang w:val="en-AU"/>
              </w:rPr>
              <w:t xml:space="preserve"> year students, n=27). All students had previously attended an access course, none had parents who had attended university, all had attended schools where university was not a given, one = ethnic minority) = significant because “</w:t>
            </w:r>
            <w:r w:rsidRPr="00076E76">
              <w:rPr>
                <w:rFonts w:ascii="Gill Sans" w:hAnsi="Gill Sans" w:cs="Gill Sans"/>
                <w:color w:val="000000"/>
                <w:szCs w:val="22"/>
              </w:rPr>
              <w:t>the students’ unfamiliarity with the landscape of higher education rendered them more likely to convey the complex emotions that underpin the transition to university” (p.126)</w:t>
            </w:r>
            <w:r w:rsidRPr="00076E76">
              <w:rPr>
                <w:rFonts w:ascii="Gill Sans" w:hAnsi="Gill Sans" w:cs="Gill Sans"/>
                <w:color w:val="000000"/>
                <w:szCs w:val="22"/>
                <w:lang w:val="en-AU"/>
              </w:rPr>
              <w:t>. Semi-structured interviews conducted.</w:t>
            </w:r>
          </w:p>
          <w:p w14:paraId="23F3CF0D" w14:textId="77777777" w:rsidR="00076E76" w:rsidRPr="00076E76" w:rsidRDefault="00076E76" w:rsidP="002E557C">
            <w:pPr>
              <w:rPr>
                <w:rFonts w:ascii="Gill Sans" w:hAnsi="Gill Sans" w:cs="Gill Sans"/>
                <w:color w:val="000000"/>
                <w:szCs w:val="22"/>
                <w:lang w:val="en-AU"/>
              </w:rPr>
            </w:pPr>
            <w:r w:rsidRPr="00076E76">
              <w:rPr>
                <w:rFonts w:ascii="Gill Sans" w:hAnsi="Gill Sans" w:cs="Gill Sans"/>
                <w:b/>
                <w:color w:val="000000"/>
                <w:szCs w:val="22"/>
                <w:lang w:val="en-AU"/>
              </w:rPr>
              <w:t xml:space="preserve">Findings: </w:t>
            </w:r>
          </w:p>
          <w:p w14:paraId="66DF5C8F" w14:textId="77777777" w:rsidR="00076E76" w:rsidRPr="00076E76" w:rsidRDefault="00076E76" w:rsidP="002E557C">
            <w:pPr>
              <w:rPr>
                <w:rFonts w:ascii="Gill Sans" w:hAnsi="Gill Sans" w:cs="Gill Sans"/>
                <w:color w:val="000000"/>
                <w:szCs w:val="22"/>
                <w:lang w:val="en-AU"/>
              </w:rPr>
            </w:pPr>
            <w:r w:rsidRPr="00076E76">
              <w:rPr>
                <w:rFonts w:ascii="Gill Sans" w:hAnsi="Gill Sans" w:cs="Gill Sans"/>
                <w:color w:val="000000"/>
                <w:szCs w:val="22"/>
                <w:lang w:val="en-AU"/>
              </w:rPr>
              <w:t>Place = significant (all participants lived at home which constrained pathways, but had access to 4 universities in local city)</w:t>
            </w:r>
          </w:p>
          <w:p w14:paraId="7BCBEE63" w14:textId="78C27A3C" w:rsidR="00076E76" w:rsidRPr="00076E76" w:rsidRDefault="00076E76" w:rsidP="00B953E6">
            <w:pPr>
              <w:rPr>
                <w:rFonts w:ascii="Gill Sans" w:hAnsi="Gill Sans" w:cs="Gill Sans"/>
                <w:color w:val="000000"/>
                <w:szCs w:val="22"/>
                <w:lang w:val="en-AU"/>
              </w:rPr>
            </w:pPr>
            <w:r w:rsidRPr="00076E76">
              <w:rPr>
                <w:rFonts w:ascii="Gill Sans" w:hAnsi="Gill Sans" w:cs="Gill Sans"/>
                <w:i/>
                <w:color w:val="000000"/>
                <w:szCs w:val="22"/>
                <w:lang w:val="en-AU"/>
              </w:rPr>
              <w:t>Becoming a student: infrastructure, agency and emotion</w:t>
            </w:r>
            <w:r w:rsidRPr="00076E76">
              <w:rPr>
                <w:rFonts w:ascii="Gill Sans" w:hAnsi="Gill Sans" w:cs="Gill Sans"/>
                <w:color w:val="000000"/>
                <w:szCs w:val="22"/>
                <w:lang w:val="en-AU"/>
              </w:rPr>
              <w:t>: Decision-making = in different ‘transition infrastructure’ than that experience by previous generations (i.e. leaving school and going to work is no longer the norm). Middle class discourses about value and ritual aspect of going to higher education = pervasive. Emotions play out in two ways: 1) in trust in transitions infrastructure; 2) anxiety about making wrong choices</w:t>
            </w:r>
          </w:p>
          <w:p w14:paraId="3B582910" w14:textId="77777777" w:rsidR="00076E76" w:rsidRPr="00076E76" w:rsidRDefault="00076E76" w:rsidP="00B953E6">
            <w:pPr>
              <w:rPr>
                <w:rFonts w:ascii="Gill Sans" w:hAnsi="Gill Sans" w:cs="Gill Sans"/>
                <w:color w:val="000000"/>
                <w:szCs w:val="22"/>
                <w:lang w:val="en-AU"/>
              </w:rPr>
            </w:pPr>
            <w:r w:rsidRPr="00076E76">
              <w:rPr>
                <w:rFonts w:ascii="Gill Sans" w:hAnsi="Gill Sans" w:cs="Gill Sans"/>
                <w:color w:val="000000"/>
                <w:szCs w:val="22"/>
                <w:lang w:val="en-AU"/>
              </w:rPr>
              <w:t>Trust in transitions infrastructure – students expressed strong belief in relationship between HE studies and future employment (beyond ‘ordinary jobs’) and a ‘head start’, but this excitement/ belief = matched with anxiety (‘fear and nervousness’) about consequences of passing over opportunity to go to university or getting trapped in ‘dead end jobs’ (p.128)</w:t>
            </w:r>
          </w:p>
          <w:p w14:paraId="0DF252D1" w14:textId="77777777" w:rsidR="00076E76" w:rsidRPr="00076E76" w:rsidRDefault="00076E76" w:rsidP="00520491">
            <w:pPr>
              <w:rPr>
                <w:rFonts w:ascii="Gill Sans" w:hAnsi="Gill Sans" w:cs="Gill Sans"/>
                <w:color w:val="000000"/>
                <w:szCs w:val="22"/>
              </w:rPr>
            </w:pPr>
            <w:r w:rsidRPr="00076E76">
              <w:rPr>
                <w:rFonts w:ascii="Gill Sans" w:hAnsi="Gill Sans" w:cs="Gill Sans"/>
                <w:i/>
                <w:color w:val="000000"/>
                <w:szCs w:val="22"/>
              </w:rPr>
              <w:t>Agency and infrastructure: fear of failure</w:t>
            </w:r>
            <w:r w:rsidRPr="00076E76">
              <w:rPr>
                <w:rFonts w:ascii="Gill Sans" w:hAnsi="Gill Sans" w:cs="Gill Sans"/>
                <w:b/>
                <w:color w:val="000000"/>
                <w:szCs w:val="22"/>
                <w:lang w:val="en-AU"/>
              </w:rPr>
              <w:t xml:space="preserve">: </w:t>
            </w:r>
            <w:r w:rsidRPr="00076E76">
              <w:rPr>
                <w:rFonts w:ascii="Gill Sans" w:hAnsi="Gill Sans" w:cs="Gill Sans"/>
                <w:color w:val="000000"/>
                <w:szCs w:val="22"/>
                <w:lang w:val="en-AU"/>
              </w:rPr>
              <w:t>need</w:t>
            </w:r>
            <w:r w:rsidRPr="00076E76">
              <w:rPr>
                <w:rFonts w:ascii="Gill Sans" w:hAnsi="Gill Sans" w:cs="Gill Sans"/>
                <w:b/>
                <w:color w:val="000000"/>
                <w:szCs w:val="22"/>
                <w:lang w:val="en-AU"/>
              </w:rPr>
              <w:t xml:space="preserve"> </w:t>
            </w:r>
            <w:r w:rsidRPr="00076E76">
              <w:rPr>
                <w:rFonts w:ascii="Gill Sans" w:hAnsi="Gill Sans" w:cs="Gill Sans"/>
                <w:color w:val="000000"/>
                <w:szCs w:val="22"/>
                <w:lang w:val="en-AU"/>
              </w:rPr>
              <w:t>to craft personal sales pitches/ awareness of the risks of going to university: “</w:t>
            </w:r>
            <w:r w:rsidRPr="00076E76">
              <w:rPr>
                <w:rFonts w:ascii="Gill Sans" w:hAnsi="Gill Sans" w:cs="Gill Sans"/>
                <w:color w:val="000000"/>
                <w:szCs w:val="22"/>
              </w:rPr>
              <w:t xml:space="preserve">this individual responsibility weighed heavily on the students’ minds and making the ‘right’ choice, whether about going to university or about leaving home, was fraught with worries and anxieties. Although they had bought into the discourse of </w:t>
            </w:r>
            <w:proofErr w:type="spellStart"/>
            <w:r w:rsidRPr="00076E76">
              <w:rPr>
                <w:rFonts w:ascii="Gill Sans" w:hAnsi="Gill Sans" w:cs="Gill Sans"/>
                <w:color w:val="000000"/>
                <w:szCs w:val="22"/>
              </w:rPr>
              <w:t>labour</w:t>
            </w:r>
            <w:proofErr w:type="spellEnd"/>
            <w:r w:rsidRPr="00076E76">
              <w:rPr>
                <w:rFonts w:ascii="Gill Sans" w:hAnsi="Gill Sans" w:cs="Gill Sans"/>
                <w:color w:val="000000"/>
                <w:szCs w:val="22"/>
              </w:rPr>
              <w:t>-market fulfilment, they were conscious of the risks they took in going to university” (p.129). Students’ anxieties = both risk (money, choices made, future currency of studies) and losing connections with home and family/friends. Interesting comments from participants about perceptions of going to post-1992 university and wasting time/ lacking value (see p.130).</w:t>
            </w:r>
          </w:p>
          <w:p w14:paraId="37F0F56B" w14:textId="2110F375" w:rsidR="00076E76" w:rsidRPr="00076E76" w:rsidRDefault="00076E76" w:rsidP="004E507B">
            <w:pPr>
              <w:rPr>
                <w:rFonts w:ascii="Gill Sans" w:hAnsi="Gill Sans" w:cs="Gill Sans"/>
                <w:b/>
                <w:color w:val="000000"/>
                <w:szCs w:val="22"/>
              </w:rPr>
            </w:pPr>
            <w:r w:rsidRPr="00076E76">
              <w:rPr>
                <w:rFonts w:ascii="Gill Sans" w:hAnsi="Gill Sans" w:cs="Gill Sans"/>
                <w:color w:val="000000"/>
                <w:szCs w:val="22"/>
              </w:rPr>
              <w:t>Experiences of non-traditional students (compared with accounts of middle class students) suggests</w:t>
            </w:r>
            <w:r w:rsidRPr="00076E76">
              <w:rPr>
                <w:rFonts w:ascii="Gill Sans" w:hAnsi="Gill Sans" w:cs="Gill Sans"/>
                <w:color w:val="292526"/>
                <w:sz w:val="21"/>
                <w:szCs w:val="21"/>
              </w:rPr>
              <w:t xml:space="preserve"> </w:t>
            </w:r>
            <w:r w:rsidRPr="00076E76">
              <w:rPr>
                <w:rFonts w:ascii="Gill Sans" w:hAnsi="Gill Sans" w:cs="Gill Sans"/>
                <w:color w:val="292526"/>
                <w:sz w:val="21"/>
                <w:szCs w:val="21"/>
              </w:rPr>
              <w:br/>
              <w:t>“</w:t>
            </w:r>
            <w:r w:rsidRPr="00076E76">
              <w:rPr>
                <w:rFonts w:ascii="Gill Sans" w:hAnsi="Gill Sans" w:cs="Gill Sans"/>
                <w:color w:val="000000"/>
                <w:szCs w:val="22"/>
              </w:rPr>
              <w:t xml:space="preserve">discrepancies between the </w:t>
            </w:r>
            <w:proofErr w:type="spellStart"/>
            <w:r w:rsidRPr="00076E76">
              <w:rPr>
                <w:rFonts w:ascii="Gill Sans" w:hAnsi="Gill Sans" w:cs="Gill Sans"/>
                <w:color w:val="000000"/>
                <w:szCs w:val="22"/>
              </w:rPr>
              <w:t>idealised</w:t>
            </w:r>
            <w:proofErr w:type="spellEnd"/>
            <w:r w:rsidRPr="00076E76">
              <w:rPr>
                <w:rFonts w:ascii="Gill Sans" w:hAnsi="Gill Sans" w:cs="Gill Sans"/>
                <w:color w:val="000000"/>
                <w:szCs w:val="22"/>
              </w:rPr>
              <w:t xml:space="preserve"> model of student life and the reality of the lives of the ‘new students’” (p.131) and emotional dislocation – viewing themselves as ‘day students’ (see also Christie, Munro &amp; Wager, 2005), whereby studying = modification to existing life (rather than transforming lives wholesale) </w:t>
            </w:r>
            <w:r w:rsidRPr="00EC0E03">
              <w:rPr>
                <w:rFonts w:ascii="Gill Sans" w:hAnsi="Gill Sans" w:cs="Gill Sans"/>
                <w:color w:val="000000"/>
                <w:szCs w:val="22"/>
              </w:rPr>
              <w:t xml:space="preserve">= doing not </w:t>
            </w:r>
            <w:r w:rsidRPr="00EC0E03">
              <w:rPr>
                <w:rFonts w:ascii="Gill Sans" w:hAnsi="Gill Sans" w:cs="Gill Sans"/>
                <w:color w:val="000000"/>
                <w:szCs w:val="22"/>
              </w:rPr>
              <w:lastRenderedPageBreak/>
              <w:t>being</w:t>
            </w:r>
          </w:p>
          <w:p w14:paraId="4C7F52AD" w14:textId="77777777" w:rsidR="00076E76" w:rsidRPr="00076E76" w:rsidRDefault="00076E76" w:rsidP="00952E79">
            <w:pPr>
              <w:rPr>
                <w:rFonts w:ascii="Gill Sans" w:hAnsi="Gill Sans" w:cs="Gill Sans"/>
                <w:color w:val="000000"/>
                <w:szCs w:val="22"/>
              </w:rPr>
            </w:pPr>
            <w:r w:rsidRPr="00076E76">
              <w:rPr>
                <w:rFonts w:ascii="Gill Sans" w:hAnsi="Gill Sans" w:cs="Gill Sans"/>
                <w:color w:val="000000"/>
                <w:szCs w:val="22"/>
              </w:rPr>
              <w:t>Hidden injuries of class: students’ narratives suggested that they feared the students who could ‘be’ students: “University was experienced as a space of difference where patterns of consumption were central to the process of othering” (p.133) = clothes, cars, lifestyle. Students typically adjusted for class injuries by positioning themselves as morally superior to richer peers</w:t>
            </w:r>
          </w:p>
          <w:p w14:paraId="36DEFFB9" w14:textId="13A1B46C" w:rsidR="00076E76" w:rsidRPr="00076E76" w:rsidRDefault="00076E76" w:rsidP="00952E79">
            <w:pPr>
              <w:rPr>
                <w:rFonts w:ascii="Gill Sans" w:hAnsi="Gill Sans" w:cs="Gill Sans"/>
                <w:color w:val="000000"/>
                <w:szCs w:val="22"/>
                <w:lang w:val="en-AU"/>
              </w:rPr>
            </w:pPr>
            <w:r w:rsidRPr="00076E76">
              <w:rPr>
                <w:rFonts w:ascii="Gill Sans" w:hAnsi="Gill Sans" w:cs="Gill Sans"/>
                <w:b/>
                <w:color w:val="000000"/>
                <w:szCs w:val="22"/>
              </w:rPr>
              <w:t xml:space="preserve">Core argument: </w:t>
            </w:r>
            <w:r w:rsidRPr="00076E76">
              <w:rPr>
                <w:rFonts w:ascii="Gill Sans" w:hAnsi="Gill Sans" w:cs="Gill Sans"/>
                <w:color w:val="000000"/>
                <w:szCs w:val="22"/>
              </w:rPr>
              <w:t>Emotions = classed and important for students’ success and transitions. Going to university = “emotional process” (p.135): “The capacity to ‘be’ a student is class specific, mapping out a landscape that the middle classes inhabit and from which the working classes feel excluded. The evidence presented here points to the real emotion work that many non-traditional students undertake to justify and defend their right to be at university even when their level of achievement entitles them to a place. While these conflicts and anxieties were experienced and managed on a personal level, it is important to be aware of the structural level at which they are produced and played out” (p.134).</w:t>
            </w:r>
          </w:p>
        </w:tc>
      </w:tr>
      <w:tr w:rsidR="0063670A" w:rsidRPr="00076E76" w14:paraId="21CCF466" w14:textId="77777777" w:rsidTr="002E557C">
        <w:tc>
          <w:tcPr>
            <w:tcW w:w="5529" w:type="dxa"/>
          </w:tcPr>
          <w:p w14:paraId="710AE1E4" w14:textId="322802EE" w:rsidR="00270850" w:rsidRDefault="00270850" w:rsidP="00270850">
            <w:pPr>
              <w:rPr>
                <w:rFonts w:ascii="Gill Sans" w:hAnsi="Gill Sans" w:cs="Gill Sans"/>
                <w:szCs w:val="22"/>
                <w:lang w:val="en-GB"/>
              </w:rPr>
            </w:pPr>
            <w:r>
              <w:rPr>
                <w:rFonts w:ascii="Gill Sans" w:hAnsi="Gill Sans" w:cs="Gill Sans"/>
                <w:szCs w:val="22"/>
              </w:rPr>
              <w:lastRenderedPageBreak/>
              <w:t xml:space="preserve">Christie, H.; Barron, P. &amp; D’Annunzio-Green. N. (2013). </w:t>
            </w:r>
            <w:hyperlink r:id="rId38" w:history="1">
              <w:r w:rsidRPr="00DC219B">
                <w:rPr>
                  <w:rStyle w:val="Hyperlink"/>
                  <w:rFonts w:ascii="Gill Sans" w:hAnsi="Gill Sans" w:cs="Gill Sans"/>
                  <w:szCs w:val="22"/>
                  <w:lang w:val="en-GB"/>
                </w:rPr>
                <w:t>Direct entrants in transition: becoming independent learners</w:t>
              </w:r>
            </w:hyperlink>
            <w:r w:rsidRPr="00270850">
              <w:rPr>
                <w:rFonts w:ascii="Gill Sans" w:hAnsi="Gill Sans" w:cs="Gill Sans"/>
                <w:szCs w:val="22"/>
                <w:lang w:val="en-GB"/>
              </w:rPr>
              <w:t xml:space="preserve">, </w:t>
            </w:r>
            <w:r w:rsidRPr="00DC219B">
              <w:rPr>
                <w:rFonts w:ascii="Gill Sans" w:hAnsi="Gill Sans" w:cs="Gill Sans"/>
                <w:i/>
                <w:szCs w:val="22"/>
                <w:lang w:val="en-GB"/>
              </w:rPr>
              <w:t>Studies in Higher Education</w:t>
            </w:r>
            <w:r w:rsidRPr="00270850">
              <w:rPr>
                <w:rFonts w:ascii="Gill Sans" w:hAnsi="Gill Sans" w:cs="Gill Sans"/>
                <w:szCs w:val="22"/>
                <w:lang w:val="en-GB"/>
              </w:rPr>
              <w:t>, 38</w:t>
            </w:r>
            <w:r>
              <w:rPr>
                <w:rFonts w:ascii="Gill Sans" w:hAnsi="Gill Sans" w:cs="Gill Sans"/>
                <w:szCs w:val="22"/>
                <w:lang w:val="en-GB"/>
              </w:rPr>
              <w:t>(</w:t>
            </w:r>
            <w:r w:rsidRPr="00270850">
              <w:rPr>
                <w:rFonts w:ascii="Gill Sans" w:hAnsi="Gill Sans" w:cs="Gill Sans"/>
                <w:szCs w:val="22"/>
                <w:lang w:val="en-GB"/>
              </w:rPr>
              <w:t>4</w:t>
            </w:r>
            <w:r>
              <w:rPr>
                <w:rFonts w:ascii="Gill Sans" w:hAnsi="Gill Sans" w:cs="Gill Sans"/>
                <w:szCs w:val="22"/>
                <w:lang w:val="en-GB"/>
              </w:rPr>
              <w:t>)</w:t>
            </w:r>
            <w:r w:rsidRPr="00270850">
              <w:rPr>
                <w:rFonts w:ascii="Gill Sans" w:hAnsi="Gill Sans" w:cs="Gill Sans"/>
                <w:szCs w:val="22"/>
                <w:lang w:val="en-GB"/>
              </w:rPr>
              <w:t>, 623-637</w:t>
            </w:r>
            <w:r>
              <w:rPr>
                <w:rFonts w:ascii="Gill Sans" w:hAnsi="Gill Sans" w:cs="Gill Sans"/>
                <w:szCs w:val="22"/>
                <w:lang w:val="en-GB"/>
              </w:rPr>
              <w:t xml:space="preserve">. </w:t>
            </w:r>
            <w:r w:rsidRPr="00270850">
              <w:rPr>
                <w:rFonts w:ascii="Gill Sans" w:hAnsi="Gill Sans" w:cs="Gill Sans"/>
                <w:szCs w:val="22"/>
                <w:lang w:val="en-GB"/>
              </w:rPr>
              <w:t xml:space="preserve">DOI: 10.1080/03075079.2011.588326 </w:t>
            </w:r>
          </w:p>
          <w:p w14:paraId="276030C2" w14:textId="303B563F" w:rsidR="00270850" w:rsidRDefault="00270850" w:rsidP="00270850">
            <w:pPr>
              <w:rPr>
                <w:rFonts w:ascii="Gill Sans" w:hAnsi="Gill Sans" w:cs="Gill Sans"/>
                <w:szCs w:val="22"/>
                <w:lang w:val="en-GB"/>
              </w:rPr>
            </w:pPr>
          </w:p>
          <w:p w14:paraId="6F688B92" w14:textId="14AB1EF1" w:rsidR="00270850" w:rsidRDefault="00270850" w:rsidP="00270850">
            <w:pPr>
              <w:rPr>
                <w:rFonts w:ascii="Gill Sans" w:hAnsi="Gill Sans" w:cs="Gill Sans"/>
                <w:szCs w:val="22"/>
                <w:lang w:val="en-GB"/>
              </w:rPr>
            </w:pPr>
            <w:r>
              <w:rPr>
                <w:rFonts w:ascii="Gill Sans" w:hAnsi="Gill Sans" w:cs="Gill Sans"/>
                <w:szCs w:val="22"/>
                <w:lang w:val="en-GB"/>
              </w:rPr>
              <w:t>UK</w:t>
            </w:r>
          </w:p>
          <w:p w14:paraId="03CEBCBA" w14:textId="7CB91D27" w:rsidR="00270850" w:rsidRDefault="00270850" w:rsidP="00270850">
            <w:pPr>
              <w:rPr>
                <w:rFonts w:ascii="Gill Sans" w:hAnsi="Gill Sans" w:cs="Gill Sans"/>
                <w:szCs w:val="22"/>
                <w:lang w:val="en-GB"/>
              </w:rPr>
            </w:pPr>
            <w:r>
              <w:rPr>
                <w:rFonts w:ascii="Gill Sans" w:hAnsi="Gill Sans" w:cs="Gill Sans"/>
                <w:szCs w:val="22"/>
                <w:lang w:val="en-GB"/>
              </w:rPr>
              <w:t xml:space="preserve">Annotation by Anna Xavier </w:t>
            </w:r>
          </w:p>
          <w:p w14:paraId="64A05D9F" w14:textId="773491B9" w:rsidR="00270850" w:rsidRDefault="00270850" w:rsidP="00270850">
            <w:pPr>
              <w:rPr>
                <w:rFonts w:ascii="Gill Sans" w:hAnsi="Gill Sans" w:cs="Gill Sans"/>
                <w:szCs w:val="22"/>
                <w:lang w:val="en-GB"/>
              </w:rPr>
            </w:pPr>
          </w:p>
          <w:p w14:paraId="3CA11658" w14:textId="77777777" w:rsidR="00270850" w:rsidRPr="00270850" w:rsidRDefault="00270850" w:rsidP="00270850">
            <w:pPr>
              <w:rPr>
                <w:rFonts w:ascii="Gill Sans" w:hAnsi="Gill Sans" w:cs="Gill Sans"/>
                <w:szCs w:val="22"/>
                <w:lang w:val="en-GB"/>
              </w:rPr>
            </w:pPr>
            <w:r>
              <w:rPr>
                <w:rFonts w:ascii="Gill Sans" w:hAnsi="Gill Sans" w:cs="Gill Sans"/>
                <w:szCs w:val="22"/>
                <w:lang w:val="en-GB"/>
              </w:rPr>
              <w:t xml:space="preserve">Keywords: </w:t>
            </w:r>
            <w:r w:rsidRPr="00270850">
              <w:rPr>
                <w:rFonts w:ascii="Gill Sans" w:hAnsi="Gill Sans" w:cs="Gill Sans"/>
                <w:i/>
                <w:szCs w:val="22"/>
                <w:lang w:val="en-GB"/>
              </w:rPr>
              <w:t>university transition; student learning; learning environment; first-year experience; academic success</w:t>
            </w:r>
            <w:r w:rsidRPr="00270850">
              <w:rPr>
                <w:rFonts w:ascii="Gill Sans" w:hAnsi="Gill Sans" w:cs="Gill Sans"/>
                <w:szCs w:val="22"/>
                <w:lang w:val="en-GB"/>
              </w:rPr>
              <w:t xml:space="preserve"> </w:t>
            </w:r>
          </w:p>
          <w:p w14:paraId="394A1262" w14:textId="5CEF1ADC" w:rsidR="0063670A" w:rsidRPr="00076E76" w:rsidRDefault="0063670A" w:rsidP="00C60490">
            <w:pPr>
              <w:rPr>
                <w:rFonts w:ascii="Gill Sans" w:hAnsi="Gill Sans" w:cs="Gill Sans"/>
                <w:szCs w:val="22"/>
              </w:rPr>
            </w:pPr>
          </w:p>
        </w:tc>
        <w:tc>
          <w:tcPr>
            <w:tcW w:w="10064" w:type="dxa"/>
          </w:tcPr>
          <w:p w14:paraId="724D43E4" w14:textId="0F9838AF" w:rsidR="0063670A" w:rsidRPr="00270850" w:rsidRDefault="00270850" w:rsidP="009C0244">
            <w:pPr>
              <w:rPr>
                <w:rFonts w:ascii="Gill Sans" w:hAnsi="Gill Sans" w:cs="Gill Sans"/>
                <w:color w:val="000000"/>
                <w:szCs w:val="22"/>
                <w:lang w:val="en-AU"/>
              </w:rPr>
            </w:pPr>
            <w:r>
              <w:rPr>
                <w:rFonts w:ascii="Gill Sans" w:hAnsi="Gill Sans" w:cs="Gill Sans"/>
                <w:b/>
                <w:color w:val="000000"/>
                <w:szCs w:val="22"/>
                <w:lang w:val="en-AU"/>
              </w:rPr>
              <w:t xml:space="preserve">Context: </w:t>
            </w:r>
            <w:r>
              <w:rPr>
                <w:rFonts w:ascii="Gill Sans" w:hAnsi="Gill Sans" w:cs="Gill Sans"/>
                <w:color w:val="000000"/>
                <w:szCs w:val="22"/>
                <w:lang w:val="en-AU"/>
              </w:rPr>
              <w:t xml:space="preserve">Sits in the context of the government policy for HE in the UK, which encourages more students to take ‘direct entry’ into university. However, the article highlights that there is a paucity in research regarding the experiences of direct entrants in the UK. </w:t>
            </w:r>
            <w:r w:rsidRPr="00270850">
              <w:rPr>
                <w:rFonts w:ascii="Gill Sans" w:hAnsi="Gill Sans" w:cs="Gill Sans"/>
                <w:i/>
                <w:color w:val="000000"/>
                <w:szCs w:val="22"/>
                <w:lang w:val="en-AU"/>
              </w:rPr>
              <w:t xml:space="preserve">*Direct entrants: </w:t>
            </w:r>
            <w:r>
              <w:rPr>
                <w:rFonts w:ascii="Gill Sans" w:hAnsi="Gill Sans" w:cs="Gill Sans"/>
                <w:i/>
                <w:color w:val="000000"/>
                <w:szCs w:val="22"/>
                <w:lang w:val="en-AU"/>
              </w:rPr>
              <w:t xml:space="preserve">students who </w:t>
            </w:r>
            <w:r w:rsidRPr="00270850">
              <w:rPr>
                <w:rFonts w:ascii="Gill Sans" w:hAnsi="Gill Sans" w:cs="Gill Sans"/>
                <w:i/>
                <w:color w:val="000000"/>
                <w:szCs w:val="22"/>
                <w:lang w:val="en-AU"/>
              </w:rPr>
              <w:t>experience</w:t>
            </w:r>
            <w:r>
              <w:rPr>
                <w:rFonts w:ascii="Gill Sans" w:hAnsi="Gill Sans" w:cs="Gill Sans"/>
                <w:i/>
                <w:color w:val="000000"/>
                <w:szCs w:val="22"/>
                <w:lang w:val="en-AU"/>
              </w:rPr>
              <w:t xml:space="preserve"> their</w:t>
            </w:r>
            <w:r w:rsidRPr="00270850">
              <w:rPr>
                <w:rFonts w:ascii="Gill Sans" w:hAnsi="Gill Sans" w:cs="Gill Sans"/>
                <w:i/>
                <w:color w:val="000000"/>
                <w:szCs w:val="22"/>
                <w:lang w:val="en-AU"/>
              </w:rPr>
              <w:t xml:space="preserve"> first year at university in year two/three of their degree programme</w:t>
            </w:r>
          </w:p>
          <w:p w14:paraId="091974BF" w14:textId="103D00F6" w:rsidR="00270850" w:rsidRPr="00270850" w:rsidRDefault="00270850" w:rsidP="009C0244">
            <w:pPr>
              <w:rPr>
                <w:rFonts w:ascii="Gill Sans" w:hAnsi="Gill Sans" w:cs="Gill Sans"/>
                <w:color w:val="000000"/>
                <w:szCs w:val="22"/>
                <w:lang w:val="en-AU"/>
              </w:rPr>
            </w:pPr>
            <w:r>
              <w:rPr>
                <w:rFonts w:ascii="Gill Sans" w:hAnsi="Gill Sans" w:cs="Gill Sans"/>
                <w:b/>
                <w:color w:val="000000"/>
                <w:szCs w:val="22"/>
                <w:lang w:val="en-AU"/>
              </w:rPr>
              <w:t xml:space="preserve">Aim: </w:t>
            </w:r>
            <w:r>
              <w:rPr>
                <w:rFonts w:ascii="Gill Sans" w:hAnsi="Gill Sans" w:cs="Gill Sans"/>
                <w:color w:val="000000"/>
                <w:szCs w:val="22"/>
                <w:lang w:val="en-AU"/>
              </w:rPr>
              <w:t xml:space="preserve">To offer information from ‘the direct entrants themselves about the transitions made from their year group within the university’ and the factors that helped them succeed at university, via an ‘interpretation of the students’ success which attends to their perceptions about, and experiences of learner autonomy, as they move between their previous and new learning environments’ (p. 624). </w:t>
            </w:r>
          </w:p>
          <w:p w14:paraId="5396F6CD" w14:textId="793192A8" w:rsidR="00270850" w:rsidRPr="00B62C91" w:rsidRDefault="00270850" w:rsidP="009C0244">
            <w:pPr>
              <w:rPr>
                <w:rFonts w:ascii="Gill Sans" w:hAnsi="Gill Sans" w:cs="Gill Sans"/>
                <w:color w:val="000000"/>
                <w:szCs w:val="22"/>
                <w:lang w:val="en-AU"/>
              </w:rPr>
            </w:pPr>
            <w:r>
              <w:rPr>
                <w:rFonts w:ascii="Gill Sans" w:hAnsi="Gill Sans" w:cs="Gill Sans"/>
                <w:b/>
                <w:color w:val="000000"/>
                <w:szCs w:val="22"/>
                <w:lang w:val="en-AU"/>
              </w:rPr>
              <w:t xml:space="preserve">Theoretical frame: </w:t>
            </w:r>
            <w:r w:rsidR="00B62C91">
              <w:rPr>
                <w:rFonts w:ascii="Gill Sans" w:hAnsi="Gill Sans" w:cs="Gill Sans"/>
                <w:color w:val="000000"/>
                <w:szCs w:val="22"/>
                <w:lang w:val="en-AU"/>
              </w:rPr>
              <w:t xml:space="preserve">Not specified in study. </w:t>
            </w:r>
          </w:p>
          <w:p w14:paraId="6E201F6B" w14:textId="4381C451" w:rsidR="00270850" w:rsidRPr="00B62C91" w:rsidRDefault="00270850" w:rsidP="009C0244">
            <w:pPr>
              <w:rPr>
                <w:rFonts w:ascii="Gill Sans" w:hAnsi="Gill Sans" w:cs="Gill Sans"/>
                <w:color w:val="000000"/>
                <w:szCs w:val="22"/>
                <w:lang w:val="en-AU"/>
              </w:rPr>
            </w:pPr>
            <w:r>
              <w:rPr>
                <w:rFonts w:ascii="Gill Sans" w:hAnsi="Gill Sans" w:cs="Gill Sans"/>
                <w:b/>
                <w:color w:val="000000"/>
                <w:szCs w:val="22"/>
                <w:lang w:val="en-AU"/>
              </w:rPr>
              <w:t>Methodology:</w:t>
            </w:r>
            <w:r w:rsidR="00B62C91">
              <w:rPr>
                <w:rFonts w:ascii="Gill Sans" w:hAnsi="Gill Sans" w:cs="Gill Sans"/>
                <w:b/>
                <w:color w:val="000000"/>
                <w:szCs w:val="22"/>
                <w:lang w:val="en-AU"/>
              </w:rPr>
              <w:t xml:space="preserve"> </w:t>
            </w:r>
            <w:r w:rsidR="00B62C91">
              <w:rPr>
                <w:rFonts w:ascii="Gill Sans" w:hAnsi="Gill Sans" w:cs="Gill Sans"/>
                <w:color w:val="000000"/>
                <w:szCs w:val="22"/>
                <w:lang w:val="en-AU"/>
              </w:rPr>
              <w:t xml:space="preserve">Qualitative, longitudinal approach; Data collection methods: Semi-structured interviews Participants: Direct entrants who joined the university’s business school in 2006/07 (n=20); from low SES groups; 12 mature students; 16 women &amp; 4 men, Data analysis: Inductive approach. </w:t>
            </w:r>
          </w:p>
          <w:p w14:paraId="3A911DF5" w14:textId="7D5E42F1" w:rsidR="00270850" w:rsidRDefault="00270850" w:rsidP="009C0244">
            <w:pPr>
              <w:rPr>
                <w:rFonts w:ascii="Gill Sans" w:hAnsi="Gill Sans" w:cs="Gill Sans"/>
                <w:color w:val="000000"/>
                <w:szCs w:val="22"/>
                <w:lang w:val="en-AU"/>
              </w:rPr>
            </w:pPr>
            <w:r>
              <w:rPr>
                <w:rFonts w:ascii="Gill Sans" w:hAnsi="Gill Sans" w:cs="Gill Sans"/>
                <w:b/>
                <w:color w:val="000000"/>
                <w:szCs w:val="22"/>
                <w:lang w:val="en-AU"/>
              </w:rPr>
              <w:t xml:space="preserve">Findings: </w:t>
            </w:r>
            <w:r w:rsidR="00B62C91">
              <w:rPr>
                <w:rFonts w:ascii="Gill Sans" w:hAnsi="Gill Sans" w:cs="Gill Sans"/>
                <w:color w:val="000000"/>
                <w:szCs w:val="22"/>
                <w:lang w:val="en-AU"/>
              </w:rPr>
              <w:t>1) Two key factors in negotiating students’ transition to university: a)’Perceptions of their ability to cope with, and succeed in, module assessments. b) ‘Good time management’ (p. 628)</w:t>
            </w:r>
            <w:r w:rsidR="0058615D">
              <w:rPr>
                <w:rFonts w:ascii="Gill Sans" w:hAnsi="Gill Sans" w:cs="Gill Sans"/>
                <w:color w:val="000000"/>
                <w:szCs w:val="22"/>
                <w:lang w:val="en-AU"/>
              </w:rPr>
              <w:t xml:space="preserve"> 2)Three groupings of students were identified in terms of their relative success in becoming independent learners: Group 1 (5 students) – ‘Successful independent learners’ (Smooth transition) (p. 628); Group 2</w:t>
            </w:r>
            <w:r w:rsidR="001C5D25">
              <w:rPr>
                <w:rFonts w:ascii="Gill Sans" w:hAnsi="Gill Sans" w:cs="Gill Sans"/>
                <w:color w:val="000000"/>
                <w:szCs w:val="22"/>
                <w:lang w:val="en-AU"/>
              </w:rPr>
              <w:t xml:space="preserve"> (11 students) </w:t>
            </w:r>
            <w:r w:rsidR="0058615D">
              <w:rPr>
                <w:rFonts w:ascii="Gill Sans" w:hAnsi="Gill Sans" w:cs="Gill Sans"/>
                <w:color w:val="000000"/>
                <w:szCs w:val="22"/>
                <w:lang w:val="en-AU"/>
              </w:rPr>
              <w:t xml:space="preserve">- Working hard to adjust &amp; conscious of need to develop as independent learners (‘High expectations, uneven transitions’) (p. 628); Group 3 </w:t>
            </w:r>
            <w:r w:rsidR="001C5D25">
              <w:rPr>
                <w:rFonts w:ascii="Gill Sans" w:hAnsi="Gill Sans" w:cs="Gill Sans"/>
                <w:color w:val="000000"/>
                <w:szCs w:val="22"/>
                <w:lang w:val="en-AU"/>
              </w:rPr>
              <w:t xml:space="preserve">(4 students) </w:t>
            </w:r>
            <w:r w:rsidR="0058615D">
              <w:rPr>
                <w:rFonts w:ascii="Gill Sans" w:hAnsi="Gill Sans" w:cs="Gill Sans"/>
                <w:color w:val="000000"/>
                <w:szCs w:val="22"/>
                <w:lang w:val="en-AU"/>
              </w:rPr>
              <w:t>– ‘Struggling to become independent learners’ (Crisis in transition) (p. 28). 3);</w:t>
            </w:r>
            <w:r w:rsidR="001C5D25">
              <w:rPr>
                <w:rFonts w:ascii="Gill Sans" w:hAnsi="Gill Sans" w:cs="Gill Sans"/>
                <w:color w:val="000000"/>
                <w:szCs w:val="22"/>
                <w:lang w:val="en-AU"/>
              </w:rPr>
              <w:t xml:space="preserve"> Group 1: Key characteristics – ‘ability to be flexible &amp; adapt quickly to the new learning environment’ (p. 628), good time management; Group 2:  ‘Limited awareness of practicalities of becoming an </w:t>
            </w:r>
            <w:r w:rsidR="001C5D25">
              <w:rPr>
                <w:rFonts w:ascii="Gill Sans" w:hAnsi="Gill Sans" w:cs="Gill Sans"/>
                <w:color w:val="000000"/>
                <w:szCs w:val="22"/>
                <w:lang w:val="en-AU"/>
              </w:rPr>
              <w:lastRenderedPageBreak/>
              <w:t xml:space="preserve">independent learner’ – indicated ‘real difficulties involved in ‘coming to know’ the rules &amp; practices of their new learning community (Christie, 2009) (p. 628), less effective time management, limited awareness on the need to ‘self-study’ (p. 629), struggle in achieving balance between studies &amp; other commitments; aware of need to improve on time management; Group 3 – Limited understanding on independent learning, expect to continue studies the same way they did in college, poor time management, difficulties balancing studies with employment &amp; family responsibilities, found university to be a ‘lonely &amp; unsupportive environment’ (p. 633), missed being directed by their lecturers on what to do and read. </w:t>
            </w:r>
          </w:p>
          <w:p w14:paraId="5F98F844" w14:textId="04C787DD" w:rsidR="0058615D" w:rsidRPr="0058615D" w:rsidRDefault="0058615D" w:rsidP="009C0244">
            <w:pPr>
              <w:rPr>
                <w:rFonts w:ascii="Gill Sans" w:hAnsi="Gill Sans" w:cs="Gill Sans"/>
                <w:color w:val="000000"/>
                <w:szCs w:val="22"/>
                <w:lang w:val="en-AU"/>
              </w:rPr>
            </w:pPr>
            <w:r w:rsidRPr="0058615D">
              <w:rPr>
                <w:rFonts w:ascii="Gill Sans" w:hAnsi="Gill Sans" w:cs="Gill Sans"/>
                <w:b/>
                <w:color w:val="000000"/>
                <w:szCs w:val="22"/>
                <w:lang w:val="en-AU"/>
              </w:rPr>
              <w:t>Discussion:</w:t>
            </w:r>
            <w:r>
              <w:rPr>
                <w:rFonts w:ascii="Gill Sans" w:hAnsi="Gill Sans" w:cs="Gill Sans"/>
                <w:b/>
                <w:color w:val="000000"/>
                <w:szCs w:val="22"/>
                <w:lang w:val="en-AU"/>
              </w:rPr>
              <w:t xml:space="preserve"> </w:t>
            </w:r>
            <w:r>
              <w:rPr>
                <w:rFonts w:ascii="Gill Sans" w:hAnsi="Gill Sans" w:cs="Gill Sans"/>
                <w:color w:val="000000"/>
                <w:szCs w:val="22"/>
                <w:lang w:val="en-AU"/>
              </w:rPr>
              <w:t xml:space="preserve">1)Two factors distinguishing three groups of students in their successful transition to university: Motivation &amp; agency; Group 1: Their willingness to act &amp; actively seek assistance &amp; information from staff when needed were factors impacting their successful transition; the ‘lack of explicit mention of challenges’ in being direct entrants also highlight their ‘recognition of the need to adjust quickly to the learning environment’; Group 3 (and some in Group 2): Key sociocultural competence lacking – commitment to seek assistance &amp; information proactively; More aware of struggles of taking direct entry; disadvantaged by limited availability of time to adapt to their new environment. </w:t>
            </w:r>
          </w:p>
          <w:p w14:paraId="69B00C18" w14:textId="52C8379B" w:rsidR="00270850" w:rsidRPr="001C5D25" w:rsidRDefault="00270850" w:rsidP="009C0244">
            <w:pPr>
              <w:rPr>
                <w:rFonts w:ascii="Gill Sans" w:hAnsi="Gill Sans" w:cs="Gill Sans"/>
                <w:color w:val="000000"/>
                <w:szCs w:val="22"/>
                <w:lang w:val="en-GB"/>
              </w:rPr>
            </w:pPr>
            <w:r>
              <w:rPr>
                <w:rFonts w:ascii="Gill Sans" w:hAnsi="Gill Sans" w:cs="Gill Sans"/>
                <w:b/>
                <w:color w:val="000000"/>
                <w:szCs w:val="22"/>
                <w:lang w:val="en-AU"/>
              </w:rPr>
              <w:t xml:space="preserve">Core argument: </w:t>
            </w:r>
            <w:r w:rsidR="001C5D25">
              <w:rPr>
                <w:rFonts w:ascii="Gill Sans" w:hAnsi="Gill Sans" w:cs="Gill Sans"/>
                <w:color w:val="000000"/>
                <w:szCs w:val="22"/>
                <w:lang w:val="en-AU"/>
              </w:rPr>
              <w:t xml:space="preserve">Direct entrants do not make ‘seamless transitions to university’ (p. 635), which should be acknowledged within articulation frameworks. </w:t>
            </w:r>
            <w:r w:rsidR="001C5D25">
              <w:rPr>
                <w:rFonts w:ascii="Gill Sans" w:hAnsi="Gill Sans" w:cs="Gill Sans"/>
                <w:color w:val="000000"/>
                <w:szCs w:val="22"/>
                <w:lang w:val="en-GB"/>
              </w:rPr>
              <w:t>Universities should also ‘</w:t>
            </w:r>
            <w:r w:rsidR="001C5D25" w:rsidRPr="001C5D25">
              <w:rPr>
                <w:rFonts w:ascii="Gill Sans" w:hAnsi="Gill Sans" w:cs="Gill Sans"/>
                <w:color w:val="000000"/>
                <w:szCs w:val="22"/>
                <w:lang w:val="en-GB"/>
              </w:rPr>
              <w:t>question the form and nature of the support available to direct entrants, as well as to students entering first year, throughout their time at university</w:t>
            </w:r>
            <w:r w:rsidR="001C5D25">
              <w:rPr>
                <w:rFonts w:ascii="Gill Sans" w:hAnsi="Gill Sans" w:cs="Gill Sans"/>
                <w:color w:val="000000"/>
                <w:szCs w:val="22"/>
                <w:lang w:val="en-GB"/>
              </w:rPr>
              <w:t>’ (p. 635)</w:t>
            </w:r>
            <w:r w:rsidR="001C5D25" w:rsidRPr="001C5D25">
              <w:rPr>
                <w:rFonts w:ascii="Gill Sans" w:hAnsi="Gill Sans" w:cs="Gill Sans"/>
                <w:color w:val="000000"/>
                <w:szCs w:val="22"/>
                <w:lang w:val="en-GB"/>
              </w:rPr>
              <w:t xml:space="preserve">. </w:t>
            </w:r>
          </w:p>
        </w:tc>
      </w:tr>
      <w:tr w:rsidR="00076E76" w:rsidRPr="00076E76" w14:paraId="1A9C2309" w14:textId="77777777" w:rsidTr="002E557C">
        <w:tc>
          <w:tcPr>
            <w:tcW w:w="5529" w:type="dxa"/>
          </w:tcPr>
          <w:p w14:paraId="3814A4BB" w14:textId="44052533" w:rsidR="00076E76" w:rsidRPr="00076E76" w:rsidRDefault="00076E76" w:rsidP="00C60490">
            <w:pPr>
              <w:rPr>
                <w:rFonts w:ascii="Gill Sans" w:hAnsi="Gill Sans" w:cs="Gill Sans"/>
                <w:szCs w:val="22"/>
              </w:rPr>
            </w:pPr>
            <w:r w:rsidRPr="00076E76">
              <w:rPr>
                <w:rFonts w:ascii="Gill Sans" w:hAnsi="Gill Sans" w:cs="Gill Sans"/>
                <w:szCs w:val="22"/>
              </w:rPr>
              <w:lastRenderedPageBreak/>
              <w:t xml:space="preserve">Christie, H.; Munro, M. &amp; Wager, F. (2005). </w:t>
            </w:r>
            <w:hyperlink r:id="rId39" w:history="1">
              <w:r w:rsidRPr="00EC0E03">
                <w:rPr>
                  <w:rStyle w:val="Hyperlink"/>
                  <w:rFonts w:ascii="Gill Sans" w:hAnsi="Gill Sans" w:cs="Gill Sans"/>
                  <w:szCs w:val="22"/>
                </w:rPr>
                <w:t>‘Day Students’ in Higher Education: widening access students and successful transitions to university life</w:t>
              </w:r>
            </w:hyperlink>
            <w:r w:rsidRPr="00076E76">
              <w:rPr>
                <w:rFonts w:ascii="Gill Sans" w:hAnsi="Gill Sans" w:cs="Gill Sans"/>
                <w:szCs w:val="22"/>
              </w:rPr>
              <w:t xml:space="preserve">, </w:t>
            </w:r>
            <w:r w:rsidRPr="00076E76">
              <w:rPr>
                <w:rFonts w:ascii="Gill Sans" w:hAnsi="Gill Sans" w:cs="Gill Sans"/>
                <w:i/>
                <w:szCs w:val="22"/>
              </w:rPr>
              <w:t xml:space="preserve">International Studies in Sociology of Education, </w:t>
            </w:r>
            <w:r w:rsidR="00567851">
              <w:rPr>
                <w:rFonts w:ascii="Gill Sans" w:hAnsi="Gill Sans" w:cs="Gill Sans"/>
                <w:szCs w:val="22"/>
              </w:rPr>
              <w:t>15(1), 3–</w:t>
            </w:r>
            <w:r w:rsidRPr="00076E76">
              <w:rPr>
                <w:rFonts w:ascii="Gill Sans" w:hAnsi="Gill Sans" w:cs="Gill Sans"/>
                <w:szCs w:val="22"/>
              </w:rPr>
              <w:t>29.</w:t>
            </w:r>
          </w:p>
          <w:p w14:paraId="1558F936" w14:textId="103A8BF3" w:rsidR="00076E76" w:rsidRPr="00076E76" w:rsidRDefault="00076E76" w:rsidP="002E557C">
            <w:pPr>
              <w:rPr>
                <w:rFonts w:ascii="Gill Sans" w:hAnsi="Gill Sans" w:cs="Gill Sans"/>
                <w:szCs w:val="22"/>
              </w:rPr>
            </w:pPr>
          </w:p>
          <w:p w14:paraId="4433CA94" w14:textId="77777777" w:rsidR="00076E76" w:rsidRPr="00076E76" w:rsidRDefault="00076E76" w:rsidP="002E557C">
            <w:pPr>
              <w:rPr>
                <w:rFonts w:ascii="Gill Sans" w:hAnsi="Gill Sans" w:cs="Gill Sans"/>
                <w:szCs w:val="22"/>
              </w:rPr>
            </w:pPr>
          </w:p>
          <w:p w14:paraId="291B2FBF" w14:textId="77777777" w:rsidR="00076E76" w:rsidRPr="00076E76" w:rsidRDefault="00076E76" w:rsidP="002E557C">
            <w:pPr>
              <w:rPr>
                <w:rFonts w:ascii="Gill Sans" w:hAnsi="Gill Sans" w:cs="Gill Sans"/>
                <w:szCs w:val="22"/>
              </w:rPr>
            </w:pPr>
            <w:r w:rsidRPr="00076E76">
              <w:rPr>
                <w:rFonts w:ascii="Gill Sans" w:hAnsi="Gill Sans" w:cs="Gill Sans"/>
                <w:szCs w:val="22"/>
              </w:rPr>
              <w:t>SCOT</w:t>
            </w:r>
          </w:p>
          <w:p w14:paraId="130376B9" w14:textId="77777777" w:rsidR="00076E76" w:rsidRPr="00076E76" w:rsidRDefault="00076E76" w:rsidP="000F60CF">
            <w:pPr>
              <w:rPr>
                <w:rFonts w:ascii="Gill Sans" w:hAnsi="Gill Sans" w:cs="Gill Sans"/>
                <w:szCs w:val="22"/>
              </w:rPr>
            </w:pPr>
            <w:r w:rsidRPr="00076E76">
              <w:rPr>
                <w:rFonts w:ascii="Gill Sans" w:hAnsi="Gill Sans" w:cs="Gill Sans"/>
                <w:szCs w:val="22"/>
              </w:rPr>
              <w:t>Annotation by Sally Baker</w:t>
            </w:r>
          </w:p>
          <w:p w14:paraId="18DFE87F" w14:textId="48191A3C" w:rsidR="00076E76" w:rsidRPr="00076E76" w:rsidRDefault="00076E76" w:rsidP="002E557C">
            <w:pPr>
              <w:rPr>
                <w:rFonts w:ascii="Gill Sans" w:hAnsi="Gill Sans" w:cs="Gill Sans"/>
                <w:szCs w:val="22"/>
              </w:rPr>
            </w:pPr>
          </w:p>
        </w:tc>
        <w:tc>
          <w:tcPr>
            <w:tcW w:w="10064" w:type="dxa"/>
          </w:tcPr>
          <w:p w14:paraId="2852EA78" w14:textId="00249E92" w:rsidR="00076E76" w:rsidRPr="00076E76" w:rsidRDefault="00076E76" w:rsidP="009C0244">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sidRPr="00076E76">
              <w:rPr>
                <w:rFonts w:ascii="Gill Sans" w:hAnsi="Gill Sans" w:cs="Gill Sans"/>
                <w:color w:val="000000"/>
                <w:szCs w:val="22"/>
                <w:lang w:val="en-AU"/>
              </w:rPr>
              <w:t xml:space="preserve">‘Widening access’ to ‘day students’ in /to elite university in Scotland. Scopes the policy concern with widening participation at the time. Scottish universities = devolved from central higher education policy (to charge students for partial costs of their studies) and had abolished tuition fees in 2001 for Scottish students + bursaries for students in need. Students still took out student loans for living costs. Attrition = major driver for continued policy attention; authors note almost double lowest quartile SES students dropping out (9% compared with 5% of highest SES students), leading to </w:t>
            </w:r>
            <w:proofErr w:type="spellStart"/>
            <w:r w:rsidRPr="00076E76">
              <w:rPr>
                <w:rFonts w:ascii="Gill Sans" w:hAnsi="Gill Sans" w:cs="Gill Sans"/>
                <w:color w:val="000000"/>
                <w:szCs w:val="22"/>
                <w:lang w:val="en-AU"/>
              </w:rPr>
              <w:t>pathologising</w:t>
            </w:r>
            <w:proofErr w:type="spellEnd"/>
            <w:r w:rsidRPr="00076E76">
              <w:rPr>
                <w:rFonts w:ascii="Gill Sans" w:hAnsi="Gill Sans" w:cs="Gill Sans"/>
                <w:color w:val="000000"/>
                <w:szCs w:val="22"/>
                <w:lang w:val="en-AU"/>
              </w:rPr>
              <w:t xml:space="preserve"> of working class students as ‘problematic’ and more likely to drop out. Discusses construction of ‘new’ student (aka, non-traditional; see </w:t>
            </w:r>
            <w:proofErr w:type="spellStart"/>
            <w:r w:rsidRPr="00076E76">
              <w:rPr>
                <w:rFonts w:ascii="Gill Sans" w:hAnsi="Gill Sans" w:cs="Gill Sans"/>
                <w:color w:val="000000"/>
                <w:szCs w:val="22"/>
                <w:lang w:val="en-AU"/>
              </w:rPr>
              <w:t>Leathwood</w:t>
            </w:r>
            <w:proofErr w:type="spellEnd"/>
            <w:r w:rsidRPr="00076E76">
              <w:rPr>
                <w:rFonts w:ascii="Gill Sans" w:hAnsi="Gill Sans" w:cs="Gill Sans"/>
                <w:color w:val="000000"/>
                <w:szCs w:val="22"/>
                <w:lang w:val="en-AU"/>
              </w:rPr>
              <w:t xml:space="preserve"> &amp; O’Connell, 2003), resulting in more diversity of transitions into higher education.</w:t>
            </w:r>
          </w:p>
          <w:p w14:paraId="0FF9CE98" w14:textId="47522360" w:rsidR="00076E76" w:rsidRPr="00076E76" w:rsidRDefault="00076E76" w:rsidP="00C13F65">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sidRPr="00076E76">
              <w:rPr>
                <w:rFonts w:ascii="Gill Sans" w:hAnsi="Gill Sans" w:cs="Gill Sans"/>
                <w:color w:val="000000"/>
                <w:szCs w:val="22"/>
                <w:lang w:val="en-AU"/>
              </w:rPr>
              <w:t>To “unpack what factors help or hinder non-traditional students in making a successful transition to university life” (p.6)</w:t>
            </w:r>
          </w:p>
          <w:p w14:paraId="7D775E41" w14:textId="77777777" w:rsidR="00076E76" w:rsidRPr="00076E76" w:rsidRDefault="00076E76" w:rsidP="009C0244">
            <w:pPr>
              <w:rPr>
                <w:rFonts w:ascii="Gill Sans" w:hAnsi="Gill Sans" w:cs="Gill Sans"/>
                <w:b/>
                <w:color w:val="000000"/>
                <w:szCs w:val="22"/>
                <w:lang w:val="en-AU"/>
              </w:rPr>
            </w:pPr>
            <w:r w:rsidRPr="00076E76">
              <w:rPr>
                <w:rFonts w:ascii="Gill Sans" w:hAnsi="Gill Sans" w:cs="Gill Sans"/>
                <w:b/>
                <w:color w:val="000000"/>
                <w:szCs w:val="22"/>
                <w:lang w:val="en-AU"/>
              </w:rPr>
              <w:t>Theoretical frame:</w:t>
            </w:r>
          </w:p>
          <w:p w14:paraId="6767D6ED" w14:textId="656693AF" w:rsidR="00076E76" w:rsidRPr="00076E76" w:rsidRDefault="00076E76" w:rsidP="009C0244">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 xml:space="preserve">Research undertaken at two universities in Edinburgh: University of Edinburgh and Heriot-Watt; participants were recruited via two WP programs (one= school-based outreach, the other = adult </w:t>
            </w:r>
            <w:r w:rsidRPr="00076E76">
              <w:rPr>
                <w:rFonts w:ascii="Gill Sans" w:hAnsi="Gill Sans" w:cs="Gill Sans"/>
                <w:color w:val="000000"/>
                <w:szCs w:val="22"/>
                <w:lang w:val="en-AU"/>
              </w:rPr>
              <w:lastRenderedPageBreak/>
              <w:t xml:space="preserve">outreach/ access course). Interviews conducted with students from both WP pathways (n=27) in 2003. Most Uni of Edinburgh participants were female; Heriot-Watt = more male participants. All students had completed at least 2 years of study and all lived at home (hence ‘day students’) and commuted to university. Finances were tight for all students and all students viewed themselves as ‘financially independent’. Reasons for staying at home = partially about economic rationality, partly about sustaining </w:t>
            </w:r>
            <w:proofErr w:type="spellStart"/>
            <w:r w:rsidRPr="00076E76">
              <w:rPr>
                <w:rFonts w:ascii="Gill Sans" w:hAnsi="Gill Sans" w:cs="Gill Sans"/>
                <w:color w:val="000000"/>
                <w:szCs w:val="22"/>
                <w:lang w:val="en-AU"/>
              </w:rPr>
              <w:t>jome</w:t>
            </w:r>
            <w:proofErr w:type="spellEnd"/>
            <w:r w:rsidRPr="00076E76">
              <w:rPr>
                <w:rFonts w:ascii="Gill Sans" w:hAnsi="Gill Sans" w:cs="Gill Sans"/>
                <w:color w:val="000000"/>
                <w:szCs w:val="22"/>
                <w:lang w:val="en-AU"/>
              </w:rPr>
              <w:t xml:space="preserve"> networks (local work/ social groups/ childcare support). Authors categorise these participants into 3 groups:</w:t>
            </w:r>
          </w:p>
          <w:p w14:paraId="29D31257" w14:textId="26142038" w:rsidR="00076E76" w:rsidRPr="00076E76" w:rsidRDefault="00076E76" w:rsidP="00C32019">
            <w:pPr>
              <w:pStyle w:val="ListParagraph"/>
              <w:numPr>
                <w:ilvl w:val="0"/>
                <w:numId w:val="31"/>
              </w:numPr>
              <w:rPr>
                <w:rFonts w:ascii="Gill Sans" w:hAnsi="Gill Sans" w:cs="Gill Sans"/>
                <w:color w:val="000000"/>
                <w:szCs w:val="22"/>
              </w:rPr>
            </w:pPr>
            <w:r w:rsidRPr="00076E76">
              <w:rPr>
                <w:rFonts w:ascii="Gill Sans" w:hAnsi="Gill Sans" w:cs="Gill Sans"/>
                <w:i/>
                <w:color w:val="000000"/>
                <w:szCs w:val="22"/>
                <w:lang w:val="en-AU"/>
              </w:rPr>
              <w:t>Absorbed</w:t>
            </w:r>
            <w:r w:rsidRPr="00076E76">
              <w:rPr>
                <w:rFonts w:ascii="Gill Sans" w:hAnsi="Gill Sans" w:cs="Gill Sans"/>
                <w:color w:val="000000"/>
                <w:szCs w:val="22"/>
                <w:lang w:val="en-AU"/>
              </w:rPr>
              <w:t xml:space="preserve"> students: “</w:t>
            </w:r>
            <w:r w:rsidRPr="00076E76">
              <w:rPr>
                <w:rFonts w:ascii="Gill Sans" w:hAnsi="Gill Sans" w:cs="Gill Sans"/>
                <w:color w:val="000000"/>
                <w:szCs w:val="22"/>
              </w:rPr>
              <w:t xml:space="preserve">firmly committed to the normative ideal of student life despite circumstances which meant they could not achieve this fully in practice”, meaning that they felt they were missing out on ‘being a student’ (p.12). They privileged time/ relations at university over other aspects (e.g. prioritizing going out with uni friends over other friends). </w:t>
            </w:r>
          </w:p>
          <w:p w14:paraId="05863FDD" w14:textId="29BE443A" w:rsidR="00076E76" w:rsidRPr="00076E76" w:rsidRDefault="00076E76" w:rsidP="00C32019">
            <w:pPr>
              <w:pStyle w:val="ListParagraph"/>
              <w:numPr>
                <w:ilvl w:val="0"/>
                <w:numId w:val="31"/>
              </w:numPr>
              <w:rPr>
                <w:rFonts w:ascii="Gill Sans" w:hAnsi="Gill Sans" w:cs="Gill Sans"/>
                <w:color w:val="000000"/>
                <w:szCs w:val="22"/>
              </w:rPr>
            </w:pPr>
            <w:r w:rsidRPr="00076E76">
              <w:rPr>
                <w:rFonts w:ascii="Gill Sans" w:hAnsi="Gill Sans" w:cs="Gill Sans"/>
                <w:i/>
                <w:color w:val="000000"/>
                <w:szCs w:val="22"/>
              </w:rPr>
              <w:t>Pragmatists</w:t>
            </w:r>
            <w:r w:rsidRPr="00076E76">
              <w:rPr>
                <w:rFonts w:ascii="Gill Sans" w:hAnsi="Gill Sans" w:cs="Gill Sans"/>
                <w:color w:val="000000"/>
                <w:szCs w:val="22"/>
              </w:rPr>
              <w:t>: “university was only one facet of their lives and could not be all-absorbing, whether because of work commitments or family responsibilities”- being a ‘day student’ = pragmatic response to competing demands on their time. None of these participants had children and priority = balancing work and study</w:t>
            </w:r>
          </w:p>
          <w:p w14:paraId="73A97F95" w14:textId="3EF58788" w:rsidR="00076E76" w:rsidRPr="00076E76" w:rsidRDefault="00076E76" w:rsidP="004C1C19">
            <w:pPr>
              <w:pStyle w:val="ListParagraph"/>
              <w:numPr>
                <w:ilvl w:val="0"/>
                <w:numId w:val="31"/>
              </w:numPr>
              <w:rPr>
                <w:rFonts w:ascii="Gill Sans" w:hAnsi="Gill Sans" w:cs="Gill Sans"/>
                <w:color w:val="000000"/>
                <w:szCs w:val="22"/>
              </w:rPr>
            </w:pPr>
            <w:r w:rsidRPr="00076E76">
              <w:rPr>
                <w:rFonts w:ascii="Gill Sans" w:hAnsi="Gill Sans" w:cs="Gill Sans"/>
                <w:i/>
                <w:color w:val="000000"/>
                <w:szCs w:val="22"/>
              </w:rPr>
              <w:t>Separate worlds</w:t>
            </w:r>
            <w:r w:rsidRPr="00076E76">
              <w:rPr>
                <w:rFonts w:ascii="Gill Sans" w:hAnsi="Gill Sans" w:cs="Gill Sans"/>
                <w:color w:val="000000"/>
                <w:szCs w:val="22"/>
              </w:rPr>
              <w:t xml:space="preserve">: mature students who distanced themselves from ideas about ‘traditional’ student and sought active separation between student life and home worlds. All females in this group had children (men did not disclose family responsibilities): “What divided the group was gender: women’s role as mothers limited their access both to the academic structure of the universities and to the social side of student life, to the extent that aspiring to the normative ideal of student life was not on their agenda. In contrast, the men’s evident displacement was manifest in their strong rejection of the normative model of student life and their consequent marginalisation within the university” (p.17). Particular tensions existed around the collection of children from childcare. Most students experienced ‘deleterious effects’ on their studies – due to tiredness/ time constraints/ lack of preparedness for study/ </w:t>
            </w:r>
            <w:proofErr w:type="spellStart"/>
            <w:r w:rsidRPr="00076E76">
              <w:rPr>
                <w:rFonts w:ascii="Gill Sans" w:hAnsi="Gill Sans" w:cs="Gill Sans"/>
                <w:color w:val="000000"/>
                <w:szCs w:val="22"/>
              </w:rPr>
              <w:t>individualised</w:t>
            </w:r>
            <w:proofErr w:type="spellEnd"/>
            <w:r w:rsidRPr="00076E76">
              <w:rPr>
                <w:rFonts w:ascii="Gill Sans" w:hAnsi="Gill Sans" w:cs="Gill Sans"/>
                <w:color w:val="000000"/>
                <w:szCs w:val="22"/>
              </w:rPr>
              <w:t xml:space="preserve">. All these women = studying Arts (authors speculate that it would not be possible for these women to undertake full-time lab-based course). Many of these students did not feel the institution recognized the pressures on their lives/ time (see p.20). </w:t>
            </w:r>
          </w:p>
          <w:p w14:paraId="60E70AF4" w14:textId="178A7C98" w:rsidR="00076E76" w:rsidRPr="00076E76" w:rsidRDefault="00076E76" w:rsidP="003E314F">
            <w:pPr>
              <w:rPr>
                <w:rFonts w:ascii="Gill Sans" w:hAnsi="Gill Sans" w:cs="Gill Sans"/>
                <w:color w:val="000000"/>
                <w:szCs w:val="22"/>
                <w:lang w:val="en-AU"/>
              </w:rPr>
            </w:pPr>
            <w:r w:rsidRPr="00076E76">
              <w:rPr>
                <w:rFonts w:ascii="Gill Sans" w:hAnsi="Gill Sans" w:cs="Gill Sans"/>
                <w:b/>
                <w:color w:val="000000"/>
                <w:szCs w:val="22"/>
                <w:lang w:val="en-AU"/>
              </w:rPr>
              <w:t xml:space="preserve">Findings: </w:t>
            </w:r>
            <w:r w:rsidRPr="00076E76">
              <w:rPr>
                <w:rFonts w:ascii="Gill Sans" w:hAnsi="Gill Sans" w:cs="Gill Sans"/>
                <w:b/>
                <w:color w:val="000000"/>
                <w:szCs w:val="22"/>
                <w:lang w:val="en-AU"/>
              </w:rPr>
              <w:br/>
              <w:t xml:space="preserve">Core argument: </w:t>
            </w:r>
            <w:r w:rsidRPr="00076E76">
              <w:rPr>
                <w:rFonts w:ascii="Gill Sans" w:hAnsi="Gill Sans" w:cs="Gill Sans"/>
                <w:color w:val="000000"/>
                <w:szCs w:val="22"/>
                <w:lang w:val="en-AU"/>
              </w:rPr>
              <w:t>Middle class “</w:t>
            </w:r>
            <w:r w:rsidRPr="00076E76">
              <w:rPr>
                <w:rFonts w:ascii="Gill Sans" w:hAnsi="Gill Sans" w:cs="Gill Sans"/>
                <w:color w:val="000000"/>
                <w:szCs w:val="22"/>
              </w:rPr>
              <w:t xml:space="preserve">ideas about ‘fitting in’ rest on the notion that the ‘middle-class’ way of being a student is privileged and privileging” (p.6). Ideas about normative student experience and associated lifestyle discourses = challenged: “In many instances there is a conscious rejection of the assumed norms of a middle-class student life and a clear sense that they should have a right to establish a different way of being a student in the 21st century – and that the institution should provide more support for [‘day students’] to do this” </w:t>
            </w:r>
            <w:r w:rsidRPr="00076E76">
              <w:rPr>
                <w:rFonts w:ascii="Gill Sans" w:hAnsi="Gill Sans" w:cs="Gill Sans"/>
                <w:color w:val="000000"/>
                <w:szCs w:val="22"/>
              </w:rPr>
              <w:lastRenderedPageBreak/>
              <w:t>(p.23).</w:t>
            </w:r>
          </w:p>
        </w:tc>
      </w:tr>
      <w:tr w:rsidR="00076E76" w:rsidRPr="00076E76" w14:paraId="3FFA3CAE" w14:textId="77777777" w:rsidTr="002E557C">
        <w:tc>
          <w:tcPr>
            <w:tcW w:w="5529" w:type="dxa"/>
          </w:tcPr>
          <w:p w14:paraId="46F628B3" w14:textId="64FFD4C6" w:rsidR="00076E76" w:rsidRPr="00076E76" w:rsidRDefault="00076E76" w:rsidP="002E557C">
            <w:pPr>
              <w:rPr>
                <w:rFonts w:ascii="Gill Sans" w:hAnsi="Gill Sans" w:cs="Gill Sans"/>
                <w:szCs w:val="22"/>
              </w:rPr>
            </w:pPr>
            <w:r w:rsidRPr="00076E76">
              <w:rPr>
                <w:rFonts w:ascii="Gill Sans" w:hAnsi="Gill Sans" w:cs="Gill Sans"/>
                <w:szCs w:val="22"/>
              </w:rPr>
              <w:lastRenderedPageBreak/>
              <w:t xml:space="preserve">Christie, H.; Tett, L.; Cree, V.; Hounsell, J. &amp; McCune, V. (2008). </w:t>
            </w:r>
            <w:hyperlink r:id="rId40" w:history="1">
              <w:r w:rsidRPr="00EC0E03">
                <w:rPr>
                  <w:rStyle w:val="Hyperlink"/>
                  <w:rFonts w:ascii="Gill Sans" w:hAnsi="Gill Sans" w:cs="Gill Sans"/>
                  <w:szCs w:val="22"/>
                </w:rPr>
                <w:t>‘A real rollercoaster of confidence and emotions’: learning to be a university student</w:t>
              </w:r>
            </w:hyperlink>
            <w:r w:rsidRPr="00076E76">
              <w:rPr>
                <w:rFonts w:ascii="Gill Sans" w:hAnsi="Gill Sans" w:cs="Gill Sans"/>
                <w:szCs w:val="22"/>
              </w:rPr>
              <w:t xml:space="preserve">, </w:t>
            </w:r>
            <w:r w:rsidRPr="00076E76">
              <w:rPr>
                <w:rFonts w:ascii="Gill Sans" w:hAnsi="Gill Sans" w:cs="Gill Sans"/>
                <w:i/>
                <w:szCs w:val="22"/>
              </w:rPr>
              <w:t xml:space="preserve">Studies in Higher Education, </w:t>
            </w:r>
            <w:r w:rsidR="00567851">
              <w:rPr>
                <w:rFonts w:ascii="Gill Sans" w:hAnsi="Gill Sans" w:cs="Gill Sans"/>
                <w:szCs w:val="22"/>
              </w:rPr>
              <w:t>33(5), 567–</w:t>
            </w:r>
            <w:r w:rsidRPr="00076E76">
              <w:rPr>
                <w:rFonts w:ascii="Gill Sans" w:hAnsi="Gill Sans" w:cs="Gill Sans"/>
                <w:szCs w:val="22"/>
              </w:rPr>
              <w:t>581.</w:t>
            </w:r>
          </w:p>
          <w:p w14:paraId="25A828F0" w14:textId="77777777" w:rsidR="00076E76" w:rsidRPr="00076E76" w:rsidRDefault="00076E76" w:rsidP="002E557C">
            <w:pPr>
              <w:rPr>
                <w:rFonts w:ascii="Gill Sans" w:hAnsi="Gill Sans" w:cs="Gill Sans"/>
                <w:szCs w:val="22"/>
              </w:rPr>
            </w:pPr>
          </w:p>
          <w:p w14:paraId="06C7F7DA" w14:textId="77777777" w:rsidR="00076E76" w:rsidRPr="00076E76" w:rsidRDefault="00076E76" w:rsidP="002E557C">
            <w:pPr>
              <w:rPr>
                <w:rFonts w:ascii="Gill Sans" w:hAnsi="Gill Sans" w:cs="Gill Sans"/>
                <w:szCs w:val="22"/>
              </w:rPr>
            </w:pPr>
            <w:r w:rsidRPr="00076E76">
              <w:rPr>
                <w:rFonts w:ascii="Gill Sans" w:hAnsi="Gill Sans" w:cs="Gill Sans"/>
                <w:szCs w:val="22"/>
              </w:rPr>
              <w:t>UK</w:t>
            </w:r>
          </w:p>
          <w:p w14:paraId="0279C1CC" w14:textId="77777777" w:rsidR="00076E76" w:rsidRPr="00076E76" w:rsidRDefault="00076E76" w:rsidP="000F60CF">
            <w:pPr>
              <w:rPr>
                <w:rFonts w:ascii="Gill Sans" w:hAnsi="Gill Sans" w:cs="Gill Sans"/>
                <w:szCs w:val="22"/>
              </w:rPr>
            </w:pPr>
            <w:r w:rsidRPr="00076E76">
              <w:rPr>
                <w:rFonts w:ascii="Gill Sans" w:hAnsi="Gill Sans" w:cs="Gill Sans"/>
                <w:szCs w:val="22"/>
              </w:rPr>
              <w:t>Annotation by Sally Baker</w:t>
            </w:r>
          </w:p>
          <w:p w14:paraId="407C0777" w14:textId="77777777" w:rsidR="00076E76" w:rsidRPr="00076E76" w:rsidRDefault="00076E76" w:rsidP="002E557C">
            <w:pPr>
              <w:rPr>
                <w:rFonts w:ascii="Gill Sans" w:hAnsi="Gill Sans" w:cs="Gill Sans"/>
                <w:szCs w:val="22"/>
              </w:rPr>
            </w:pPr>
          </w:p>
          <w:p w14:paraId="07449D25" w14:textId="167A3CFF" w:rsidR="00076E76" w:rsidRPr="00076E76" w:rsidRDefault="00076E76" w:rsidP="002E557C">
            <w:pPr>
              <w:rPr>
                <w:rFonts w:ascii="Gill Sans" w:hAnsi="Gill Sans" w:cs="Gill Sans"/>
                <w:i/>
                <w:szCs w:val="22"/>
              </w:rPr>
            </w:pPr>
            <w:r w:rsidRPr="00076E76">
              <w:rPr>
                <w:rFonts w:ascii="Gill Sans" w:hAnsi="Gill Sans" w:cs="Gill Sans"/>
                <w:szCs w:val="22"/>
              </w:rPr>
              <w:t xml:space="preserve">Keywords: </w:t>
            </w:r>
            <w:r w:rsidRPr="00076E76">
              <w:rPr>
                <w:rFonts w:ascii="Gill Sans" w:hAnsi="Gill Sans" w:cs="Gill Sans"/>
                <w:i/>
                <w:szCs w:val="22"/>
              </w:rPr>
              <w:t>emotions</w:t>
            </w:r>
            <w:r w:rsidR="00DC219B">
              <w:rPr>
                <w:rFonts w:ascii="Gill Sans" w:hAnsi="Gill Sans" w:cs="Gill Sans"/>
                <w:i/>
                <w:szCs w:val="22"/>
              </w:rPr>
              <w:t>;</w:t>
            </w:r>
            <w:r w:rsidRPr="00076E76">
              <w:rPr>
                <w:rFonts w:ascii="Gill Sans" w:hAnsi="Gill Sans" w:cs="Gill Sans"/>
                <w:i/>
                <w:szCs w:val="22"/>
              </w:rPr>
              <w:t xml:space="preserve"> transition</w:t>
            </w:r>
            <w:r w:rsidR="00DC219B">
              <w:rPr>
                <w:rFonts w:ascii="Gill Sans" w:hAnsi="Gill Sans" w:cs="Gill Sans"/>
                <w:i/>
                <w:szCs w:val="22"/>
              </w:rPr>
              <w:t xml:space="preserve">; </w:t>
            </w:r>
            <w:r w:rsidRPr="00076E76">
              <w:rPr>
                <w:rFonts w:ascii="Gill Sans" w:hAnsi="Gill Sans" w:cs="Gill Sans"/>
                <w:i/>
                <w:szCs w:val="22"/>
              </w:rPr>
              <w:t>further education</w:t>
            </w:r>
            <w:r w:rsidR="00DC219B">
              <w:rPr>
                <w:rFonts w:ascii="Gill Sans" w:hAnsi="Gill Sans" w:cs="Gill Sans"/>
                <w:i/>
                <w:szCs w:val="22"/>
              </w:rPr>
              <w:t>;</w:t>
            </w:r>
            <w:r w:rsidRPr="00076E76">
              <w:rPr>
                <w:rFonts w:ascii="Gill Sans" w:hAnsi="Gill Sans" w:cs="Gill Sans"/>
                <w:i/>
                <w:szCs w:val="22"/>
              </w:rPr>
              <w:t xml:space="preserve"> higher education</w:t>
            </w:r>
            <w:r w:rsidR="00DC219B">
              <w:rPr>
                <w:rFonts w:ascii="Gill Sans" w:hAnsi="Gill Sans" w:cs="Gill Sans"/>
                <w:i/>
                <w:szCs w:val="22"/>
              </w:rPr>
              <w:t>;</w:t>
            </w:r>
            <w:r w:rsidRPr="00076E76">
              <w:rPr>
                <w:rFonts w:ascii="Gill Sans" w:hAnsi="Gill Sans" w:cs="Gill Sans"/>
                <w:i/>
                <w:szCs w:val="22"/>
              </w:rPr>
              <w:t xml:space="preserve"> non-traditional students</w:t>
            </w:r>
          </w:p>
          <w:p w14:paraId="6E4D4105" w14:textId="77777777" w:rsidR="00076E76" w:rsidRPr="00076E76" w:rsidRDefault="00076E76" w:rsidP="002E557C">
            <w:pPr>
              <w:rPr>
                <w:rFonts w:ascii="Gill Sans" w:hAnsi="Gill Sans" w:cs="Gill Sans"/>
                <w:i/>
                <w:szCs w:val="22"/>
              </w:rPr>
            </w:pPr>
          </w:p>
          <w:p w14:paraId="755F0E64" w14:textId="1470ECF9" w:rsidR="00076E76" w:rsidRPr="00076E76" w:rsidRDefault="00076E76" w:rsidP="002E557C">
            <w:pPr>
              <w:rPr>
                <w:rFonts w:ascii="Gill Sans" w:hAnsi="Gill Sans" w:cs="Gill Sans"/>
                <w:b/>
                <w:szCs w:val="22"/>
              </w:rPr>
            </w:pPr>
          </w:p>
        </w:tc>
        <w:tc>
          <w:tcPr>
            <w:tcW w:w="10064" w:type="dxa"/>
          </w:tcPr>
          <w:p w14:paraId="6AA433F0" w14:textId="598EB6AC" w:rsidR="00076E76" w:rsidRPr="00076E76" w:rsidRDefault="00076E76" w:rsidP="00CA0CBF">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sidRPr="00076E76">
              <w:rPr>
                <w:rFonts w:ascii="Gill Sans" w:hAnsi="Gill Sans" w:cs="Gill Sans"/>
                <w:color w:val="000000"/>
                <w:szCs w:val="22"/>
                <w:lang w:val="en-AU"/>
              </w:rPr>
              <w:t xml:space="preserve">Non-traditional students’ transitions into elite higher education from further education, specifically the role of emotions. Learning at </w:t>
            </w:r>
            <w:proofErr w:type="gramStart"/>
            <w:r w:rsidRPr="00076E76">
              <w:rPr>
                <w:rFonts w:ascii="Gill Sans" w:hAnsi="Gill Sans" w:cs="Gill Sans"/>
                <w:color w:val="000000"/>
                <w:szCs w:val="22"/>
                <w:lang w:val="en-AU"/>
              </w:rPr>
              <w:t>university  =</w:t>
            </w:r>
            <w:proofErr w:type="gramEnd"/>
            <w:r w:rsidRPr="00076E76">
              <w:rPr>
                <w:rFonts w:ascii="Gill Sans" w:hAnsi="Gill Sans" w:cs="Gill Sans"/>
                <w:color w:val="000000"/>
                <w:szCs w:val="22"/>
                <w:lang w:val="en-AU"/>
              </w:rPr>
              <w:t xml:space="preserve"> “</w:t>
            </w:r>
            <w:r w:rsidRPr="00076E76">
              <w:rPr>
                <w:rFonts w:ascii="Gill Sans" w:hAnsi="Gill Sans" w:cs="Gill Sans"/>
                <w:color w:val="000000"/>
                <w:szCs w:val="22"/>
              </w:rPr>
              <w:t xml:space="preserve">a profoundly reflexive and emotional construct, that entails the undoing of earlier learning as students enter a new environment with different subjects, learning approaches and teaching styles” (p.567). In policy discourse = assumption/ dominance of idea of learning as cognitive process – leading to/ </w:t>
            </w:r>
            <w:proofErr w:type="spellStart"/>
            <w:r w:rsidRPr="00076E76">
              <w:rPr>
                <w:rFonts w:ascii="Gill Sans" w:hAnsi="Gill Sans" w:cs="Gill Sans"/>
                <w:color w:val="000000"/>
                <w:szCs w:val="22"/>
              </w:rPr>
              <w:t>fuelling</w:t>
            </w:r>
            <w:proofErr w:type="spellEnd"/>
            <w:r w:rsidRPr="00076E76">
              <w:rPr>
                <w:rFonts w:ascii="Gill Sans" w:hAnsi="Gill Sans" w:cs="Gill Sans"/>
                <w:color w:val="000000"/>
                <w:szCs w:val="22"/>
              </w:rPr>
              <w:t xml:space="preserve"> deficit notion of students (failing because of individual attributes/ deficiencies). Literature has little to say about affective dimensions of learning. Links to literature on learning identities: “biographical studies suggest that learners have inherently ‘fragile’ identities: they follow ‘fractured’ and ‘disrupted’ pathways though formal education; their engagement with new learning environments is often uncertain; and their disposition to learning, and eventual success (or failure), is affected by a range of psychological factors” (p.569)</w:t>
            </w:r>
          </w:p>
          <w:p w14:paraId="3869771F" w14:textId="0DF89C39" w:rsidR="00076E76" w:rsidRPr="00076E76" w:rsidRDefault="00076E76" w:rsidP="00A0417E">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sidRPr="00076E76">
              <w:rPr>
                <w:rFonts w:ascii="Gill Sans" w:hAnsi="Gill Sans" w:cs="Gill Sans"/>
                <w:color w:val="000000"/>
                <w:szCs w:val="22"/>
                <w:lang w:val="en-AU"/>
              </w:rPr>
              <w:t>To illustrate how becoming a university student = emotional process</w:t>
            </w:r>
          </w:p>
          <w:p w14:paraId="410BC08B" w14:textId="5AEF2F79" w:rsidR="00076E76" w:rsidRPr="00076E76" w:rsidRDefault="00076E76" w:rsidP="00A0417E">
            <w:pPr>
              <w:rPr>
                <w:rFonts w:ascii="Gill Sans" w:hAnsi="Gill Sans" w:cs="Gill Sans"/>
                <w:color w:val="000000"/>
                <w:szCs w:val="22"/>
                <w:lang w:val="en-AU"/>
              </w:rPr>
            </w:pPr>
            <w:r w:rsidRPr="00076E76">
              <w:rPr>
                <w:rFonts w:ascii="Gill Sans" w:hAnsi="Gill Sans" w:cs="Gill Sans"/>
                <w:b/>
                <w:color w:val="000000"/>
                <w:szCs w:val="22"/>
                <w:lang w:val="en-AU"/>
              </w:rPr>
              <w:t xml:space="preserve">Theoretical frame: </w:t>
            </w:r>
            <w:r w:rsidRPr="00076E76">
              <w:rPr>
                <w:rFonts w:ascii="Gill Sans" w:hAnsi="Gill Sans" w:cs="Gill Sans"/>
                <w:color w:val="000000"/>
                <w:szCs w:val="22"/>
                <w:lang w:val="en-AU"/>
              </w:rPr>
              <w:t>Communities of Practice (Lave &amp; Wenger) + culture shock for non-traditional students</w:t>
            </w:r>
          </w:p>
          <w:p w14:paraId="7AE67DFE" w14:textId="2B535A1D" w:rsidR="00076E76" w:rsidRPr="00076E76" w:rsidRDefault="00076E76" w:rsidP="00A0417E">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Draws on a longitudinal project examining teaching and learning experiences of non-trad students moving from FE to HE. Draws from interviews with Year 1 students studying humanities and social sciences who had entered directly from FE. Emotions = not explicit focus of interview schedule</w:t>
            </w:r>
          </w:p>
          <w:p w14:paraId="08BD4C54" w14:textId="51ADCA1E" w:rsidR="00076E76" w:rsidRPr="00076E76" w:rsidRDefault="00076E76" w:rsidP="00177CE4">
            <w:pPr>
              <w:rPr>
                <w:rFonts w:ascii="Gill Sans" w:hAnsi="Gill Sans" w:cs="Gill Sans"/>
                <w:color w:val="000000"/>
                <w:szCs w:val="22"/>
                <w:lang w:val="en-AU"/>
              </w:rPr>
            </w:pPr>
            <w:r w:rsidRPr="00076E76">
              <w:rPr>
                <w:rFonts w:ascii="Gill Sans" w:hAnsi="Gill Sans" w:cs="Gill Sans"/>
                <w:b/>
                <w:color w:val="000000"/>
                <w:szCs w:val="22"/>
                <w:lang w:val="en-AU"/>
              </w:rPr>
              <w:t xml:space="preserve">Findings: </w:t>
            </w:r>
            <w:r w:rsidRPr="00076E76">
              <w:rPr>
                <w:rFonts w:ascii="Gill Sans" w:hAnsi="Gill Sans" w:cs="Gill Sans"/>
                <w:color w:val="000000"/>
                <w:szCs w:val="22"/>
                <w:lang w:val="en-AU"/>
              </w:rPr>
              <w:t>Initial interviews = strong sense of excitement but followed by ‘learning shock’ – including loss of ‘secure identity’ built from FE studies. Second interviews = bewilderment and dislocating due to loss of past sureties, due to: lack of knowledge about university and lack of supportive relationships, resulting in loss of prior learning identities. Many students had anticipated differences in teaching and learning. Students’ security = threatened by lack of knowledge about university. Students also had insecurity about academic standards and not knowing what is expected (e.g. problems with deciphering reading lists). When students worked out that “</w:t>
            </w:r>
            <w:r w:rsidRPr="00076E76">
              <w:rPr>
                <w:rFonts w:ascii="Gill Sans" w:hAnsi="Gill Sans" w:cs="Gill Sans"/>
                <w:color w:val="000000"/>
                <w:szCs w:val="22"/>
              </w:rPr>
              <w:t xml:space="preserve">learning was intrinsically related to the quality of communication and relationships in daily practice”, their confidence </w:t>
            </w:r>
            <w:proofErr w:type="gramStart"/>
            <w:r w:rsidRPr="00076E76">
              <w:rPr>
                <w:rFonts w:ascii="Gill Sans" w:hAnsi="Gill Sans" w:cs="Gill Sans"/>
                <w:color w:val="000000"/>
                <w:szCs w:val="22"/>
              </w:rPr>
              <w:t>increased</w:t>
            </w:r>
            <w:proofErr w:type="gramEnd"/>
            <w:r w:rsidRPr="00076E76">
              <w:rPr>
                <w:rFonts w:ascii="Gill Sans" w:hAnsi="Gill Sans" w:cs="Gill Sans"/>
                <w:color w:val="000000"/>
                <w:szCs w:val="22"/>
              </w:rPr>
              <w:t xml:space="preserve"> and the security of their identities developed. Study groups helped remove isolation, with emotional underpinnings. Discussion of emotional consequences of belonging and memberships</w:t>
            </w:r>
            <w:r w:rsidRPr="00076E76">
              <w:rPr>
                <w:rFonts w:ascii="Gill Sans" w:hAnsi="Gill Sans" w:cs="Gill Sans"/>
                <w:b/>
                <w:color w:val="000000"/>
                <w:szCs w:val="22"/>
                <w:lang w:val="en-AU"/>
              </w:rPr>
              <w:br/>
              <w:t xml:space="preserve">Core argument: </w:t>
            </w:r>
            <w:r w:rsidRPr="00076E76">
              <w:rPr>
                <w:rFonts w:ascii="Gill Sans" w:hAnsi="Gill Sans" w:cs="Gill Sans"/>
                <w:color w:val="000000"/>
                <w:szCs w:val="22"/>
                <w:lang w:val="en-AU"/>
              </w:rPr>
              <w:t>There are significant emotional gains, suggesting “</w:t>
            </w:r>
            <w:r w:rsidRPr="00076E76">
              <w:rPr>
                <w:rFonts w:ascii="Gill Sans" w:hAnsi="Gill Sans" w:cs="Gill Sans"/>
                <w:color w:val="000000"/>
                <w:szCs w:val="22"/>
              </w:rPr>
              <w:t>that it is the emotional gains produced</w:t>
            </w:r>
          </w:p>
          <w:p w14:paraId="730E93AE" w14:textId="77777777" w:rsidR="00076E76" w:rsidRPr="00076E76" w:rsidRDefault="00076E76" w:rsidP="00272382">
            <w:pPr>
              <w:rPr>
                <w:rFonts w:ascii="Gill Sans" w:hAnsi="Gill Sans" w:cs="Gill Sans"/>
                <w:color w:val="000000"/>
                <w:szCs w:val="22"/>
              </w:rPr>
            </w:pPr>
            <w:r w:rsidRPr="00076E76">
              <w:rPr>
                <w:rFonts w:ascii="Gill Sans" w:hAnsi="Gill Sans" w:cs="Gill Sans"/>
                <w:color w:val="000000"/>
                <w:szCs w:val="22"/>
              </w:rPr>
              <w:t xml:space="preserve">through learning that helped students to form a (learning) relationship to the </w:t>
            </w:r>
            <w:proofErr w:type="gramStart"/>
            <w:r w:rsidRPr="00076E76">
              <w:rPr>
                <w:rFonts w:ascii="Gill Sans" w:hAnsi="Gill Sans" w:cs="Gill Sans"/>
                <w:color w:val="000000"/>
                <w:szCs w:val="22"/>
              </w:rPr>
              <w:t>university, and</w:t>
            </w:r>
            <w:proofErr w:type="gramEnd"/>
            <w:r w:rsidRPr="00076E76">
              <w:rPr>
                <w:rFonts w:ascii="Gill Sans" w:hAnsi="Gill Sans" w:cs="Gill Sans"/>
                <w:color w:val="000000"/>
                <w:szCs w:val="22"/>
              </w:rPr>
              <w:t xml:space="preserve"> enabled them to</w:t>
            </w:r>
            <w:r w:rsidRPr="00076E76">
              <w:rPr>
                <w:rFonts w:ascii="Gill Sans" w:hAnsi="Gill Sans" w:cs="Gill Sans"/>
                <w:color w:val="292526"/>
                <w:sz w:val="21"/>
                <w:szCs w:val="21"/>
              </w:rPr>
              <w:t xml:space="preserve"> </w:t>
            </w:r>
            <w:r w:rsidRPr="00076E76">
              <w:rPr>
                <w:rFonts w:ascii="Gill Sans" w:hAnsi="Gill Sans" w:cs="Gill Sans"/>
                <w:color w:val="000000"/>
                <w:szCs w:val="22"/>
              </w:rPr>
              <w:t xml:space="preserve">engage in the identity work necessary to become members of a new learning community” (p.573). </w:t>
            </w:r>
          </w:p>
          <w:p w14:paraId="0B106692" w14:textId="77777777" w:rsidR="00076E76" w:rsidRPr="00076E76" w:rsidRDefault="00076E76" w:rsidP="00272382">
            <w:pPr>
              <w:rPr>
                <w:rFonts w:ascii="Gill Sans" w:hAnsi="Gill Sans" w:cs="Gill Sans"/>
                <w:color w:val="000000"/>
                <w:szCs w:val="22"/>
              </w:rPr>
            </w:pPr>
            <w:r w:rsidRPr="00076E76">
              <w:rPr>
                <w:rFonts w:ascii="Gill Sans" w:hAnsi="Gill Sans" w:cs="Gill Sans"/>
                <w:color w:val="000000"/>
                <w:szCs w:val="22"/>
              </w:rPr>
              <w:t>Main findings:</w:t>
            </w:r>
          </w:p>
          <w:p w14:paraId="6889A041" w14:textId="5D86BC51" w:rsidR="00076E76" w:rsidRPr="00076E76" w:rsidRDefault="00076E76" w:rsidP="00177CE4">
            <w:pPr>
              <w:pStyle w:val="ListParagraph"/>
              <w:numPr>
                <w:ilvl w:val="0"/>
                <w:numId w:val="10"/>
              </w:numPr>
              <w:rPr>
                <w:rFonts w:ascii="Gill Sans" w:hAnsi="Gill Sans" w:cs="Gill Sans"/>
                <w:color w:val="000000"/>
                <w:szCs w:val="22"/>
              </w:rPr>
            </w:pPr>
            <w:r w:rsidRPr="00076E76">
              <w:rPr>
                <w:rFonts w:ascii="Gill Sans" w:hAnsi="Gill Sans" w:cs="Gill Sans"/>
                <w:color w:val="000000"/>
                <w:szCs w:val="22"/>
              </w:rPr>
              <w:t xml:space="preserve">“many non-traditional students work with distinctive – and class-based – understandings of what it means to fully belong to a community of practice in an elite university” </w:t>
            </w:r>
          </w:p>
          <w:p w14:paraId="7539E24D" w14:textId="40C954D3" w:rsidR="00076E76" w:rsidRPr="00076E76" w:rsidRDefault="00076E76" w:rsidP="00177CE4">
            <w:pPr>
              <w:pStyle w:val="ListParagraph"/>
              <w:numPr>
                <w:ilvl w:val="0"/>
                <w:numId w:val="10"/>
              </w:numPr>
              <w:rPr>
                <w:rFonts w:ascii="Gill Sans" w:hAnsi="Gill Sans" w:cs="Gill Sans"/>
                <w:color w:val="000000"/>
                <w:szCs w:val="22"/>
              </w:rPr>
            </w:pPr>
            <w:r w:rsidRPr="00076E76">
              <w:rPr>
                <w:rFonts w:ascii="Gill Sans" w:hAnsi="Gill Sans" w:cs="Gill Sans"/>
                <w:color w:val="000000"/>
                <w:szCs w:val="22"/>
              </w:rPr>
              <w:lastRenderedPageBreak/>
              <w:t>“while learning how to be a university student was an emotionally demanding process for all of the students in this study, it was also bound up with the very particular nature of the pathways they had taken through higher education” (p.579)</w:t>
            </w:r>
          </w:p>
          <w:p w14:paraId="4E44C9B0" w14:textId="34B740B3" w:rsidR="00076E76" w:rsidRPr="00076E76" w:rsidRDefault="00076E76" w:rsidP="00177CE4">
            <w:pPr>
              <w:rPr>
                <w:rFonts w:ascii="Gill Sans" w:hAnsi="Gill Sans" w:cs="Gill Sans"/>
                <w:color w:val="000000"/>
                <w:szCs w:val="22"/>
              </w:rPr>
            </w:pPr>
          </w:p>
        </w:tc>
      </w:tr>
      <w:tr w:rsidR="00076E76" w:rsidRPr="00076E76" w14:paraId="2E8F9CEF" w14:textId="77777777" w:rsidTr="002E557C">
        <w:tc>
          <w:tcPr>
            <w:tcW w:w="5529" w:type="dxa"/>
          </w:tcPr>
          <w:p w14:paraId="012B6527" w14:textId="3EB0F5D9" w:rsidR="00076E76" w:rsidRPr="00076E76" w:rsidRDefault="00076E76" w:rsidP="00511A9D">
            <w:pPr>
              <w:rPr>
                <w:rFonts w:ascii="Gill Sans" w:hAnsi="Gill Sans" w:cs="Gill Sans"/>
                <w:szCs w:val="22"/>
              </w:rPr>
            </w:pPr>
            <w:r w:rsidRPr="00076E76">
              <w:rPr>
                <w:rFonts w:ascii="Gill Sans" w:hAnsi="Gill Sans" w:cs="Gill Sans"/>
                <w:szCs w:val="22"/>
              </w:rPr>
              <w:lastRenderedPageBreak/>
              <w:t xml:space="preserve">Christie, H.; Tett, L.; Cree, V.; &amp; McCune, V. (2016). </w:t>
            </w:r>
            <w:hyperlink r:id="rId41" w:history="1">
              <w:r w:rsidRPr="00981A5B">
                <w:rPr>
                  <w:rStyle w:val="Hyperlink"/>
                  <w:rFonts w:ascii="Gill Sans" w:hAnsi="Gill Sans" w:cs="Gill Sans"/>
                  <w:szCs w:val="22"/>
                </w:rPr>
                <w:t>‘It all just clicked’: a longitudinal perspective on transitions within university</w:t>
              </w:r>
            </w:hyperlink>
            <w:r w:rsidRPr="00076E76">
              <w:rPr>
                <w:rFonts w:ascii="Gill Sans" w:hAnsi="Gill Sans" w:cs="Gill Sans"/>
                <w:szCs w:val="22"/>
              </w:rPr>
              <w:t xml:space="preserve">, </w:t>
            </w:r>
            <w:r w:rsidRPr="00076E76">
              <w:rPr>
                <w:rFonts w:ascii="Gill Sans" w:hAnsi="Gill Sans" w:cs="Gill Sans"/>
                <w:i/>
                <w:szCs w:val="22"/>
              </w:rPr>
              <w:t xml:space="preserve">Studies in Higher Education, </w:t>
            </w:r>
            <w:r w:rsidRPr="00076E76">
              <w:rPr>
                <w:rFonts w:ascii="Gill Sans" w:hAnsi="Gill Sans" w:cs="Gill Sans"/>
                <w:szCs w:val="22"/>
              </w:rPr>
              <w:t>41(3)</w:t>
            </w:r>
            <w:r w:rsidR="00567851">
              <w:rPr>
                <w:rFonts w:ascii="Gill Sans" w:hAnsi="Gill Sans" w:cs="Gill Sans"/>
                <w:szCs w:val="22"/>
              </w:rPr>
              <w:t>, 478–</w:t>
            </w:r>
            <w:r w:rsidRPr="00076E76">
              <w:rPr>
                <w:rFonts w:ascii="Gill Sans" w:hAnsi="Gill Sans" w:cs="Gill Sans"/>
                <w:szCs w:val="22"/>
              </w:rPr>
              <w:t>490.</w:t>
            </w:r>
          </w:p>
          <w:p w14:paraId="78D44854" w14:textId="77777777" w:rsidR="00076E76" w:rsidRPr="00076E76" w:rsidRDefault="00076E76" w:rsidP="00511A9D">
            <w:pPr>
              <w:rPr>
                <w:rFonts w:ascii="Gill Sans" w:hAnsi="Gill Sans" w:cs="Gill Sans"/>
                <w:szCs w:val="22"/>
              </w:rPr>
            </w:pPr>
          </w:p>
          <w:p w14:paraId="5270AA9F" w14:textId="77777777" w:rsidR="00076E76" w:rsidRPr="00076E76" w:rsidRDefault="00076E76" w:rsidP="00511A9D">
            <w:pPr>
              <w:rPr>
                <w:rFonts w:ascii="Gill Sans" w:hAnsi="Gill Sans" w:cs="Gill Sans"/>
                <w:szCs w:val="22"/>
              </w:rPr>
            </w:pPr>
            <w:r w:rsidRPr="00076E76">
              <w:rPr>
                <w:rFonts w:ascii="Gill Sans" w:hAnsi="Gill Sans" w:cs="Gill Sans"/>
                <w:szCs w:val="22"/>
              </w:rPr>
              <w:t>UK</w:t>
            </w:r>
          </w:p>
          <w:p w14:paraId="3993AD27" w14:textId="77777777" w:rsidR="00076E76" w:rsidRPr="00076E76" w:rsidRDefault="00076E76" w:rsidP="000F60CF">
            <w:pPr>
              <w:rPr>
                <w:rFonts w:ascii="Gill Sans" w:hAnsi="Gill Sans" w:cs="Gill Sans"/>
                <w:szCs w:val="22"/>
              </w:rPr>
            </w:pPr>
            <w:r w:rsidRPr="00076E76">
              <w:rPr>
                <w:rFonts w:ascii="Gill Sans" w:hAnsi="Gill Sans" w:cs="Gill Sans"/>
                <w:szCs w:val="22"/>
              </w:rPr>
              <w:t>Annotation by Sally Baker</w:t>
            </w:r>
          </w:p>
          <w:p w14:paraId="140C5E8B" w14:textId="77777777" w:rsidR="00076E76" w:rsidRPr="00076E76" w:rsidRDefault="00076E76" w:rsidP="00511A9D">
            <w:pPr>
              <w:rPr>
                <w:rFonts w:ascii="Gill Sans" w:hAnsi="Gill Sans" w:cs="Gill Sans"/>
                <w:szCs w:val="22"/>
              </w:rPr>
            </w:pPr>
          </w:p>
          <w:p w14:paraId="474E7299" w14:textId="77777777" w:rsidR="00076E76" w:rsidRPr="00076E76" w:rsidRDefault="00076E76" w:rsidP="00511A9D">
            <w:pPr>
              <w:rPr>
                <w:rFonts w:ascii="Gill Sans" w:hAnsi="Gill Sans" w:cs="Gill Sans"/>
                <w:szCs w:val="22"/>
              </w:rPr>
            </w:pPr>
          </w:p>
          <w:p w14:paraId="371C5FCB" w14:textId="17E8DF7D" w:rsidR="00076E76" w:rsidRPr="00076E76" w:rsidRDefault="00076E76" w:rsidP="000570AA">
            <w:pPr>
              <w:rPr>
                <w:rFonts w:ascii="Gill Sans" w:hAnsi="Gill Sans" w:cs="Gill Sans"/>
                <w:szCs w:val="22"/>
              </w:rPr>
            </w:pPr>
            <w:r w:rsidRPr="00076E76">
              <w:rPr>
                <w:rFonts w:ascii="Gill Sans" w:hAnsi="Gill Sans" w:cs="Gill Sans"/>
                <w:szCs w:val="22"/>
              </w:rPr>
              <w:t xml:space="preserve">Keywords: </w:t>
            </w:r>
            <w:r w:rsidRPr="00076E76">
              <w:rPr>
                <w:rFonts w:ascii="Gill Sans" w:hAnsi="Gill Sans" w:cs="Gill Sans"/>
                <w:i/>
                <w:szCs w:val="22"/>
              </w:rPr>
              <w:t>transitions; longitudinal analysis; engagement; participation; learning communities</w:t>
            </w:r>
          </w:p>
        </w:tc>
        <w:tc>
          <w:tcPr>
            <w:tcW w:w="10064" w:type="dxa"/>
          </w:tcPr>
          <w:p w14:paraId="5693C13E" w14:textId="4082721B" w:rsidR="00076E76" w:rsidRPr="00076E76" w:rsidRDefault="00076E76" w:rsidP="002E557C">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sidRPr="00076E76">
              <w:rPr>
                <w:rFonts w:ascii="Gill Sans" w:hAnsi="Gill Sans" w:cs="Gill Sans"/>
                <w:color w:val="000000"/>
                <w:szCs w:val="22"/>
                <w:lang w:val="en-AU"/>
              </w:rPr>
              <w:t xml:space="preserve">Examines experiences of students who entered HE from FE as part of WP initiative – looking at beyond first year and across the lifetime of their degrees + </w:t>
            </w:r>
            <w:r w:rsidRPr="00076E76">
              <w:rPr>
                <w:rFonts w:ascii="Gill Sans" w:hAnsi="Gill Sans" w:cs="Gill Sans"/>
                <w:b/>
                <w:color w:val="000000"/>
                <w:szCs w:val="22"/>
                <w:lang w:val="en-AU"/>
              </w:rPr>
              <w:t>approaches to independent learning</w:t>
            </w:r>
            <w:r w:rsidRPr="00076E76">
              <w:rPr>
                <w:rFonts w:ascii="Gill Sans" w:hAnsi="Gill Sans" w:cs="Gill Sans"/>
                <w:color w:val="000000"/>
                <w:szCs w:val="22"/>
                <w:lang w:val="en-AU"/>
              </w:rPr>
              <w:t xml:space="preserve">. Notes that the dominant focus on the first year = result of </w:t>
            </w:r>
            <w:proofErr w:type="spellStart"/>
            <w:r w:rsidRPr="00076E76">
              <w:rPr>
                <w:rFonts w:ascii="Gill Sans" w:hAnsi="Gill Sans" w:cs="Gill Sans"/>
                <w:color w:val="000000"/>
                <w:szCs w:val="22"/>
                <w:lang w:val="en-AU"/>
              </w:rPr>
              <w:t>neoliberalisation</w:t>
            </w:r>
            <w:proofErr w:type="spellEnd"/>
            <w:r w:rsidRPr="00076E76">
              <w:rPr>
                <w:rFonts w:ascii="Gill Sans" w:hAnsi="Gill Sans" w:cs="Gill Sans"/>
                <w:color w:val="000000"/>
                <w:szCs w:val="22"/>
                <w:lang w:val="en-AU"/>
              </w:rPr>
              <w:t xml:space="preserve"> of academy and reputational damage of high attrition rates</w:t>
            </w:r>
          </w:p>
          <w:p w14:paraId="7D6940D6" w14:textId="750FAB38" w:rsidR="00076E76" w:rsidRPr="00076E76" w:rsidRDefault="00076E76" w:rsidP="00010ADA">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sidRPr="00076E76">
              <w:rPr>
                <w:rFonts w:ascii="Gill Sans" w:hAnsi="Gill Sans" w:cs="Gill Sans"/>
                <w:color w:val="000000"/>
                <w:szCs w:val="22"/>
                <w:lang w:val="en-AU"/>
              </w:rPr>
              <w:t>To report on project exploring students’ experiences over time; “</w:t>
            </w:r>
            <w:r w:rsidRPr="00076E76">
              <w:rPr>
                <w:rFonts w:ascii="Gill Sans" w:hAnsi="Gill Sans" w:cs="Gill Sans"/>
                <w:color w:val="000000"/>
                <w:szCs w:val="22"/>
              </w:rPr>
              <w:t>to provide a longitudinal account of their experiences of engagement and participation at the university” (abstract); “a longitudinal analysis of the processes through which students become successful independent learners over the lifetime of their degree programme” (p.479); to examine the knowledge and skills needed ‘to survive’ – based on a comparison of first and last years.</w:t>
            </w:r>
          </w:p>
          <w:p w14:paraId="49E93F5D" w14:textId="213FEA96" w:rsidR="00076E76" w:rsidRPr="00076E76" w:rsidRDefault="00076E76" w:rsidP="002E557C">
            <w:pPr>
              <w:rPr>
                <w:rFonts w:ascii="Gill Sans" w:hAnsi="Gill Sans" w:cs="Gill Sans"/>
                <w:color w:val="000000"/>
                <w:szCs w:val="22"/>
                <w:lang w:val="en-AU"/>
              </w:rPr>
            </w:pPr>
            <w:r w:rsidRPr="00076E76">
              <w:rPr>
                <w:rFonts w:ascii="Gill Sans" w:hAnsi="Gill Sans" w:cs="Gill Sans"/>
                <w:b/>
                <w:color w:val="000000"/>
                <w:szCs w:val="22"/>
                <w:lang w:val="en-AU"/>
              </w:rPr>
              <w:t xml:space="preserve">Theoretical frame: </w:t>
            </w:r>
            <w:r w:rsidRPr="00076E76">
              <w:rPr>
                <w:rFonts w:ascii="Gill Sans" w:hAnsi="Gill Sans" w:cs="Gill Sans"/>
                <w:color w:val="000000"/>
                <w:szCs w:val="22"/>
                <w:lang w:val="en-AU"/>
              </w:rPr>
              <w:t>Draws on concept of learning communities (Lave and Wenger)</w:t>
            </w:r>
          </w:p>
          <w:p w14:paraId="1430A2BD" w14:textId="45032230" w:rsidR="00076E76" w:rsidRPr="00076E76" w:rsidRDefault="00076E76" w:rsidP="002E557C">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Longitudinal research. Students (n=20) who were asked to complete a standardised questionnaire each year of their degree and take part in in-depth interviews. 45 students started the project but only 20 completed the project (10 = 3 year degree; 10 = 4 year degree)</w:t>
            </w:r>
          </w:p>
          <w:p w14:paraId="57A348FD" w14:textId="77777777" w:rsidR="00076E76" w:rsidRPr="00076E76" w:rsidRDefault="00076E76" w:rsidP="006F3E73">
            <w:pPr>
              <w:rPr>
                <w:rFonts w:ascii="Gill Sans" w:hAnsi="Gill Sans" w:cs="Gill Sans"/>
                <w:color w:val="000000"/>
                <w:szCs w:val="22"/>
              </w:rPr>
            </w:pPr>
            <w:r w:rsidRPr="00076E76">
              <w:rPr>
                <w:rFonts w:ascii="Gill Sans" w:hAnsi="Gill Sans" w:cs="Gill Sans"/>
                <w:b/>
                <w:color w:val="000000"/>
                <w:szCs w:val="22"/>
                <w:lang w:val="en-AU"/>
              </w:rPr>
              <w:t xml:space="preserve">Findings: </w:t>
            </w:r>
            <w:r w:rsidRPr="00076E76">
              <w:rPr>
                <w:rFonts w:ascii="Gill Sans" w:hAnsi="Gill Sans" w:cs="Gill Sans"/>
                <w:color w:val="000000"/>
                <w:szCs w:val="22"/>
                <w:lang w:val="en-AU"/>
              </w:rPr>
              <w:t>All 20 participants “</w:t>
            </w:r>
            <w:r w:rsidRPr="00076E76">
              <w:rPr>
                <w:rFonts w:ascii="Gill Sans" w:hAnsi="Gill Sans" w:cs="Gill Sans"/>
                <w:color w:val="000000"/>
                <w:szCs w:val="22"/>
              </w:rPr>
              <w:t xml:space="preserve">had all come to know and understand how to operate effectively within the university’s teaching and learning environment” = successful transition (p.483). </w:t>
            </w:r>
          </w:p>
          <w:p w14:paraId="473BE707" w14:textId="01B9B8F0" w:rsidR="00076E76" w:rsidRPr="00076E76" w:rsidRDefault="00076E76" w:rsidP="000570AA">
            <w:pPr>
              <w:pStyle w:val="ListParagraph"/>
              <w:numPr>
                <w:ilvl w:val="0"/>
                <w:numId w:val="11"/>
              </w:numPr>
              <w:rPr>
                <w:rFonts w:ascii="Gill Sans" w:hAnsi="Gill Sans" w:cs="Gill Sans"/>
                <w:color w:val="000000"/>
                <w:szCs w:val="22"/>
              </w:rPr>
            </w:pPr>
            <w:r w:rsidRPr="00076E76">
              <w:rPr>
                <w:rFonts w:ascii="Gill Sans" w:hAnsi="Gill Sans" w:cs="Gill Sans"/>
                <w:color w:val="000000"/>
                <w:szCs w:val="22"/>
              </w:rPr>
              <w:t xml:space="preserve">They found the learning progressively more difficult but were ‘100% dedicated’ to finishing their degrees. Comments about skills “tended to centre” on writing (p.483) – data from students reflecting on adapting to academic writing – awareness of difficulties = retrospective. This “demonstrate[s] the importance of time to engage with the learning community, which enabled the students to move towards more secure learning identities in their third and fourth years of study. This was an important aspect of the process of ‘becoming’ students and of feeling they had gained membership of the university” (p.484). </w:t>
            </w:r>
          </w:p>
          <w:p w14:paraId="2EB70AF6" w14:textId="77777777" w:rsidR="00076E76" w:rsidRPr="00076E76" w:rsidRDefault="00076E76" w:rsidP="000570AA">
            <w:pPr>
              <w:pStyle w:val="ListParagraph"/>
              <w:numPr>
                <w:ilvl w:val="0"/>
                <w:numId w:val="11"/>
              </w:numPr>
              <w:rPr>
                <w:rFonts w:ascii="Gill Sans" w:hAnsi="Gill Sans" w:cs="Gill Sans"/>
                <w:b/>
                <w:color w:val="000000"/>
                <w:szCs w:val="22"/>
                <w:lang w:val="en-AU"/>
              </w:rPr>
            </w:pPr>
            <w:r w:rsidRPr="00076E76">
              <w:rPr>
                <w:rFonts w:ascii="Gill Sans" w:hAnsi="Gill Sans" w:cs="Gill Sans"/>
                <w:color w:val="000000"/>
                <w:szCs w:val="22"/>
              </w:rPr>
              <w:t xml:space="preserve">Over time students develop critical thinking and get a better view of the ‘bigger picture’ and recognized the importance of the foundations built in first two years. Students able to take ‘intellectual risks’ (Saltmarsh &amp; Saltmarsh, 2008), and “students grappled with the social construction of knowledge and came to realise that there are always competing versions of the truth” (p.485) – see example of student and writing year 1 v. year 3 on p.485. </w:t>
            </w:r>
          </w:p>
          <w:p w14:paraId="77257C8A" w14:textId="08927045" w:rsidR="00076E76" w:rsidRPr="00076E76" w:rsidRDefault="00076E76" w:rsidP="000570AA">
            <w:pPr>
              <w:pStyle w:val="ListParagraph"/>
              <w:numPr>
                <w:ilvl w:val="0"/>
                <w:numId w:val="11"/>
              </w:numPr>
              <w:rPr>
                <w:rFonts w:ascii="Gill Sans" w:hAnsi="Gill Sans" w:cs="Gill Sans"/>
                <w:b/>
                <w:color w:val="000000"/>
                <w:szCs w:val="22"/>
                <w:lang w:val="en-AU"/>
              </w:rPr>
            </w:pPr>
            <w:r w:rsidRPr="00076E76">
              <w:rPr>
                <w:rFonts w:ascii="Gill Sans" w:hAnsi="Gill Sans" w:cs="Gill Sans"/>
                <w:color w:val="000000"/>
                <w:szCs w:val="22"/>
              </w:rPr>
              <w:t xml:space="preserve">Students also develop practical strategies to develop learning identities – feeling established and </w:t>
            </w:r>
            <w:r w:rsidRPr="00076E76">
              <w:rPr>
                <w:rFonts w:ascii="Gill Sans" w:hAnsi="Gill Sans" w:cs="Gill Sans"/>
                <w:color w:val="000000"/>
                <w:szCs w:val="22"/>
              </w:rPr>
              <w:lastRenderedPageBreak/>
              <w:t>accepted: “</w:t>
            </w:r>
            <w:r w:rsidRPr="00076E76">
              <w:rPr>
                <w:rFonts w:ascii="Gill Sans" w:hAnsi="Gill Sans" w:cs="Gill Sans"/>
              </w:rPr>
              <w:t>Taking on an identity as a university student variously involved taking responsibility for managing their own learning, including finding their own learning materials as well as being proactive in creating time and space in which to study” (p.486)</w:t>
            </w:r>
          </w:p>
          <w:p w14:paraId="28DFD8DF" w14:textId="00633E34" w:rsidR="00076E76" w:rsidRPr="00076E76" w:rsidRDefault="00076E76" w:rsidP="000570AA">
            <w:pPr>
              <w:rPr>
                <w:rFonts w:ascii="Gill Sans" w:hAnsi="Gill Sans" w:cs="Gill Sans"/>
                <w:color w:val="000000"/>
                <w:szCs w:val="22"/>
                <w:lang w:val="en-AU"/>
              </w:rPr>
            </w:pPr>
            <w:r w:rsidRPr="00076E76">
              <w:rPr>
                <w:rFonts w:ascii="Gill Sans" w:hAnsi="Gill Sans" w:cs="Gill Sans"/>
                <w:b/>
                <w:color w:val="000000"/>
                <w:szCs w:val="22"/>
                <w:lang w:val="en-AU"/>
              </w:rPr>
              <w:t xml:space="preserve">Core argument: </w:t>
            </w:r>
            <w:r w:rsidRPr="00076E76">
              <w:rPr>
                <w:rFonts w:ascii="Gill Sans" w:hAnsi="Gill Sans" w:cs="Gill Sans"/>
                <w:color w:val="000000"/>
                <w:szCs w:val="22"/>
                <w:lang w:val="en-AU"/>
              </w:rPr>
              <w:t>Learning = more than set of cognitive skills. Students (in this case from FE) have to work hard to make sense of and fit into new learning communities and “</w:t>
            </w:r>
            <w:r w:rsidRPr="00076E76">
              <w:rPr>
                <w:rFonts w:ascii="Gill Sans" w:hAnsi="Gill Sans" w:cs="Gill Sans"/>
                <w:color w:val="000000"/>
                <w:szCs w:val="22"/>
              </w:rPr>
              <w:t>students have to learn, unlearn, and relearn the practices and conventions of the different learning communities they move through” (p.488)</w:t>
            </w:r>
            <w:r w:rsidRPr="00076E76">
              <w:rPr>
                <w:rFonts w:ascii="Gill Sans" w:hAnsi="Gill Sans" w:cs="Gill Sans"/>
                <w:color w:val="000000"/>
                <w:szCs w:val="22"/>
                <w:lang w:val="en-AU"/>
              </w:rPr>
              <w:t>. Learning = ontological process of becoming (see Hirst et al., 2004): “</w:t>
            </w:r>
            <w:r w:rsidRPr="00076E76">
              <w:rPr>
                <w:rFonts w:ascii="Gill Sans" w:hAnsi="Gill Sans" w:cs="Gill Sans"/>
                <w:color w:val="000000"/>
                <w:szCs w:val="22"/>
              </w:rPr>
              <w:t>becoming an independent learner is a dynamic process that occurs within a pedagogical relationship that actively works (or not) to foster the dispositions and qualities that allow the student to engage meaningfully with the curriculum” (p.488).</w:t>
            </w:r>
          </w:p>
        </w:tc>
      </w:tr>
      <w:tr w:rsidR="00076E76" w:rsidRPr="00076E76" w14:paraId="19A54B6A" w14:textId="77777777" w:rsidTr="00080E2C">
        <w:tc>
          <w:tcPr>
            <w:tcW w:w="5529" w:type="dxa"/>
            <w:shd w:val="clear" w:color="auto" w:fill="auto"/>
          </w:tcPr>
          <w:p w14:paraId="737945C2" w14:textId="3630DAA1" w:rsidR="00076E76" w:rsidRPr="00076E76" w:rsidRDefault="00076E76" w:rsidP="002E557C">
            <w:pPr>
              <w:rPr>
                <w:rFonts w:ascii="Gill Sans" w:hAnsi="Gill Sans" w:cs="Gill Sans"/>
                <w:szCs w:val="22"/>
              </w:rPr>
            </w:pPr>
            <w:r w:rsidRPr="00076E76">
              <w:rPr>
                <w:rFonts w:ascii="Gill Sans" w:hAnsi="Gill Sans" w:cs="Gill Sans"/>
                <w:szCs w:val="22"/>
              </w:rPr>
              <w:lastRenderedPageBreak/>
              <w:t xml:space="preserve">Colley, H. (2007). </w:t>
            </w:r>
            <w:hyperlink r:id="rId42" w:history="1">
              <w:r w:rsidRPr="00981A5B">
                <w:rPr>
                  <w:rStyle w:val="Hyperlink"/>
                  <w:rFonts w:ascii="Gill Sans" w:hAnsi="Gill Sans" w:cs="Gill Sans"/>
                  <w:szCs w:val="22"/>
                </w:rPr>
                <w:t xml:space="preserve">Understanding time in learning transitions through the </w:t>
              </w:r>
              <w:proofErr w:type="spellStart"/>
              <w:r w:rsidRPr="00981A5B">
                <w:rPr>
                  <w:rStyle w:val="Hyperlink"/>
                  <w:rFonts w:ascii="Gill Sans" w:hAnsi="Gill Sans" w:cs="Gill Sans"/>
                  <w:szCs w:val="22"/>
                </w:rPr>
                <w:t>lifecourse</w:t>
              </w:r>
              <w:proofErr w:type="spellEnd"/>
            </w:hyperlink>
            <w:r w:rsidRPr="00076E76">
              <w:rPr>
                <w:rFonts w:ascii="Gill Sans" w:hAnsi="Gill Sans" w:cs="Gill Sans"/>
                <w:szCs w:val="22"/>
              </w:rPr>
              <w:t xml:space="preserve">, </w:t>
            </w:r>
            <w:r w:rsidRPr="00076E76">
              <w:rPr>
                <w:rFonts w:ascii="Gill Sans" w:hAnsi="Gill Sans" w:cs="Gill Sans"/>
                <w:i/>
                <w:szCs w:val="22"/>
              </w:rPr>
              <w:t xml:space="preserve">International Studies in Sociology of Education, </w:t>
            </w:r>
            <w:r w:rsidR="00567851">
              <w:rPr>
                <w:rFonts w:ascii="Gill Sans" w:hAnsi="Gill Sans" w:cs="Gill Sans"/>
                <w:szCs w:val="22"/>
              </w:rPr>
              <w:t>17(4), 427–</w:t>
            </w:r>
            <w:r w:rsidRPr="00076E76">
              <w:rPr>
                <w:rFonts w:ascii="Gill Sans" w:hAnsi="Gill Sans" w:cs="Gill Sans"/>
                <w:szCs w:val="22"/>
              </w:rPr>
              <w:t>443.</w:t>
            </w:r>
          </w:p>
          <w:p w14:paraId="75E5FC7D" w14:textId="77777777" w:rsidR="00076E76" w:rsidRPr="00076E76" w:rsidRDefault="00076E76" w:rsidP="002E557C">
            <w:pPr>
              <w:rPr>
                <w:rFonts w:ascii="Gill Sans" w:hAnsi="Gill Sans" w:cs="Gill Sans"/>
                <w:szCs w:val="22"/>
              </w:rPr>
            </w:pPr>
          </w:p>
          <w:p w14:paraId="6585B90E" w14:textId="4C935824" w:rsidR="00076E76" w:rsidRPr="00076E76" w:rsidRDefault="00076E76" w:rsidP="002E557C">
            <w:pPr>
              <w:rPr>
                <w:rFonts w:ascii="Gill Sans" w:hAnsi="Gill Sans" w:cs="Gill Sans"/>
                <w:szCs w:val="22"/>
              </w:rPr>
            </w:pPr>
            <w:r w:rsidRPr="00076E76">
              <w:rPr>
                <w:rFonts w:ascii="Gill Sans" w:hAnsi="Gill Sans" w:cs="Gill Sans"/>
                <w:szCs w:val="22"/>
              </w:rPr>
              <w:t>UK</w:t>
            </w:r>
          </w:p>
          <w:p w14:paraId="7166738D" w14:textId="6A82BC41" w:rsidR="00076E76" w:rsidRPr="00076E76" w:rsidRDefault="00076E76" w:rsidP="000F60CF">
            <w:pPr>
              <w:rPr>
                <w:rFonts w:ascii="Gill Sans" w:hAnsi="Gill Sans" w:cs="Gill Sans"/>
                <w:szCs w:val="22"/>
              </w:rPr>
            </w:pPr>
            <w:r w:rsidRPr="00076E76">
              <w:rPr>
                <w:rFonts w:ascii="Gill Sans" w:hAnsi="Gill Sans" w:cs="Gill Sans"/>
                <w:szCs w:val="22"/>
              </w:rPr>
              <w:t>Annotation by Sally Baker</w:t>
            </w:r>
          </w:p>
          <w:p w14:paraId="4D475CA7" w14:textId="38FA4015" w:rsidR="00076E76" w:rsidRPr="00076E76" w:rsidRDefault="00076E76" w:rsidP="002E557C">
            <w:pPr>
              <w:rPr>
                <w:rFonts w:ascii="Gill Sans" w:hAnsi="Gill Sans" w:cs="Gill Sans"/>
                <w:szCs w:val="22"/>
              </w:rPr>
            </w:pPr>
          </w:p>
        </w:tc>
        <w:tc>
          <w:tcPr>
            <w:tcW w:w="10064" w:type="dxa"/>
          </w:tcPr>
          <w:p w14:paraId="36DDE4CF" w14:textId="2F12332A" w:rsidR="00076E76" w:rsidRPr="00076E76" w:rsidRDefault="00076E76" w:rsidP="002C003E">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sidRPr="00076E76">
              <w:rPr>
                <w:rFonts w:ascii="Gill Sans" w:hAnsi="Gill Sans" w:cs="Gill Sans"/>
                <w:color w:val="000000"/>
                <w:szCs w:val="22"/>
                <w:lang w:val="en-AU"/>
              </w:rPr>
              <w:t xml:space="preserve">Increasing interest in educational transitions for UK/ European policy makers, as well as an important area of inquiry for sociologists of education. Colley argues that in studies of transition, notion of </w:t>
            </w:r>
            <w:r w:rsidRPr="00076E76">
              <w:rPr>
                <w:rFonts w:ascii="Gill Sans" w:hAnsi="Gill Sans" w:cs="Gill Sans"/>
                <w:i/>
                <w:color w:val="000000"/>
                <w:szCs w:val="22"/>
                <w:lang w:val="en-AU"/>
              </w:rPr>
              <w:t>change</w:t>
            </w:r>
            <w:r w:rsidRPr="00076E76">
              <w:rPr>
                <w:rFonts w:ascii="Gill Sans" w:hAnsi="Gill Sans" w:cs="Gill Sans"/>
                <w:color w:val="000000"/>
                <w:szCs w:val="22"/>
                <w:lang w:val="en-AU"/>
              </w:rPr>
              <w:t xml:space="preserve"> has been prioritised over the notion of </w:t>
            </w:r>
            <w:r w:rsidRPr="00076E76">
              <w:rPr>
                <w:rFonts w:ascii="Gill Sans" w:hAnsi="Gill Sans" w:cs="Gill Sans"/>
                <w:i/>
                <w:color w:val="000000"/>
                <w:szCs w:val="22"/>
                <w:lang w:val="en-AU"/>
              </w:rPr>
              <w:t>time</w:t>
            </w:r>
            <w:r w:rsidRPr="00076E76">
              <w:rPr>
                <w:rFonts w:ascii="Gill Sans" w:hAnsi="Gill Sans" w:cs="Gill Sans"/>
                <w:color w:val="000000"/>
                <w:szCs w:val="22"/>
                <w:lang w:val="en-AU"/>
              </w:rPr>
              <w:t xml:space="preserve"> – with much of the literature based on </w:t>
            </w:r>
            <w:proofErr w:type="spellStart"/>
            <w:r w:rsidRPr="00076E76">
              <w:rPr>
                <w:rFonts w:ascii="Gill Sans" w:hAnsi="Gill Sans" w:cs="Gill Sans"/>
                <w:color w:val="000000"/>
                <w:szCs w:val="22"/>
                <w:lang w:val="en-AU"/>
              </w:rPr>
              <w:t>commonsensical</w:t>
            </w:r>
            <w:proofErr w:type="spellEnd"/>
            <w:r w:rsidRPr="00076E76">
              <w:rPr>
                <w:rFonts w:ascii="Gill Sans" w:hAnsi="Gill Sans" w:cs="Gill Sans"/>
                <w:color w:val="000000"/>
                <w:szCs w:val="22"/>
                <w:lang w:val="en-AU"/>
              </w:rPr>
              <w:t xml:space="preserve"> ideas of time (linear, ‘natural flow’). </w:t>
            </w:r>
          </w:p>
          <w:p w14:paraId="6BDEA1EE" w14:textId="4BF8A247" w:rsidR="00076E76" w:rsidRPr="00076E76" w:rsidRDefault="00076E76" w:rsidP="00A54370">
            <w:pPr>
              <w:rPr>
                <w:rFonts w:ascii="Gill Sans" w:hAnsi="Gill Sans" w:cs="Gill Sans"/>
                <w:szCs w:val="22"/>
              </w:rPr>
            </w:pPr>
            <w:r w:rsidRPr="00076E76">
              <w:rPr>
                <w:rFonts w:ascii="Gill Sans" w:hAnsi="Gill Sans" w:cs="Gill Sans"/>
                <w:b/>
                <w:color w:val="000000"/>
                <w:szCs w:val="22"/>
                <w:lang w:val="en-AU"/>
              </w:rPr>
              <w:t xml:space="preserve">Aim: </w:t>
            </w:r>
            <w:r w:rsidRPr="00076E76">
              <w:rPr>
                <w:rFonts w:ascii="Gill Sans" w:hAnsi="Gill Sans" w:cs="Gill Sans"/>
                <w:color w:val="000000"/>
                <w:szCs w:val="22"/>
                <w:lang w:val="en-AU"/>
              </w:rPr>
              <w:t>The paper is “</w:t>
            </w:r>
            <w:r w:rsidRPr="00076E76">
              <w:rPr>
                <w:rFonts w:ascii="Gill Sans" w:hAnsi="Gill Sans" w:cs="Gill Sans"/>
                <w:szCs w:val="22"/>
              </w:rPr>
              <w:t>an attempt both to make visible the social theories of time that tacitly inform much sociological study of learning transitions and to demonstrate the potential of alternative, feminist theories of time to inform radical sociological studies in this field” (p.428).</w:t>
            </w:r>
          </w:p>
          <w:p w14:paraId="32EE6BA5" w14:textId="6462D8E9" w:rsidR="00076E76" w:rsidRPr="00076E76" w:rsidRDefault="00076E76" w:rsidP="00F56B68">
            <w:pPr>
              <w:rPr>
                <w:rFonts w:ascii="Gill Sans" w:hAnsi="Gill Sans" w:cs="Gill Sans"/>
                <w:color w:val="000000"/>
                <w:szCs w:val="22"/>
                <w:lang w:val="en-AU"/>
              </w:rPr>
            </w:pPr>
            <w:r w:rsidRPr="00076E76">
              <w:rPr>
                <w:rFonts w:ascii="Gill Sans" w:hAnsi="Gill Sans" w:cs="Gill Sans"/>
                <w:b/>
                <w:color w:val="000000"/>
                <w:szCs w:val="22"/>
                <w:lang w:val="en-AU"/>
              </w:rPr>
              <w:t xml:space="preserve">Theoretical frame: </w:t>
            </w:r>
            <w:r w:rsidRPr="00076E76">
              <w:rPr>
                <w:rFonts w:ascii="Gill Sans" w:hAnsi="Gill Sans" w:cs="Gill Sans"/>
                <w:color w:val="000000"/>
                <w:szCs w:val="22"/>
                <w:lang w:val="en-AU"/>
              </w:rPr>
              <w:t>Feminist theory/ androcentric thinking/ sociological notions of time</w:t>
            </w:r>
          </w:p>
          <w:p w14:paraId="38CA9FE5" w14:textId="77777777" w:rsidR="00076E76" w:rsidRPr="00076E76" w:rsidRDefault="00076E76" w:rsidP="002C003E">
            <w:pPr>
              <w:rPr>
                <w:rFonts w:ascii="Gill Sans" w:hAnsi="Gill Sans" w:cs="Gill Sans"/>
                <w:color w:val="000000"/>
                <w:szCs w:val="22"/>
                <w:lang w:val="en-AU"/>
              </w:rPr>
            </w:pPr>
            <w:r w:rsidRPr="00076E76">
              <w:rPr>
                <w:rFonts w:ascii="Gill Sans" w:hAnsi="Gill Sans" w:cs="Gill Sans"/>
                <w:color w:val="000000"/>
                <w:szCs w:val="22"/>
                <w:lang w:val="en-AU"/>
              </w:rPr>
              <w:t xml:space="preserve">Author argues that increased attention to transition = increasing individualisation/ neoliberal economic imperatives, resulting in linear thinking around transition. Dominant construction of transition = change over </w:t>
            </w:r>
            <w:proofErr w:type="gramStart"/>
            <w:r w:rsidRPr="00076E76">
              <w:rPr>
                <w:rFonts w:ascii="Gill Sans" w:hAnsi="Gill Sans" w:cs="Gill Sans"/>
                <w:color w:val="000000"/>
                <w:szCs w:val="22"/>
                <w:lang w:val="en-AU"/>
              </w:rPr>
              <w:t>time“ (</w:t>
            </w:r>
            <w:proofErr w:type="gramEnd"/>
            <w:r w:rsidRPr="00076E76">
              <w:rPr>
                <w:rFonts w:ascii="Gill Sans" w:hAnsi="Gill Sans" w:cs="Gill Sans"/>
                <w:color w:val="000000"/>
                <w:szCs w:val="22"/>
                <w:lang w:val="en-AU"/>
              </w:rPr>
              <w:t>p.428).</w:t>
            </w:r>
          </w:p>
          <w:p w14:paraId="5064E9AF" w14:textId="77777777" w:rsidR="00076E76" w:rsidRPr="00076E76" w:rsidRDefault="00076E76" w:rsidP="002C003E">
            <w:pPr>
              <w:rPr>
                <w:rFonts w:ascii="Gill Sans" w:hAnsi="Gill Sans" w:cs="Gill Sans"/>
                <w:color w:val="000000"/>
                <w:szCs w:val="22"/>
                <w:lang w:val="en-AU"/>
              </w:rPr>
            </w:pPr>
            <w:r w:rsidRPr="00076E76">
              <w:rPr>
                <w:rFonts w:ascii="Gill Sans" w:hAnsi="Gill Sans" w:cs="Gill Sans"/>
                <w:color w:val="000000"/>
                <w:szCs w:val="22"/>
                <w:lang w:val="en-AU"/>
              </w:rPr>
              <w:t>Colley reports Ecclestone (2006), which outlines 4 different conceptions of transitions in policy/ academic literature:</w:t>
            </w:r>
          </w:p>
          <w:p w14:paraId="4A65C214" w14:textId="61AD0781" w:rsidR="00076E76" w:rsidRPr="00076E76" w:rsidRDefault="00076E76" w:rsidP="002C003E">
            <w:pPr>
              <w:pStyle w:val="ListParagraph"/>
              <w:numPr>
                <w:ilvl w:val="0"/>
                <w:numId w:val="27"/>
              </w:numPr>
              <w:rPr>
                <w:rFonts w:ascii="Gill Sans" w:hAnsi="Gill Sans" w:cs="Gill Sans"/>
                <w:color w:val="000000"/>
                <w:szCs w:val="22"/>
              </w:rPr>
            </w:pPr>
            <w:r w:rsidRPr="00076E76">
              <w:rPr>
                <w:rFonts w:ascii="Gill Sans" w:hAnsi="Gill Sans" w:cs="Gill Sans"/>
                <w:color w:val="000000"/>
                <w:szCs w:val="22"/>
                <w:lang w:val="en-AU"/>
              </w:rPr>
              <w:t>Institutional transitions (dominant in policy and policy-related literature), which “</w:t>
            </w:r>
            <w:r w:rsidRPr="00076E76">
              <w:rPr>
                <w:rFonts w:ascii="Gill Sans" w:hAnsi="Gill Sans" w:cs="Gill Sans"/>
                <w:color w:val="000000"/>
                <w:szCs w:val="22"/>
              </w:rPr>
              <w:t>promote[s] a highly teleological notion of ‘progression’ as a linear trajectory onward and upward, and [policy makers/ employers] increasingly deflect responsibility onto the individual for learning and furthering their own career development” (p.429). Punitive approach</w:t>
            </w:r>
          </w:p>
          <w:p w14:paraId="3CD35B7F" w14:textId="5C36CE58" w:rsidR="00076E76" w:rsidRPr="00076E76" w:rsidRDefault="00076E76" w:rsidP="002C003E">
            <w:pPr>
              <w:pStyle w:val="ListParagraph"/>
              <w:numPr>
                <w:ilvl w:val="0"/>
                <w:numId w:val="27"/>
              </w:numPr>
              <w:rPr>
                <w:rFonts w:ascii="Gill Sans" w:hAnsi="Gill Sans" w:cs="Gill Sans"/>
                <w:color w:val="000000"/>
                <w:szCs w:val="22"/>
                <w:lang w:val="en-AU"/>
              </w:rPr>
            </w:pPr>
            <w:r w:rsidRPr="00076E76">
              <w:rPr>
                <w:rFonts w:ascii="Gill Sans" w:hAnsi="Gill Sans" w:cs="Gill Sans"/>
                <w:color w:val="000000"/>
                <w:szCs w:val="22"/>
                <w:lang w:val="en-AU"/>
              </w:rPr>
              <w:t>Institutional/ layered transitions, where ‘contextual change’ may occur in same time frame; may involve changes in socially regulated identities (transitions = products of social institutions/ produced by social expectations – Ecclestone, 2006). Reparative approach</w:t>
            </w:r>
          </w:p>
          <w:p w14:paraId="1369F600" w14:textId="77777777" w:rsidR="00076E76" w:rsidRPr="00076E76" w:rsidRDefault="00076E76" w:rsidP="002C003E">
            <w:pPr>
              <w:pStyle w:val="ListParagraph"/>
              <w:numPr>
                <w:ilvl w:val="0"/>
                <w:numId w:val="27"/>
              </w:numPr>
              <w:rPr>
                <w:rFonts w:ascii="Gill Sans" w:hAnsi="Gill Sans" w:cs="Gill Sans"/>
                <w:color w:val="000000"/>
                <w:szCs w:val="22"/>
                <w:lang w:val="en-AU"/>
              </w:rPr>
            </w:pPr>
            <w:r w:rsidRPr="00076E76">
              <w:rPr>
                <w:rFonts w:ascii="Gill Sans" w:hAnsi="Gill Sans" w:cs="Gill Sans"/>
                <w:color w:val="000000"/>
                <w:szCs w:val="22"/>
                <w:lang w:val="en-AU"/>
              </w:rPr>
              <w:t xml:space="preserve">Individual and collective transitions: agency and structure at ‘turning points’ – shift in thinking from life cycle to </w:t>
            </w:r>
            <w:proofErr w:type="spellStart"/>
            <w:r w:rsidRPr="00076E76">
              <w:rPr>
                <w:rFonts w:ascii="Gill Sans" w:hAnsi="Gill Sans" w:cs="Gill Sans"/>
                <w:color w:val="000000"/>
                <w:szCs w:val="22"/>
                <w:lang w:val="en-AU"/>
              </w:rPr>
              <w:t>lifecourse</w:t>
            </w:r>
            <w:proofErr w:type="spellEnd"/>
            <w:r w:rsidRPr="00076E76">
              <w:rPr>
                <w:rFonts w:ascii="Gill Sans" w:hAnsi="Gill Sans" w:cs="Gill Sans"/>
                <w:color w:val="000000"/>
                <w:szCs w:val="22"/>
                <w:lang w:val="en-AU"/>
              </w:rPr>
              <w:t xml:space="preserve">, with </w:t>
            </w:r>
            <w:proofErr w:type="spellStart"/>
            <w:r w:rsidRPr="00076E76">
              <w:rPr>
                <w:rFonts w:ascii="Gill Sans" w:hAnsi="Gill Sans" w:cs="Gill Sans"/>
                <w:color w:val="000000"/>
                <w:szCs w:val="22"/>
                <w:lang w:val="en-AU"/>
              </w:rPr>
              <w:t>lifecourse</w:t>
            </w:r>
            <w:proofErr w:type="spellEnd"/>
            <w:r w:rsidRPr="00076E76">
              <w:rPr>
                <w:rFonts w:ascii="Gill Sans" w:hAnsi="Gill Sans" w:cs="Gill Sans"/>
                <w:color w:val="000000"/>
                <w:szCs w:val="22"/>
                <w:lang w:val="en-AU"/>
              </w:rPr>
              <w:t xml:space="preserve"> analysis emphasising wider, messy interrelationships between family, home, study, work, and historical time. </w:t>
            </w:r>
          </w:p>
          <w:p w14:paraId="630F0FD3" w14:textId="77777777" w:rsidR="00076E76" w:rsidRPr="00076E76" w:rsidRDefault="00076E76" w:rsidP="002C003E">
            <w:pPr>
              <w:pStyle w:val="ListParagraph"/>
              <w:numPr>
                <w:ilvl w:val="0"/>
                <w:numId w:val="27"/>
              </w:numPr>
              <w:rPr>
                <w:rFonts w:ascii="Gill Sans" w:hAnsi="Gill Sans" w:cs="Gill Sans"/>
                <w:color w:val="000000"/>
                <w:szCs w:val="22"/>
                <w:lang w:val="en-AU"/>
              </w:rPr>
            </w:pPr>
            <w:r w:rsidRPr="00076E76">
              <w:rPr>
                <w:rFonts w:ascii="Gill Sans" w:hAnsi="Gill Sans" w:cs="Gill Sans"/>
                <w:color w:val="000000"/>
                <w:szCs w:val="22"/>
                <w:lang w:val="en-AU"/>
              </w:rPr>
              <w:lastRenderedPageBreak/>
              <w:t>Life-as-transition = ‘permanent state of becoming’ (Ecclestone, 2006); always ‘lost in transition’ as ‘a condition of our subjectivity’ (Quinn, 2006).</w:t>
            </w:r>
          </w:p>
          <w:p w14:paraId="53DF09D6" w14:textId="77777777" w:rsidR="00076E76" w:rsidRPr="00076E76" w:rsidRDefault="00076E76" w:rsidP="002C003E">
            <w:pPr>
              <w:rPr>
                <w:rFonts w:ascii="Gill Sans" w:hAnsi="Gill Sans" w:cs="Gill Sans"/>
                <w:color w:val="000000"/>
                <w:szCs w:val="22"/>
              </w:rPr>
            </w:pPr>
            <w:r w:rsidRPr="00076E76">
              <w:rPr>
                <w:rFonts w:ascii="Gill Sans" w:hAnsi="Gill Sans" w:cs="Gill Sans"/>
                <w:color w:val="000000"/>
                <w:szCs w:val="22"/>
                <w:lang w:val="en-AU"/>
              </w:rPr>
              <w:t xml:space="preserve">Conceptualisations of time: ‘dualistic binary’ of social and natural time: sequential, linear – interplay of memory and anticipation (Augustine) or a priori element of consciousness (Kant) v. natural/ observable/ physical sciences. Author notes how assumed natural elements of ‘clock time’ = socially constructed through timetables, schedules (see Foucault, 1991). Author notes work of </w:t>
            </w:r>
            <w:proofErr w:type="spellStart"/>
            <w:r w:rsidRPr="00076E76">
              <w:rPr>
                <w:rFonts w:ascii="Gill Sans" w:hAnsi="Gill Sans" w:cs="Gill Sans"/>
                <w:color w:val="000000"/>
                <w:szCs w:val="22"/>
                <w:lang w:val="en-AU"/>
              </w:rPr>
              <w:t>Turetzky</w:t>
            </w:r>
            <w:proofErr w:type="spellEnd"/>
            <w:r w:rsidRPr="00076E76">
              <w:rPr>
                <w:rFonts w:ascii="Gill Sans" w:hAnsi="Gill Sans" w:cs="Gill Sans"/>
                <w:color w:val="000000"/>
                <w:szCs w:val="22"/>
                <w:lang w:val="en-AU"/>
              </w:rPr>
              <w:t xml:space="preserve"> (1998), whose work “</w:t>
            </w:r>
            <w:r w:rsidRPr="00076E76">
              <w:rPr>
                <w:rFonts w:ascii="Gill Sans" w:hAnsi="Gill Sans" w:cs="Gill Sans"/>
                <w:color w:val="000000"/>
                <w:szCs w:val="22"/>
              </w:rPr>
              <w:t xml:space="preserve">treats time as a triadic phenomenon: opening up the present to split the past from the future and, in doing so, allowing for ever-new </w:t>
            </w:r>
            <w:proofErr w:type="spellStart"/>
            <w:r w:rsidRPr="00076E76">
              <w:rPr>
                <w:rFonts w:ascii="Gill Sans" w:hAnsi="Gill Sans" w:cs="Gill Sans"/>
                <w:color w:val="000000"/>
                <w:szCs w:val="22"/>
              </w:rPr>
              <w:t>becomings</w:t>
            </w:r>
            <w:proofErr w:type="spellEnd"/>
            <w:r w:rsidRPr="00076E76">
              <w:rPr>
                <w:rFonts w:ascii="Gill Sans" w:hAnsi="Gill Sans" w:cs="Gill Sans"/>
                <w:color w:val="000000"/>
                <w:szCs w:val="22"/>
              </w:rPr>
              <w:t xml:space="preserve">” (p.431). </w:t>
            </w:r>
            <w:proofErr w:type="spellStart"/>
            <w:r w:rsidRPr="00076E76">
              <w:rPr>
                <w:rFonts w:ascii="Gill Sans" w:hAnsi="Gill Sans" w:cs="Gill Sans"/>
                <w:color w:val="000000"/>
                <w:szCs w:val="22"/>
              </w:rPr>
              <w:t>Biesta</w:t>
            </w:r>
            <w:proofErr w:type="spellEnd"/>
            <w:r w:rsidRPr="00076E76">
              <w:rPr>
                <w:rFonts w:ascii="Gill Sans" w:hAnsi="Gill Sans" w:cs="Gill Sans"/>
                <w:color w:val="000000"/>
                <w:szCs w:val="22"/>
              </w:rPr>
              <w:t xml:space="preserve"> &amp; Tedder (2006) make rare use of triadic flow-view of time, arguing that “human agency exists as series of changing orientations to its triadic elements:</w:t>
            </w:r>
          </w:p>
          <w:p w14:paraId="2E893E12" w14:textId="77777777" w:rsidR="00076E76" w:rsidRPr="00076E76" w:rsidRDefault="00076E76" w:rsidP="002C003E">
            <w:pPr>
              <w:rPr>
                <w:rFonts w:ascii="Gill Sans" w:hAnsi="Gill Sans" w:cs="Gill Sans"/>
                <w:color w:val="000000"/>
                <w:szCs w:val="22"/>
              </w:rPr>
            </w:pPr>
            <w:r w:rsidRPr="00076E76">
              <w:rPr>
                <w:rFonts w:ascii="Gill Sans" w:hAnsi="Gill Sans" w:cs="Gill Sans"/>
                <w:color w:val="000000"/>
                <w:szCs w:val="22"/>
              </w:rPr>
              <w:t xml:space="preserve">- </w:t>
            </w:r>
            <w:proofErr w:type="spellStart"/>
            <w:r w:rsidRPr="00076E76">
              <w:rPr>
                <w:rFonts w:ascii="Gill Sans" w:hAnsi="Gill Sans" w:cs="Gill Sans"/>
                <w:color w:val="000000"/>
                <w:szCs w:val="22"/>
              </w:rPr>
              <w:t>iterational</w:t>
            </w:r>
            <w:proofErr w:type="spellEnd"/>
            <w:r w:rsidRPr="00076E76">
              <w:rPr>
                <w:rFonts w:ascii="Gill Sans" w:hAnsi="Gill Sans" w:cs="Gill Sans"/>
                <w:color w:val="000000"/>
                <w:szCs w:val="22"/>
              </w:rPr>
              <w:t xml:space="preserve"> orientations to influences from the past</w:t>
            </w:r>
          </w:p>
          <w:p w14:paraId="621EFE85" w14:textId="77777777" w:rsidR="00076E76" w:rsidRPr="00076E76" w:rsidRDefault="00076E76" w:rsidP="002C003E">
            <w:pPr>
              <w:rPr>
                <w:rFonts w:ascii="Gill Sans" w:hAnsi="Gill Sans" w:cs="Gill Sans"/>
                <w:color w:val="000000"/>
                <w:szCs w:val="22"/>
              </w:rPr>
            </w:pPr>
            <w:r w:rsidRPr="00076E76">
              <w:rPr>
                <w:rFonts w:ascii="Gill Sans" w:hAnsi="Gill Sans" w:cs="Gill Sans"/>
                <w:color w:val="000000"/>
                <w:szCs w:val="22"/>
              </w:rPr>
              <w:t>- projective orientations to future possibilities</w:t>
            </w:r>
          </w:p>
          <w:p w14:paraId="5A17272E" w14:textId="77777777" w:rsidR="00076E76" w:rsidRPr="00076E76" w:rsidRDefault="00076E76" w:rsidP="002C003E">
            <w:pPr>
              <w:rPr>
                <w:rFonts w:ascii="Gill Sans" w:hAnsi="Gill Sans" w:cs="Gill Sans"/>
                <w:color w:val="000000"/>
                <w:szCs w:val="22"/>
              </w:rPr>
            </w:pPr>
            <w:r w:rsidRPr="00076E76">
              <w:rPr>
                <w:rFonts w:ascii="Gill Sans" w:hAnsi="Gill Sans" w:cs="Gill Sans"/>
                <w:color w:val="000000"/>
                <w:szCs w:val="22"/>
              </w:rPr>
              <w:t xml:space="preserve">- practical-evaluative orientations to engagement with the present” (p.431). </w:t>
            </w:r>
          </w:p>
          <w:p w14:paraId="4546FB02" w14:textId="77777777" w:rsidR="00076E76" w:rsidRPr="00076E76" w:rsidRDefault="00076E76" w:rsidP="002C003E">
            <w:pPr>
              <w:rPr>
                <w:rFonts w:ascii="Gill Sans" w:hAnsi="Gill Sans" w:cs="Gill Sans"/>
                <w:color w:val="000000"/>
                <w:szCs w:val="22"/>
                <w:lang w:val="en-AU"/>
              </w:rPr>
            </w:pPr>
            <w:proofErr w:type="spellStart"/>
            <w:r w:rsidRPr="00076E76">
              <w:rPr>
                <w:rFonts w:ascii="Gill Sans" w:hAnsi="Gill Sans" w:cs="Gill Sans"/>
                <w:color w:val="000000"/>
                <w:szCs w:val="22"/>
              </w:rPr>
              <w:t>Biesta</w:t>
            </w:r>
            <w:proofErr w:type="spellEnd"/>
            <w:r w:rsidRPr="00076E76">
              <w:rPr>
                <w:rFonts w:ascii="Gill Sans" w:hAnsi="Gill Sans" w:cs="Gill Sans"/>
                <w:color w:val="000000"/>
                <w:szCs w:val="22"/>
              </w:rPr>
              <w:t xml:space="preserve"> &amp; Tedder (2006) = argue, “that we need to understand how the flow of time and different temporal contexts support particular orientations and enable possible ways of acting” (p.432).</w:t>
            </w:r>
          </w:p>
          <w:p w14:paraId="6841A101" w14:textId="5E1E879A" w:rsidR="00076E76" w:rsidRPr="00076E76" w:rsidRDefault="00076E76" w:rsidP="000568E9">
            <w:pPr>
              <w:rPr>
                <w:rFonts w:ascii="Gill Sans" w:hAnsi="Gill Sans" w:cs="Gill Sans"/>
                <w:color w:val="000000"/>
                <w:szCs w:val="22"/>
              </w:rPr>
            </w:pPr>
            <w:r w:rsidRPr="00076E76">
              <w:rPr>
                <w:rFonts w:ascii="Gill Sans" w:hAnsi="Gill Sans" w:cs="Gill Sans"/>
                <w:color w:val="000000"/>
                <w:szCs w:val="22"/>
                <w:lang w:val="en-AU"/>
              </w:rPr>
              <w:t>Bourdieu’s (1992) notion of practice = act of temporalisation: “</w:t>
            </w:r>
            <w:r w:rsidRPr="00076E76">
              <w:rPr>
                <w:rFonts w:ascii="Gill Sans" w:hAnsi="Gill Sans" w:cs="Gill Sans"/>
                <w:color w:val="000000"/>
                <w:szCs w:val="22"/>
              </w:rPr>
              <w:t xml:space="preserve">Practice anticipates the regularities and tendencies that are immanent in our social world, the future inscribed in the immediacy of the present and implied by the past that has produced our habitus” (p.432). Field and habitus = modes of existence of history. Adams (e.g. 1995) = argues that perceptions/ experiences of time. Linear, irreversible view of time = patriarchal view of time; non-essentialist feminist theory of time is </w:t>
            </w:r>
            <w:proofErr w:type="gramStart"/>
            <w:r w:rsidRPr="00076E76">
              <w:rPr>
                <w:rFonts w:ascii="Gill Sans" w:hAnsi="Gill Sans" w:cs="Gill Sans"/>
                <w:color w:val="000000"/>
                <w:szCs w:val="22"/>
              </w:rPr>
              <w:t>needed  (</w:t>
            </w:r>
            <w:proofErr w:type="gramEnd"/>
            <w:r w:rsidRPr="00076E76">
              <w:rPr>
                <w:rFonts w:ascii="Gill Sans" w:hAnsi="Gill Sans" w:cs="Gill Sans"/>
                <w:color w:val="000000"/>
                <w:szCs w:val="22"/>
              </w:rPr>
              <w:t>see table on p.434)</w:t>
            </w:r>
          </w:p>
          <w:p w14:paraId="7FA476AC" w14:textId="73577211" w:rsidR="00076E76" w:rsidRPr="00076E76" w:rsidRDefault="00076E76" w:rsidP="00F56B68">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 xml:space="preserve">Applies theoretical lens to </w:t>
            </w:r>
            <w:proofErr w:type="spellStart"/>
            <w:r w:rsidRPr="00076E76">
              <w:rPr>
                <w:rFonts w:ascii="Gill Sans" w:hAnsi="Gill Sans" w:cs="Gill Sans"/>
                <w:color w:val="000000"/>
                <w:szCs w:val="22"/>
                <w:lang w:val="en-AU"/>
              </w:rPr>
              <w:t>Mojab’s</w:t>
            </w:r>
            <w:proofErr w:type="spellEnd"/>
            <w:r w:rsidRPr="00076E76">
              <w:rPr>
                <w:rFonts w:ascii="Gill Sans" w:hAnsi="Gill Sans" w:cs="Gill Sans"/>
                <w:color w:val="000000"/>
                <w:szCs w:val="22"/>
                <w:lang w:val="en-AU"/>
              </w:rPr>
              <w:t xml:space="preserve"> (2006) study of Kurdish women in Sweden</w:t>
            </w:r>
          </w:p>
          <w:p w14:paraId="7CBFF434" w14:textId="77777777" w:rsidR="00076E76" w:rsidRPr="00076E76" w:rsidRDefault="00076E76" w:rsidP="00F56B68">
            <w:pPr>
              <w:rPr>
                <w:rFonts w:ascii="Gill Sans" w:hAnsi="Gill Sans" w:cs="Gill Sans"/>
                <w:b/>
                <w:color w:val="000000"/>
                <w:szCs w:val="22"/>
                <w:lang w:val="en-AU"/>
              </w:rPr>
            </w:pPr>
            <w:r w:rsidRPr="00076E76">
              <w:rPr>
                <w:rFonts w:ascii="Gill Sans" w:hAnsi="Gill Sans" w:cs="Gill Sans"/>
                <w:b/>
                <w:color w:val="000000"/>
                <w:szCs w:val="22"/>
                <w:lang w:val="en-AU"/>
              </w:rPr>
              <w:t xml:space="preserve">Findings: </w:t>
            </w:r>
          </w:p>
          <w:p w14:paraId="5C08A399" w14:textId="77777777" w:rsidR="00076E76" w:rsidRPr="00076E76" w:rsidRDefault="00076E76" w:rsidP="00F56B68">
            <w:pPr>
              <w:rPr>
                <w:rFonts w:ascii="Gill Sans" w:hAnsi="Gill Sans" w:cs="Gill Sans"/>
                <w:color w:val="000000"/>
                <w:szCs w:val="22"/>
                <w:lang w:val="en-AU"/>
              </w:rPr>
            </w:pPr>
            <w:r w:rsidRPr="00076E76">
              <w:rPr>
                <w:rFonts w:ascii="Gill Sans" w:hAnsi="Gill Sans" w:cs="Gill Sans"/>
                <w:color w:val="000000"/>
                <w:szCs w:val="22"/>
                <w:lang w:val="en-AU"/>
              </w:rPr>
              <w:t>Describes lack of recognition of prior learning, knowledges, skills. Learning for many women = low level, work-focused training = represents a form of “traumatic violence” (p.436). Women’s experiences of such symbolic and traumatic violence = compounded by deeply patriarchal Kurdish culture.</w:t>
            </w:r>
          </w:p>
          <w:p w14:paraId="4D45A12D" w14:textId="77777777" w:rsidR="00076E76" w:rsidRPr="00076E76" w:rsidRDefault="00076E76" w:rsidP="00F56B68">
            <w:pPr>
              <w:rPr>
                <w:rFonts w:ascii="Gill Sans" w:hAnsi="Gill Sans" w:cs="Gill Sans"/>
                <w:color w:val="000000"/>
                <w:szCs w:val="22"/>
                <w:lang w:val="en-AU"/>
              </w:rPr>
            </w:pPr>
            <w:proofErr w:type="spellStart"/>
            <w:r w:rsidRPr="00076E76">
              <w:rPr>
                <w:rFonts w:ascii="Gill Sans" w:hAnsi="Gill Sans" w:cs="Gill Sans"/>
                <w:color w:val="000000"/>
                <w:szCs w:val="22"/>
                <w:lang w:val="en-AU"/>
              </w:rPr>
              <w:t>Mojab</w:t>
            </w:r>
            <w:proofErr w:type="spellEnd"/>
            <w:r w:rsidRPr="00076E76">
              <w:rPr>
                <w:rFonts w:ascii="Gill Sans" w:hAnsi="Gill Sans" w:cs="Gill Sans"/>
                <w:color w:val="000000"/>
                <w:szCs w:val="22"/>
                <w:lang w:val="en-AU"/>
              </w:rPr>
              <w:t xml:space="preserve"> conceptualises the temporal aspect of these women’s experiences as ‘Closure-Opening-Closure’ dialectical cycle (see p.438), although author argues that the cyclical metaphor = too simplistic, and suggests that a rhizomatic movement could better depict the ‘web of contradictions’</w:t>
            </w:r>
          </w:p>
          <w:p w14:paraId="3BBEF9DC" w14:textId="77777777" w:rsidR="00076E76" w:rsidRPr="00076E76" w:rsidRDefault="00076E76" w:rsidP="006C4BE5">
            <w:pPr>
              <w:rPr>
                <w:rFonts w:ascii="Gill Sans" w:hAnsi="Gill Sans" w:cs="Gill Sans"/>
                <w:color w:val="000000"/>
                <w:szCs w:val="22"/>
              </w:rPr>
            </w:pPr>
            <w:r w:rsidRPr="00076E76">
              <w:rPr>
                <w:rFonts w:ascii="Gill Sans" w:hAnsi="Gill Sans" w:cs="Gill Sans"/>
                <w:color w:val="000000"/>
                <w:szCs w:val="22"/>
                <w:lang w:val="en-AU"/>
              </w:rPr>
              <w:t>Refugee specific question: “</w:t>
            </w:r>
            <w:r w:rsidRPr="00076E76">
              <w:rPr>
                <w:rFonts w:ascii="Gill Sans" w:hAnsi="Gill Sans" w:cs="Gill Sans"/>
                <w:color w:val="000000"/>
                <w:szCs w:val="22"/>
              </w:rPr>
              <w:t>What might it mean to have been uprooted by war, to find one’s possibilities for action and one’s learning denied rather than renewed, in a context where one’s life has been dedicated to the struggle for a homeland that is occupied, partitioned and oppressed?” (p.438).</w:t>
            </w:r>
          </w:p>
          <w:p w14:paraId="78FE489B" w14:textId="6D5955A0" w:rsidR="00076E76" w:rsidRPr="00076E76" w:rsidRDefault="00076E76" w:rsidP="00D62C0F">
            <w:pPr>
              <w:rPr>
                <w:rFonts w:ascii="Gill Sans" w:hAnsi="Gill Sans" w:cs="Gill Sans"/>
                <w:color w:val="000000"/>
                <w:szCs w:val="22"/>
              </w:rPr>
            </w:pPr>
            <w:r w:rsidRPr="00076E76">
              <w:rPr>
                <w:rFonts w:ascii="Gill Sans" w:hAnsi="Gill Sans" w:cs="Gill Sans"/>
                <w:color w:val="000000"/>
                <w:szCs w:val="22"/>
              </w:rPr>
              <w:t>Colley analyses transitions at different scales of time and place: epochs, periods of time/ geographic locations, micro-individual level</w:t>
            </w:r>
            <w:r w:rsidRPr="00076E76">
              <w:rPr>
                <w:rFonts w:ascii="Gill Sans" w:hAnsi="Gill Sans" w:cs="Gill Sans"/>
                <w:b/>
                <w:color w:val="000000"/>
                <w:szCs w:val="22"/>
                <w:lang w:val="en-AU"/>
              </w:rPr>
              <w:br/>
            </w:r>
            <w:r w:rsidRPr="00076E76">
              <w:rPr>
                <w:rFonts w:ascii="Gill Sans" w:hAnsi="Gill Sans" w:cs="Gill Sans"/>
                <w:b/>
                <w:color w:val="000000"/>
                <w:szCs w:val="22"/>
                <w:lang w:val="en-AU"/>
              </w:rPr>
              <w:lastRenderedPageBreak/>
              <w:t xml:space="preserve">Core argument: </w:t>
            </w:r>
            <w:r w:rsidRPr="00076E76">
              <w:rPr>
                <w:rFonts w:ascii="Gill Sans" w:hAnsi="Gill Sans" w:cs="Gill Sans"/>
                <w:color w:val="000000"/>
                <w:szCs w:val="22"/>
                <w:lang w:val="en-AU"/>
              </w:rPr>
              <w:t xml:space="preserve">Dualistic conceptions of time = unhelpful for describing the experiences of the women in </w:t>
            </w:r>
            <w:proofErr w:type="spellStart"/>
            <w:r w:rsidRPr="00076E76">
              <w:rPr>
                <w:rFonts w:ascii="Gill Sans" w:hAnsi="Gill Sans" w:cs="Gill Sans"/>
                <w:color w:val="000000"/>
                <w:szCs w:val="22"/>
                <w:lang w:val="en-AU"/>
              </w:rPr>
              <w:t>Mojab’s</w:t>
            </w:r>
            <w:proofErr w:type="spellEnd"/>
            <w:r w:rsidRPr="00076E76">
              <w:rPr>
                <w:rFonts w:ascii="Gill Sans" w:hAnsi="Gill Sans" w:cs="Gill Sans"/>
                <w:color w:val="000000"/>
                <w:szCs w:val="22"/>
                <w:lang w:val="en-AU"/>
              </w:rPr>
              <w:t xml:space="preserve"> study. Study makes contribution by foregrounding both aspects of time, and viewing them in relation to each other  [in context of change]; a “</w:t>
            </w:r>
            <w:r w:rsidRPr="00076E76">
              <w:rPr>
                <w:rFonts w:ascii="Gill Sans" w:hAnsi="Gill Sans" w:cs="Gill Sans"/>
                <w:color w:val="000000"/>
                <w:szCs w:val="22"/>
              </w:rPr>
              <w:t>more critical, feminist analysis might read these life histories by paraphrasing the terms of Marx: as women making history, but not in conditions of their own making, and only succeeding when they are able to be conscious of themselves as a gender and engage in collective struggle” (p.440)</w:t>
            </w:r>
          </w:p>
          <w:p w14:paraId="5D2DB634" w14:textId="55A54F5B" w:rsidR="00076E76" w:rsidRPr="00076E76" w:rsidRDefault="00076E76" w:rsidP="00454505">
            <w:pPr>
              <w:rPr>
                <w:rFonts w:ascii="Gill Sans" w:hAnsi="Gill Sans" w:cs="Gill Sans"/>
                <w:color w:val="000000"/>
                <w:szCs w:val="22"/>
              </w:rPr>
            </w:pPr>
            <w:r w:rsidRPr="00076E76">
              <w:rPr>
                <w:rFonts w:ascii="Gill Sans" w:hAnsi="Gill Sans" w:cs="Gill Sans"/>
                <w:color w:val="000000"/>
                <w:szCs w:val="22"/>
              </w:rPr>
              <w:t>Transitions “may then be viewed as a process of change in particular times, that is to say, in particular epochs,</w:t>
            </w:r>
          </w:p>
          <w:p w14:paraId="45BA5D97" w14:textId="16CE2D7F" w:rsidR="00076E76" w:rsidRPr="00076E76" w:rsidRDefault="00076E76" w:rsidP="00454505">
            <w:pPr>
              <w:rPr>
                <w:rFonts w:ascii="Gill Sans" w:hAnsi="Gill Sans" w:cs="Gill Sans"/>
                <w:color w:val="000000"/>
                <w:szCs w:val="22"/>
                <w:lang w:val="en-AU"/>
              </w:rPr>
            </w:pPr>
            <w:r w:rsidRPr="00076E76">
              <w:rPr>
                <w:rFonts w:ascii="Gill Sans" w:hAnsi="Gill Sans" w:cs="Gill Sans"/>
                <w:color w:val="000000"/>
                <w:szCs w:val="22"/>
              </w:rPr>
              <w:t xml:space="preserve">periods or moments, and mediated by the gendered, </w:t>
            </w:r>
            <w:proofErr w:type="spellStart"/>
            <w:r w:rsidRPr="00076E76">
              <w:rPr>
                <w:rFonts w:ascii="Gill Sans" w:hAnsi="Gill Sans" w:cs="Gill Sans"/>
                <w:color w:val="000000"/>
                <w:szCs w:val="22"/>
              </w:rPr>
              <w:t>racialised</w:t>
            </w:r>
            <w:proofErr w:type="spellEnd"/>
            <w:r w:rsidRPr="00076E76">
              <w:rPr>
                <w:rFonts w:ascii="Gill Sans" w:hAnsi="Gill Sans" w:cs="Gill Sans"/>
                <w:color w:val="000000"/>
                <w:szCs w:val="22"/>
              </w:rPr>
              <w:t xml:space="preserve"> and classed practices which engender those times” (p.440).</w:t>
            </w:r>
          </w:p>
        </w:tc>
      </w:tr>
      <w:tr w:rsidR="00076E76" w:rsidRPr="00076E76" w14:paraId="604DA063" w14:textId="77777777" w:rsidTr="00080E2C">
        <w:tc>
          <w:tcPr>
            <w:tcW w:w="5529" w:type="dxa"/>
            <w:shd w:val="clear" w:color="auto" w:fill="auto"/>
          </w:tcPr>
          <w:p w14:paraId="66F75893" w14:textId="193DFF18" w:rsidR="00076E76" w:rsidRPr="00076E76" w:rsidRDefault="00076E76" w:rsidP="002E557C">
            <w:pPr>
              <w:rPr>
                <w:rFonts w:ascii="Gill Sans" w:hAnsi="Gill Sans" w:cs="Gill Sans"/>
                <w:szCs w:val="22"/>
              </w:rPr>
            </w:pPr>
            <w:proofErr w:type="gramStart"/>
            <w:r w:rsidRPr="00076E76">
              <w:rPr>
                <w:rFonts w:ascii="Gill Sans" w:hAnsi="Gill Sans" w:cs="Gill Sans"/>
                <w:szCs w:val="22"/>
              </w:rPr>
              <w:lastRenderedPageBreak/>
              <w:t>Crafter,</w:t>
            </w:r>
            <w:proofErr w:type="gramEnd"/>
            <w:r w:rsidRPr="00076E76">
              <w:rPr>
                <w:rFonts w:ascii="Gill Sans" w:hAnsi="Gill Sans" w:cs="Gill Sans"/>
                <w:szCs w:val="22"/>
              </w:rPr>
              <w:t xml:space="preserve"> S. &amp; Maunder, R. (2012).  </w:t>
            </w:r>
            <w:hyperlink r:id="rId43" w:history="1">
              <w:r w:rsidRPr="00981A5B">
                <w:rPr>
                  <w:rStyle w:val="Hyperlink"/>
                  <w:rFonts w:ascii="Gill Sans" w:hAnsi="Gill Sans" w:cs="Gill Sans"/>
                  <w:szCs w:val="22"/>
                </w:rPr>
                <w:t>Understanding transitions using a sociocultural framework</w:t>
              </w:r>
            </w:hyperlink>
            <w:r w:rsidRPr="00076E76">
              <w:rPr>
                <w:rFonts w:ascii="Gill Sans" w:hAnsi="Gill Sans" w:cs="Gill Sans"/>
                <w:szCs w:val="22"/>
              </w:rPr>
              <w:t xml:space="preserve">, </w:t>
            </w:r>
            <w:r w:rsidRPr="00076E76">
              <w:rPr>
                <w:rFonts w:ascii="Gill Sans" w:hAnsi="Gill Sans" w:cs="Gill Sans"/>
                <w:i/>
                <w:szCs w:val="22"/>
              </w:rPr>
              <w:t xml:space="preserve">Educational and Child Psychology, </w:t>
            </w:r>
            <w:r w:rsidR="00567851">
              <w:rPr>
                <w:rFonts w:ascii="Gill Sans" w:hAnsi="Gill Sans" w:cs="Gill Sans"/>
                <w:szCs w:val="22"/>
              </w:rPr>
              <w:t>29(1), 10–</w:t>
            </w:r>
            <w:r w:rsidRPr="00076E76">
              <w:rPr>
                <w:rFonts w:ascii="Gill Sans" w:hAnsi="Gill Sans" w:cs="Gill Sans"/>
                <w:szCs w:val="22"/>
              </w:rPr>
              <w:t>18.</w:t>
            </w:r>
          </w:p>
          <w:p w14:paraId="45CEB216" w14:textId="77777777" w:rsidR="00076E76" w:rsidRPr="00076E76" w:rsidRDefault="00076E76" w:rsidP="002E557C">
            <w:pPr>
              <w:rPr>
                <w:rFonts w:ascii="Gill Sans" w:hAnsi="Gill Sans" w:cs="Gill Sans"/>
                <w:szCs w:val="22"/>
              </w:rPr>
            </w:pPr>
          </w:p>
          <w:p w14:paraId="68AECA40" w14:textId="77777777" w:rsidR="00076E76" w:rsidRPr="00076E76" w:rsidRDefault="00076E76" w:rsidP="002E557C">
            <w:pPr>
              <w:rPr>
                <w:rFonts w:ascii="Gill Sans" w:hAnsi="Gill Sans" w:cs="Gill Sans"/>
                <w:szCs w:val="22"/>
              </w:rPr>
            </w:pPr>
            <w:r w:rsidRPr="00076E76">
              <w:rPr>
                <w:rFonts w:ascii="Gill Sans" w:hAnsi="Gill Sans" w:cs="Gill Sans"/>
                <w:szCs w:val="22"/>
              </w:rPr>
              <w:t>UK</w:t>
            </w:r>
          </w:p>
          <w:p w14:paraId="005EB3BF" w14:textId="77777777" w:rsidR="00076E76" w:rsidRPr="00076E76" w:rsidRDefault="00076E76" w:rsidP="000F60CF">
            <w:pPr>
              <w:rPr>
                <w:rFonts w:ascii="Gill Sans" w:hAnsi="Gill Sans" w:cs="Gill Sans"/>
                <w:szCs w:val="22"/>
              </w:rPr>
            </w:pPr>
            <w:r w:rsidRPr="00076E76">
              <w:rPr>
                <w:rFonts w:ascii="Gill Sans" w:hAnsi="Gill Sans" w:cs="Gill Sans"/>
                <w:szCs w:val="22"/>
              </w:rPr>
              <w:t>Annotation by Sally Baker</w:t>
            </w:r>
          </w:p>
          <w:p w14:paraId="1491F615" w14:textId="77777777" w:rsidR="00076E76" w:rsidRPr="00076E76" w:rsidRDefault="00076E76" w:rsidP="002E557C">
            <w:pPr>
              <w:rPr>
                <w:rFonts w:ascii="Gill Sans" w:hAnsi="Gill Sans" w:cs="Gill Sans"/>
                <w:szCs w:val="22"/>
              </w:rPr>
            </w:pPr>
          </w:p>
          <w:p w14:paraId="0F12210A" w14:textId="3B2BF954" w:rsidR="00076E76" w:rsidRPr="00076E76" w:rsidRDefault="00076E76" w:rsidP="002E557C">
            <w:pPr>
              <w:rPr>
                <w:rFonts w:ascii="Gill Sans" w:hAnsi="Gill Sans" w:cs="Gill Sans"/>
                <w:szCs w:val="22"/>
              </w:rPr>
            </w:pPr>
          </w:p>
        </w:tc>
        <w:tc>
          <w:tcPr>
            <w:tcW w:w="10064" w:type="dxa"/>
          </w:tcPr>
          <w:p w14:paraId="09BDCCC4" w14:textId="1F419F4B" w:rsidR="00076E76" w:rsidRPr="00076E76" w:rsidRDefault="00076E76" w:rsidP="009E2E0E">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sidRPr="00076E76">
              <w:rPr>
                <w:rFonts w:ascii="Gill Sans" w:hAnsi="Gill Sans" w:cs="Gill Sans"/>
                <w:color w:val="000000"/>
                <w:szCs w:val="22"/>
                <w:lang w:val="en-AU"/>
              </w:rPr>
              <w:t>Educational psychological. Argues that sociocultural framing can best help to develop understandings of transition – linking thought and agency to situatedness. Application of theoretical frameworks with transitions from primary to secondary education and beyond.</w:t>
            </w:r>
          </w:p>
          <w:p w14:paraId="51652862" w14:textId="18AE0E88" w:rsidR="00076E76" w:rsidRPr="00076E76" w:rsidRDefault="00076E76" w:rsidP="009E2E0E">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sidRPr="00076E76">
              <w:rPr>
                <w:rFonts w:ascii="Gill Sans" w:hAnsi="Gill Sans" w:cs="Gill Sans"/>
                <w:color w:val="000000"/>
                <w:szCs w:val="22"/>
                <w:lang w:val="en-AU"/>
              </w:rPr>
              <w:t>To explore transitions using sociocultural theory</w:t>
            </w:r>
          </w:p>
          <w:p w14:paraId="30CB25BF" w14:textId="1E12F586" w:rsidR="00076E76" w:rsidRPr="00076E76" w:rsidRDefault="00076E76" w:rsidP="0018653D">
            <w:pPr>
              <w:rPr>
                <w:rFonts w:ascii="Gill Sans" w:hAnsi="Gill Sans" w:cs="Gill Sans"/>
                <w:color w:val="000000"/>
                <w:szCs w:val="22"/>
                <w:lang w:val="en-AU"/>
              </w:rPr>
            </w:pPr>
            <w:r w:rsidRPr="00076E76">
              <w:rPr>
                <w:rFonts w:ascii="Gill Sans" w:hAnsi="Gill Sans" w:cs="Gill Sans"/>
                <w:b/>
                <w:color w:val="000000"/>
                <w:szCs w:val="22"/>
                <w:lang w:val="en-AU"/>
              </w:rPr>
              <w:t xml:space="preserve">Theoretical frame: </w:t>
            </w:r>
            <w:proofErr w:type="spellStart"/>
            <w:r w:rsidRPr="00076E76">
              <w:rPr>
                <w:rFonts w:ascii="Gill Sans" w:hAnsi="Gill Sans" w:cs="Gill Sans"/>
                <w:color w:val="000000"/>
                <w:szCs w:val="22"/>
                <w:lang w:val="en-AU"/>
              </w:rPr>
              <w:t>Vygotksy’s</w:t>
            </w:r>
            <w:proofErr w:type="spellEnd"/>
            <w:r w:rsidRPr="00076E76">
              <w:rPr>
                <w:rFonts w:ascii="Gill Sans" w:hAnsi="Gill Sans" w:cs="Gill Sans"/>
                <w:color w:val="000000"/>
                <w:szCs w:val="22"/>
                <w:lang w:val="en-AU"/>
              </w:rPr>
              <w:t xml:space="preserve"> sociocultural theory (participation in sociohistorical and cultural events = foundation for developing psychological processes) for 3 frameworks: 1) consequential transitions; 2) symbolic transitions; 3) communities of practice. Transition = more than change as product; it’s also </w:t>
            </w:r>
            <w:proofErr w:type="gramStart"/>
            <w:r w:rsidRPr="00076E76">
              <w:rPr>
                <w:rFonts w:ascii="Gill Sans" w:hAnsi="Gill Sans" w:cs="Gill Sans"/>
                <w:color w:val="000000"/>
                <w:szCs w:val="22"/>
                <w:lang w:val="en-AU"/>
              </w:rPr>
              <w:t>process</w:t>
            </w:r>
            <w:proofErr w:type="gramEnd"/>
            <w:r w:rsidRPr="00076E76">
              <w:rPr>
                <w:rFonts w:ascii="Gill Sans" w:hAnsi="Gill Sans" w:cs="Gill Sans"/>
                <w:color w:val="000000"/>
                <w:szCs w:val="22"/>
                <w:lang w:val="en-AU"/>
              </w:rPr>
              <w:t xml:space="preserve"> of changing (more than changing physical location/ developmental stages: “</w:t>
            </w:r>
            <w:r w:rsidRPr="00076E76">
              <w:rPr>
                <w:rFonts w:ascii="Gill Sans" w:hAnsi="Gill Sans" w:cs="Gill Sans"/>
                <w:color w:val="000000"/>
                <w:szCs w:val="22"/>
              </w:rPr>
              <w:t>Transitions are complex and multi-faceted and invariably involve changes to self-identity born out of uncertainty in the social and cultural worlds of the individual” (p.10).</w:t>
            </w:r>
          </w:p>
          <w:p w14:paraId="7C73EAAC" w14:textId="60A35AAC" w:rsidR="00076E76" w:rsidRPr="00076E76" w:rsidRDefault="00076E76" w:rsidP="009E2E0E">
            <w:pPr>
              <w:rPr>
                <w:rFonts w:ascii="Gill Sans" w:hAnsi="Gill Sans" w:cs="Gill Sans"/>
                <w:color w:val="000000"/>
                <w:szCs w:val="22"/>
                <w:lang w:val="en-AU"/>
              </w:rPr>
            </w:pPr>
            <w:r w:rsidRPr="00076E76">
              <w:rPr>
                <w:rFonts w:ascii="Gill Sans" w:hAnsi="Gill Sans" w:cs="Gill Sans"/>
                <w:b/>
                <w:color w:val="000000"/>
                <w:szCs w:val="22"/>
                <w:lang w:val="en-AU"/>
              </w:rPr>
              <w:t>Methodology:</w:t>
            </w:r>
            <w:r w:rsidRPr="00076E76">
              <w:rPr>
                <w:rFonts w:ascii="Gill Sans" w:hAnsi="Gill Sans" w:cs="Gill Sans"/>
                <w:color w:val="000000"/>
                <w:szCs w:val="22"/>
                <w:lang w:val="en-AU"/>
              </w:rPr>
              <w:t xml:space="preserve"> Essay</w:t>
            </w:r>
          </w:p>
          <w:p w14:paraId="0C0DAA62" w14:textId="77777777" w:rsidR="00076E76" w:rsidRPr="00076E76" w:rsidRDefault="00076E76" w:rsidP="009E2E0E">
            <w:pPr>
              <w:rPr>
                <w:rFonts w:ascii="Gill Sans" w:hAnsi="Gill Sans" w:cs="Gill Sans"/>
                <w:b/>
                <w:color w:val="000000"/>
                <w:szCs w:val="22"/>
                <w:lang w:val="en-AU"/>
              </w:rPr>
            </w:pPr>
            <w:r w:rsidRPr="00076E76">
              <w:rPr>
                <w:rFonts w:ascii="Gill Sans" w:hAnsi="Gill Sans" w:cs="Gill Sans"/>
                <w:b/>
                <w:color w:val="000000"/>
                <w:szCs w:val="22"/>
                <w:lang w:val="en-AU"/>
              </w:rPr>
              <w:t>Discussion:</w:t>
            </w:r>
          </w:p>
          <w:p w14:paraId="13C90FF3" w14:textId="4353D450" w:rsidR="00076E76" w:rsidRPr="00076E76" w:rsidRDefault="00076E76" w:rsidP="009E2E0E">
            <w:pPr>
              <w:rPr>
                <w:rFonts w:ascii="Gill Sans" w:hAnsi="Gill Sans" w:cs="Gill Sans"/>
                <w:color w:val="000000"/>
                <w:szCs w:val="22"/>
                <w:lang w:val="en-AU"/>
              </w:rPr>
            </w:pPr>
            <w:r w:rsidRPr="00076E76">
              <w:rPr>
                <w:rFonts w:ascii="Gill Sans" w:hAnsi="Gill Sans" w:cs="Gill Sans"/>
                <w:i/>
                <w:color w:val="000000"/>
                <w:szCs w:val="22"/>
                <w:lang w:val="en-AU"/>
              </w:rPr>
              <w:t xml:space="preserve">Transition as consequential </w:t>
            </w:r>
            <w:r w:rsidRPr="00076E76">
              <w:rPr>
                <w:rFonts w:ascii="Gill Sans" w:hAnsi="Gill Sans" w:cs="Gill Sans"/>
                <w:color w:val="000000"/>
                <w:szCs w:val="22"/>
                <w:lang w:val="en-AU"/>
              </w:rPr>
              <w:t xml:space="preserve">(Beach, 1999): transitions have consequences for sociocultural context [and = dialogic presumably]. Beach = typology of transitions = argues transition is reconstruction of self/ activities: </w:t>
            </w:r>
          </w:p>
          <w:p w14:paraId="55EBFDE4" w14:textId="291AA700" w:rsidR="00076E76" w:rsidRPr="00076E76" w:rsidRDefault="00076E76" w:rsidP="00ED1DD9">
            <w:pPr>
              <w:pStyle w:val="ListParagraph"/>
              <w:numPr>
                <w:ilvl w:val="0"/>
                <w:numId w:val="22"/>
              </w:numPr>
              <w:rPr>
                <w:rFonts w:ascii="Gill Sans" w:hAnsi="Gill Sans" w:cs="Gill Sans"/>
                <w:color w:val="000000"/>
                <w:szCs w:val="22"/>
              </w:rPr>
            </w:pPr>
            <w:r w:rsidRPr="00076E76">
              <w:rPr>
                <w:rFonts w:ascii="Gill Sans" w:hAnsi="Gill Sans" w:cs="Gill Sans"/>
                <w:color w:val="000000"/>
                <w:szCs w:val="22"/>
                <w:lang w:val="en-AU"/>
              </w:rPr>
              <w:t xml:space="preserve">Lateral transitions = </w:t>
            </w:r>
            <w:r w:rsidRPr="00076E76">
              <w:rPr>
                <w:rFonts w:ascii="Gill Sans" w:hAnsi="Gill Sans" w:cs="Gill Sans"/>
                <w:color w:val="000000"/>
                <w:szCs w:val="22"/>
              </w:rPr>
              <w:t xml:space="preserve">occur when an </w:t>
            </w:r>
            <w:proofErr w:type="gramStart"/>
            <w:r w:rsidRPr="00076E76">
              <w:rPr>
                <w:rFonts w:ascii="Gill Sans" w:hAnsi="Gill Sans" w:cs="Gill Sans"/>
                <w:color w:val="000000"/>
                <w:szCs w:val="22"/>
              </w:rPr>
              <w:t>individual moves</w:t>
            </w:r>
            <w:proofErr w:type="gramEnd"/>
            <w:r w:rsidRPr="00076E76">
              <w:rPr>
                <w:rFonts w:ascii="Gill Sans" w:hAnsi="Gill Sans" w:cs="Gill Sans"/>
                <w:color w:val="000000"/>
                <w:szCs w:val="22"/>
              </w:rPr>
              <w:t xml:space="preserve"> between two historically related activities in a single direction; participation in one activity = replaced with participation in another activity (such as primary to secondary school; studying while working)</w:t>
            </w:r>
          </w:p>
          <w:p w14:paraId="5E4BC15D" w14:textId="15593653" w:rsidR="00076E76" w:rsidRPr="00076E76" w:rsidRDefault="00076E76" w:rsidP="006E2317">
            <w:pPr>
              <w:pStyle w:val="ListParagraph"/>
              <w:numPr>
                <w:ilvl w:val="0"/>
                <w:numId w:val="22"/>
              </w:numPr>
              <w:rPr>
                <w:rFonts w:ascii="Gill Sans" w:hAnsi="Gill Sans" w:cs="Gill Sans"/>
                <w:color w:val="000000"/>
                <w:szCs w:val="22"/>
                <w:lang w:val="en-AU"/>
              </w:rPr>
            </w:pPr>
            <w:r w:rsidRPr="00076E76">
              <w:rPr>
                <w:rFonts w:ascii="Gill Sans" w:hAnsi="Gill Sans" w:cs="Gill Sans"/>
                <w:color w:val="000000"/>
                <w:szCs w:val="22"/>
              </w:rPr>
              <w:t>Collateral transitions = relatively simultaneous participation in two or more historically related activities (such as moving between classes)</w:t>
            </w:r>
            <w:r w:rsidRPr="00076E76">
              <w:rPr>
                <w:rFonts w:ascii="Gill Sans" w:hAnsi="Gill Sans" w:cs="Gill Sans"/>
                <w:b/>
                <w:color w:val="000000"/>
                <w:szCs w:val="22"/>
                <w:lang w:val="en-AU"/>
              </w:rPr>
              <w:t xml:space="preserve"> </w:t>
            </w:r>
          </w:p>
          <w:p w14:paraId="7E8580CA" w14:textId="07E92471" w:rsidR="00076E76" w:rsidRPr="00076E76" w:rsidRDefault="00076E76" w:rsidP="00ED1DD9">
            <w:pPr>
              <w:pStyle w:val="ListParagraph"/>
              <w:numPr>
                <w:ilvl w:val="0"/>
                <w:numId w:val="22"/>
              </w:numPr>
              <w:rPr>
                <w:rFonts w:ascii="Gill Sans" w:hAnsi="Gill Sans" w:cs="Gill Sans"/>
                <w:color w:val="000000"/>
                <w:szCs w:val="22"/>
              </w:rPr>
            </w:pPr>
            <w:r w:rsidRPr="00076E76">
              <w:rPr>
                <w:rFonts w:ascii="Gill Sans" w:hAnsi="Gill Sans" w:cs="Gill Sans"/>
                <w:color w:val="000000"/>
                <w:szCs w:val="22"/>
              </w:rPr>
              <w:t>Encompassing transitions = “occur within the boundaries of a social activity that is itself changing, and is often where an individual is adapting to existing or changing circumstances in order to continue participation in the activity e.g. teachers undertaking new education reform” (e.g. generational change)</w:t>
            </w:r>
          </w:p>
          <w:p w14:paraId="1627BA80" w14:textId="1CF50F6A" w:rsidR="00076E76" w:rsidRPr="00076E76" w:rsidRDefault="00076E76" w:rsidP="00ED1DD9">
            <w:pPr>
              <w:pStyle w:val="ListParagraph"/>
              <w:numPr>
                <w:ilvl w:val="0"/>
                <w:numId w:val="22"/>
              </w:numPr>
              <w:rPr>
                <w:rFonts w:ascii="Gill Sans" w:hAnsi="Gill Sans" w:cs="Gill Sans"/>
                <w:color w:val="000000"/>
                <w:szCs w:val="22"/>
              </w:rPr>
            </w:pPr>
            <w:r w:rsidRPr="00076E76">
              <w:rPr>
                <w:rFonts w:ascii="Gill Sans" w:hAnsi="Gill Sans" w:cs="Gill Sans"/>
                <w:color w:val="000000"/>
                <w:szCs w:val="22"/>
              </w:rPr>
              <w:t xml:space="preserve">Mediational transitions: “occur within education activities that project or simulate involvement in an </w:t>
            </w:r>
            <w:r w:rsidRPr="00076E76">
              <w:rPr>
                <w:rFonts w:ascii="Gill Sans" w:hAnsi="Gill Sans" w:cs="Gill Sans"/>
                <w:color w:val="000000"/>
                <w:szCs w:val="22"/>
              </w:rPr>
              <w:lastRenderedPageBreak/>
              <w:t>activity yet to be fully experienced” (e.g. learning a skill, playing shops at school)</w:t>
            </w:r>
          </w:p>
          <w:p w14:paraId="429375CB" w14:textId="77777777" w:rsidR="00076E76" w:rsidRPr="00076E76" w:rsidRDefault="00076E76" w:rsidP="00ED1DD9">
            <w:pPr>
              <w:rPr>
                <w:rFonts w:ascii="Gill Sans" w:hAnsi="Gill Sans" w:cs="Gill Sans"/>
                <w:color w:val="000000"/>
                <w:szCs w:val="22"/>
                <w:lang w:val="en-AU"/>
              </w:rPr>
            </w:pPr>
            <w:r w:rsidRPr="00076E76">
              <w:rPr>
                <w:rFonts w:ascii="Gill Sans" w:hAnsi="Gill Sans" w:cs="Gill Sans"/>
                <w:i/>
                <w:color w:val="000000"/>
                <w:szCs w:val="22"/>
                <w:lang w:val="en-AU"/>
              </w:rPr>
              <w:t>Ruptures and uncertainty</w:t>
            </w:r>
            <w:r w:rsidRPr="00076E76">
              <w:rPr>
                <w:rFonts w:ascii="Gill Sans" w:hAnsi="Gill Sans" w:cs="Gill Sans"/>
                <w:color w:val="000000"/>
                <w:szCs w:val="22"/>
                <w:lang w:val="en-AU"/>
              </w:rPr>
              <w:t>: 3 types of rupture</w:t>
            </w:r>
          </w:p>
          <w:p w14:paraId="3E06D520" w14:textId="77777777" w:rsidR="00076E76" w:rsidRPr="00076E76" w:rsidRDefault="00076E76" w:rsidP="00086FB5">
            <w:pPr>
              <w:pStyle w:val="ListParagraph"/>
              <w:numPr>
                <w:ilvl w:val="0"/>
                <w:numId w:val="24"/>
              </w:numPr>
              <w:rPr>
                <w:rFonts w:ascii="Gill Sans" w:hAnsi="Gill Sans" w:cs="Gill Sans"/>
                <w:color w:val="000000"/>
                <w:szCs w:val="22"/>
                <w:lang w:val="en-AU"/>
              </w:rPr>
            </w:pPr>
            <w:r w:rsidRPr="00076E76">
              <w:rPr>
                <w:rFonts w:ascii="Gill Sans" w:hAnsi="Gill Sans" w:cs="Gill Sans"/>
                <w:color w:val="000000"/>
                <w:szCs w:val="22"/>
                <w:lang w:val="en-AU"/>
              </w:rPr>
              <w:t>Change in cultural context</w:t>
            </w:r>
          </w:p>
          <w:p w14:paraId="46572C44" w14:textId="77777777" w:rsidR="00076E76" w:rsidRPr="00076E76" w:rsidRDefault="00076E76" w:rsidP="00086FB5">
            <w:pPr>
              <w:pStyle w:val="ListParagraph"/>
              <w:numPr>
                <w:ilvl w:val="0"/>
                <w:numId w:val="24"/>
              </w:numPr>
              <w:rPr>
                <w:rFonts w:ascii="Gill Sans" w:hAnsi="Gill Sans" w:cs="Gill Sans"/>
                <w:color w:val="000000"/>
                <w:szCs w:val="22"/>
                <w:lang w:val="en-AU"/>
              </w:rPr>
            </w:pPr>
            <w:r w:rsidRPr="00076E76">
              <w:rPr>
                <w:rFonts w:ascii="Gill Sans" w:hAnsi="Gill Sans" w:cs="Gill Sans"/>
                <w:color w:val="000000"/>
                <w:szCs w:val="22"/>
                <w:lang w:val="en-AU"/>
              </w:rPr>
              <w:t>Change to ‘sphere of experience’</w:t>
            </w:r>
          </w:p>
          <w:p w14:paraId="023DDFEB" w14:textId="77777777" w:rsidR="00076E76" w:rsidRPr="00076E76" w:rsidRDefault="00076E76" w:rsidP="00086FB5">
            <w:pPr>
              <w:pStyle w:val="ListParagraph"/>
              <w:numPr>
                <w:ilvl w:val="0"/>
                <w:numId w:val="24"/>
              </w:numPr>
              <w:rPr>
                <w:rFonts w:ascii="Gill Sans" w:hAnsi="Gill Sans" w:cs="Gill Sans"/>
                <w:color w:val="000000"/>
                <w:szCs w:val="22"/>
                <w:lang w:val="en-AU"/>
              </w:rPr>
            </w:pPr>
            <w:r w:rsidRPr="00076E76">
              <w:rPr>
                <w:rFonts w:ascii="Gill Sans" w:hAnsi="Gill Sans" w:cs="Gill Sans"/>
                <w:color w:val="000000"/>
                <w:szCs w:val="22"/>
                <w:lang w:val="en-AU"/>
              </w:rPr>
              <w:t>Change in relationships</w:t>
            </w:r>
          </w:p>
          <w:p w14:paraId="458A28D7" w14:textId="4753748B" w:rsidR="00076E76" w:rsidRPr="00076E76" w:rsidRDefault="00076E76" w:rsidP="00A478CA">
            <w:pPr>
              <w:rPr>
                <w:rFonts w:ascii="Gill Sans" w:hAnsi="Gill Sans" w:cs="Gill Sans"/>
                <w:i/>
                <w:color w:val="000000"/>
                <w:szCs w:val="22"/>
                <w:lang w:val="en-AU"/>
              </w:rPr>
            </w:pPr>
            <w:r w:rsidRPr="00076E76">
              <w:rPr>
                <w:rFonts w:ascii="Gill Sans" w:hAnsi="Gill Sans" w:cs="Gill Sans"/>
                <w:i/>
                <w:color w:val="000000"/>
                <w:szCs w:val="22"/>
                <w:lang w:val="en-AU"/>
              </w:rPr>
              <w:t>Communities of Practice</w:t>
            </w:r>
            <w:r w:rsidRPr="00076E76">
              <w:rPr>
                <w:rFonts w:ascii="Gill Sans" w:hAnsi="Gill Sans" w:cs="Gill Sans"/>
                <w:color w:val="000000"/>
                <w:szCs w:val="22"/>
                <w:lang w:val="en-AU"/>
              </w:rPr>
              <w:t xml:space="preserve"> = transition = process of joining and becoming members (from periphery to more central membership). </w:t>
            </w:r>
            <w:proofErr w:type="gramStart"/>
            <w:r w:rsidRPr="00076E76">
              <w:rPr>
                <w:rFonts w:ascii="Gill Sans" w:hAnsi="Gill Sans" w:cs="Gill Sans"/>
                <w:color w:val="000000"/>
                <w:szCs w:val="22"/>
                <w:lang w:val="en-AU"/>
              </w:rPr>
              <w:t>Also</w:t>
            </w:r>
            <w:proofErr w:type="gramEnd"/>
            <w:r w:rsidRPr="00076E76">
              <w:rPr>
                <w:rFonts w:ascii="Gill Sans" w:hAnsi="Gill Sans" w:cs="Gill Sans"/>
                <w:color w:val="000000"/>
                <w:szCs w:val="22"/>
                <w:lang w:val="en-AU"/>
              </w:rPr>
              <w:t xml:space="preserve"> communities change over time and are changed also by new members. CoP also permits gaze to focus on inter-relationships between members </w:t>
            </w:r>
            <w:r w:rsidRPr="00076E76">
              <w:rPr>
                <w:rFonts w:ascii="Gill Sans" w:hAnsi="Gill Sans" w:cs="Gill Sans"/>
                <w:b/>
                <w:color w:val="000000"/>
                <w:szCs w:val="22"/>
                <w:lang w:val="en-AU"/>
              </w:rPr>
              <w:br/>
              <w:t xml:space="preserve">Core argument: </w:t>
            </w:r>
            <w:r w:rsidRPr="00076E76">
              <w:rPr>
                <w:rFonts w:ascii="Gill Sans" w:hAnsi="Gill Sans" w:cs="Gill Sans"/>
                <w:color w:val="000000"/>
                <w:szCs w:val="22"/>
                <w:lang w:val="en-AU"/>
              </w:rPr>
              <w:t xml:space="preserve">Transitions = </w:t>
            </w:r>
            <w:r w:rsidRPr="00076E76">
              <w:rPr>
                <w:rFonts w:ascii="Gill Sans" w:hAnsi="Gill Sans" w:cs="Gill Sans"/>
                <w:color w:val="000000"/>
                <w:szCs w:val="22"/>
              </w:rPr>
              <w:t xml:space="preserve">‘complex and multifaceted’ and involve </w:t>
            </w:r>
            <w:r w:rsidRPr="00076E76">
              <w:rPr>
                <w:rFonts w:ascii="Gill Sans" w:hAnsi="Gill Sans" w:cs="Gill Sans"/>
                <w:color w:val="000000"/>
                <w:szCs w:val="22"/>
                <w:lang w:val="en-AU"/>
              </w:rPr>
              <w:t>change in self-identity born out of uncertainty. Transitions = inherently social. Through adopting sociocultural framing, transition “requires us to move beyond merely focusing on the functional changes that are taking place (i.e. the outcomes) when a pupil or student is moving into a new educational environment or learning situation, to also taking into account some of the inner shifts that individuals are experiencing (i.e. the process). The uncertainty and ‘newness’ associated with change will involve a search for meaning and a reconstruction of sense of self. As a result, individuals undergoing transitions of various forms will emerge with a reformed identity</w:t>
            </w:r>
            <w:proofErr w:type="gramStart"/>
            <w:r w:rsidRPr="00076E76">
              <w:rPr>
                <w:rFonts w:ascii="Gill Sans" w:hAnsi="Gill Sans" w:cs="Gill Sans"/>
                <w:color w:val="000000"/>
                <w:szCs w:val="22"/>
                <w:lang w:val="en-AU"/>
              </w:rPr>
              <w:t>” .</w:t>
            </w:r>
            <w:proofErr w:type="gramEnd"/>
          </w:p>
        </w:tc>
      </w:tr>
      <w:tr w:rsidR="00076E76" w:rsidRPr="00076E76" w14:paraId="160CC033" w14:textId="77777777" w:rsidTr="00706D4E">
        <w:tc>
          <w:tcPr>
            <w:tcW w:w="5529" w:type="dxa"/>
            <w:shd w:val="clear" w:color="auto" w:fill="auto"/>
          </w:tcPr>
          <w:p w14:paraId="051851F8" w14:textId="49E06818" w:rsidR="00076E76" w:rsidRDefault="00076E76" w:rsidP="0015070E">
            <w:pPr>
              <w:ind w:left="41"/>
              <w:rPr>
                <w:rFonts w:ascii="Gill Sans" w:hAnsi="Gill Sans" w:cs="Gill Sans"/>
                <w:color w:val="000000"/>
              </w:rPr>
            </w:pPr>
            <w:r w:rsidRPr="00076E76">
              <w:rPr>
                <w:rFonts w:ascii="Gill Sans" w:hAnsi="Gill Sans" w:cs="Gill Sans"/>
                <w:color w:val="000000"/>
              </w:rPr>
              <w:lastRenderedPageBreak/>
              <w:t xml:space="preserve">Cousin, G. (2010). </w:t>
            </w:r>
            <w:hyperlink r:id="rId44" w:history="1">
              <w:r w:rsidRPr="002F7CF7">
                <w:rPr>
                  <w:rStyle w:val="Hyperlink"/>
                  <w:rFonts w:ascii="Gill Sans" w:hAnsi="Gill Sans" w:cs="Gill Sans"/>
                </w:rPr>
                <w:t>Neither teacher-centred nor student-centred: threshold concepts and research partnerships</w:t>
              </w:r>
            </w:hyperlink>
            <w:r w:rsidRPr="00076E76">
              <w:rPr>
                <w:rFonts w:ascii="Gill Sans" w:hAnsi="Gill Sans" w:cs="Gill Sans"/>
                <w:color w:val="000000"/>
              </w:rPr>
              <w:t xml:space="preserve">, </w:t>
            </w:r>
            <w:r w:rsidRPr="00076E76">
              <w:rPr>
                <w:rFonts w:ascii="Gill Sans" w:hAnsi="Gill Sans" w:cs="Gill Sans"/>
                <w:i/>
                <w:color w:val="000000"/>
              </w:rPr>
              <w:t xml:space="preserve">Journal of Learning Development in Higher Education, </w:t>
            </w:r>
            <w:r w:rsidRPr="00076E76">
              <w:rPr>
                <w:rFonts w:ascii="Gill Sans" w:hAnsi="Gill Sans" w:cs="Gill Sans"/>
                <w:color w:val="000000"/>
              </w:rPr>
              <w:t>2, 1–9.</w:t>
            </w:r>
          </w:p>
          <w:p w14:paraId="7240422B" w14:textId="77777777" w:rsidR="00095656" w:rsidRDefault="00095656" w:rsidP="0015070E">
            <w:pPr>
              <w:ind w:left="41"/>
              <w:rPr>
                <w:rFonts w:ascii="Gill Sans" w:hAnsi="Gill Sans" w:cs="Gill Sans"/>
                <w:color w:val="000000"/>
              </w:rPr>
            </w:pPr>
          </w:p>
          <w:p w14:paraId="26375E57" w14:textId="34BD68BD" w:rsidR="00095656" w:rsidRDefault="00095656" w:rsidP="0015070E">
            <w:pPr>
              <w:ind w:left="41"/>
              <w:rPr>
                <w:rFonts w:ascii="Gill Sans" w:hAnsi="Gill Sans" w:cs="Gill Sans"/>
                <w:color w:val="000000"/>
              </w:rPr>
            </w:pPr>
            <w:r>
              <w:rPr>
                <w:rFonts w:ascii="Gill Sans" w:hAnsi="Gill Sans" w:cs="Gill Sans"/>
                <w:color w:val="000000"/>
              </w:rPr>
              <w:t>UK</w:t>
            </w:r>
          </w:p>
          <w:p w14:paraId="6167E4B0" w14:textId="1A5422EB" w:rsidR="00DC219B" w:rsidRDefault="00DC219B" w:rsidP="0015070E">
            <w:pPr>
              <w:ind w:left="41"/>
              <w:rPr>
                <w:rFonts w:ascii="Gill Sans" w:hAnsi="Gill Sans" w:cs="Gill Sans"/>
                <w:color w:val="000000"/>
              </w:rPr>
            </w:pPr>
            <w:r>
              <w:rPr>
                <w:rFonts w:ascii="Gill Sans" w:hAnsi="Gill Sans" w:cs="Gill Sans"/>
                <w:color w:val="000000"/>
              </w:rPr>
              <w:t>Annotation by Sally Baker</w:t>
            </w:r>
          </w:p>
          <w:p w14:paraId="352AE6AE" w14:textId="77777777" w:rsidR="00095656" w:rsidRDefault="00095656" w:rsidP="0015070E">
            <w:pPr>
              <w:ind w:left="41"/>
              <w:rPr>
                <w:rFonts w:ascii="Gill Sans" w:hAnsi="Gill Sans" w:cs="Gill Sans"/>
                <w:color w:val="000000"/>
              </w:rPr>
            </w:pPr>
          </w:p>
          <w:p w14:paraId="4106341D" w14:textId="3B31F6F9" w:rsidR="00095656" w:rsidRPr="00076E76" w:rsidRDefault="00095656" w:rsidP="00457F50">
            <w:pPr>
              <w:ind w:left="41"/>
              <w:rPr>
                <w:rFonts w:ascii="Gill Sans" w:hAnsi="Gill Sans" w:cs="Gill Sans"/>
                <w:b/>
                <w:color w:val="000000"/>
                <w:u w:val="single"/>
              </w:rPr>
            </w:pPr>
            <w:r>
              <w:rPr>
                <w:rFonts w:ascii="Gill Sans" w:hAnsi="Gill Sans" w:cs="Gill Sans"/>
                <w:color w:val="000000"/>
              </w:rPr>
              <w:t>Keywords:</w:t>
            </w:r>
            <w:r w:rsidR="00457F50" w:rsidRPr="00457F50">
              <w:rPr>
                <w:rFonts w:ascii="Arial" w:hAnsi="Arial" w:cs="Arial"/>
                <w:color w:val="000000"/>
              </w:rPr>
              <w:t xml:space="preserve"> </w:t>
            </w:r>
            <w:r w:rsidR="00457F50" w:rsidRPr="00457F50">
              <w:rPr>
                <w:rFonts w:ascii="Arial" w:hAnsi="Arial" w:cs="Arial"/>
                <w:i/>
                <w:color w:val="000000"/>
              </w:rPr>
              <w:t>t</w:t>
            </w:r>
            <w:r w:rsidR="00457F50" w:rsidRPr="00457F50">
              <w:rPr>
                <w:rFonts w:ascii="Gill Sans" w:hAnsi="Gill Sans" w:cs="Gill Sans"/>
                <w:i/>
                <w:color w:val="000000"/>
              </w:rPr>
              <w:t>hreshold concepts; partnerships with students; partnerships with subject specialists; research methods</w:t>
            </w:r>
          </w:p>
          <w:p w14:paraId="0E5D997A" w14:textId="77777777" w:rsidR="00076E76" w:rsidRPr="00076E76" w:rsidRDefault="00076E76" w:rsidP="002E557C">
            <w:pPr>
              <w:rPr>
                <w:rFonts w:ascii="Gill Sans" w:hAnsi="Gill Sans" w:cs="Gill Sans"/>
                <w:szCs w:val="22"/>
              </w:rPr>
            </w:pPr>
          </w:p>
        </w:tc>
        <w:tc>
          <w:tcPr>
            <w:tcW w:w="10064" w:type="dxa"/>
          </w:tcPr>
          <w:p w14:paraId="78BF4B47" w14:textId="52D5C1ED" w:rsidR="009572D0" w:rsidRPr="00457F50" w:rsidRDefault="009572D0" w:rsidP="009572D0">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sidR="00457F50">
              <w:rPr>
                <w:rFonts w:ascii="Gill Sans" w:hAnsi="Gill Sans" w:cs="Gill Sans"/>
                <w:color w:val="000000"/>
                <w:szCs w:val="22"/>
                <w:lang w:val="en-AU"/>
              </w:rPr>
              <w:t>Threshold concepts as a ‘fresh way’ of thinking about research collaboration with students, researchers and educational developers</w:t>
            </w:r>
            <w:r w:rsidR="00E062B4">
              <w:rPr>
                <w:rFonts w:ascii="Gill Sans" w:hAnsi="Gill Sans" w:cs="Gill Sans"/>
                <w:color w:val="000000"/>
                <w:szCs w:val="22"/>
                <w:lang w:val="en-AU"/>
              </w:rPr>
              <w:t xml:space="preserve"> and tension about ‘student-centred’ teaching and learning</w:t>
            </w:r>
            <w:r w:rsidR="00457F50">
              <w:rPr>
                <w:rFonts w:ascii="Gill Sans" w:hAnsi="Gill Sans" w:cs="Gill Sans"/>
                <w:color w:val="000000"/>
                <w:szCs w:val="22"/>
                <w:lang w:val="en-AU"/>
              </w:rPr>
              <w:t>.</w:t>
            </w:r>
            <w:r w:rsidR="004E319E">
              <w:rPr>
                <w:rFonts w:ascii="Gill Sans" w:hAnsi="Gill Sans" w:cs="Gill Sans"/>
                <w:color w:val="000000"/>
                <w:szCs w:val="22"/>
                <w:lang w:val="en-AU"/>
              </w:rPr>
              <w:t xml:space="preserve"> Author argues that </w:t>
            </w:r>
            <w:r w:rsidR="00E062B4">
              <w:rPr>
                <w:rFonts w:ascii="Gill Sans" w:hAnsi="Gill Sans" w:cs="Gill Sans"/>
                <w:color w:val="000000"/>
                <w:szCs w:val="22"/>
                <w:lang w:val="en-AU"/>
              </w:rPr>
              <w:t>“</w:t>
            </w:r>
            <w:r w:rsidR="00E062B4" w:rsidRPr="00E062B4">
              <w:rPr>
                <w:rFonts w:ascii="Gill Sans" w:hAnsi="Gill Sans" w:cs="Gill Sans"/>
                <w:color w:val="000000"/>
                <w:szCs w:val="22"/>
              </w:rPr>
              <w:t>Many educational developers defensively package this suspicion</w:t>
            </w:r>
            <w:r w:rsidR="00E062B4">
              <w:rPr>
                <w:rFonts w:ascii="Gill Sans" w:hAnsi="Gill Sans" w:cs="Gill Sans"/>
                <w:color w:val="000000"/>
                <w:szCs w:val="22"/>
              </w:rPr>
              <w:t xml:space="preserve"> [regarding ‘student-centred’ teaching]</w:t>
            </w:r>
            <w:r w:rsidR="00E062B4" w:rsidRPr="00E062B4">
              <w:rPr>
                <w:rFonts w:ascii="Gill Sans" w:hAnsi="Gill Sans" w:cs="Gill Sans"/>
                <w:color w:val="000000"/>
                <w:szCs w:val="22"/>
              </w:rPr>
              <w:t xml:space="preserve"> as learner resistance and ignorance, seeing their challenge to be that of leading academics to the true path of student-centred teaching and learning</w:t>
            </w:r>
            <w:r w:rsidR="00E062B4">
              <w:rPr>
                <w:rFonts w:ascii="Gill Sans" w:hAnsi="Gill Sans" w:cs="Gill Sans"/>
                <w:color w:val="000000"/>
                <w:szCs w:val="22"/>
              </w:rPr>
              <w:t>”</w:t>
            </w:r>
          </w:p>
          <w:p w14:paraId="70DFD5BA" w14:textId="041370D0" w:rsidR="009572D0" w:rsidRPr="006D39BB" w:rsidRDefault="009572D0" w:rsidP="009572D0">
            <w:pPr>
              <w:rPr>
                <w:rFonts w:ascii="Gill Sans" w:hAnsi="Gill Sans" w:cs="Gill Sans"/>
                <w:color w:val="000000"/>
                <w:szCs w:val="22"/>
                <w:lang w:val="en-AU"/>
              </w:rPr>
            </w:pPr>
            <w:r w:rsidRPr="00076E76">
              <w:rPr>
                <w:rFonts w:ascii="Gill Sans" w:hAnsi="Gill Sans" w:cs="Gill Sans"/>
                <w:b/>
                <w:color w:val="000000"/>
                <w:szCs w:val="22"/>
                <w:lang w:val="en-AU"/>
              </w:rPr>
              <w:t>Theoretical frame:</w:t>
            </w:r>
            <w:r w:rsidR="006D39BB">
              <w:rPr>
                <w:rFonts w:ascii="Gill Sans" w:hAnsi="Gill Sans" w:cs="Gill Sans"/>
                <w:b/>
                <w:color w:val="000000"/>
                <w:szCs w:val="22"/>
                <w:lang w:val="en-AU"/>
              </w:rPr>
              <w:t xml:space="preserve"> </w:t>
            </w:r>
            <w:r w:rsidR="006D39BB">
              <w:rPr>
                <w:rFonts w:ascii="Gill Sans" w:hAnsi="Gill Sans" w:cs="Gill Sans"/>
                <w:color w:val="000000"/>
                <w:szCs w:val="22"/>
                <w:lang w:val="en-AU"/>
              </w:rPr>
              <w:t xml:space="preserve">Threshold concepts (see Land &amp; Meyer) are described as: 1) transformative; 2) irreversible; 3) integrative; 4) bounded; 5) </w:t>
            </w:r>
            <w:r w:rsidR="00D21D85">
              <w:rPr>
                <w:rFonts w:ascii="Gill Sans" w:hAnsi="Gill Sans" w:cs="Gill Sans"/>
                <w:color w:val="000000"/>
                <w:szCs w:val="22"/>
                <w:lang w:val="en-AU"/>
              </w:rPr>
              <w:t>troublesome; and liminal: “</w:t>
            </w:r>
            <w:r w:rsidR="00D21D85" w:rsidRPr="00D21D85">
              <w:rPr>
                <w:rFonts w:ascii="Gill Sans" w:hAnsi="Gill Sans" w:cs="Gill Sans"/>
                <w:color w:val="000000"/>
                <w:szCs w:val="22"/>
              </w:rPr>
              <w:t>an unstable space in which the learner may oscillate between old and emergent understandings</w:t>
            </w:r>
            <w:r w:rsidR="00D21D85">
              <w:rPr>
                <w:rFonts w:ascii="Gill Sans" w:hAnsi="Gill Sans" w:cs="Gill Sans"/>
                <w:color w:val="000000"/>
                <w:szCs w:val="22"/>
              </w:rPr>
              <w:t>” (p.3), which is a “recursive process”</w:t>
            </w:r>
            <w:r w:rsidR="004E319E">
              <w:rPr>
                <w:rFonts w:ascii="Gill Sans" w:hAnsi="Gill Sans" w:cs="Gill Sans"/>
                <w:color w:val="000000"/>
                <w:szCs w:val="22"/>
              </w:rPr>
              <w:t xml:space="preserve"> but which often leads novices to mimic and quasi-</w:t>
            </w:r>
            <w:proofErr w:type="spellStart"/>
            <w:r w:rsidR="004E319E">
              <w:rPr>
                <w:rFonts w:ascii="Gill Sans" w:hAnsi="Gill Sans" w:cs="Gill Sans"/>
                <w:color w:val="000000"/>
                <w:szCs w:val="22"/>
              </w:rPr>
              <w:t>plagiarise</w:t>
            </w:r>
            <w:proofErr w:type="spellEnd"/>
            <w:r w:rsidR="00D21D85">
              <w:rPr>
                <w:rFonts w:ascii="Gill Sans" w:hAnsi="Gill Sans" w:cs="Gill Sans"/>
                <w:color w:val="000000"/>
                <w:szCs w:val="22"/>
              </w:rPr>
              <w:t xml:space="preserve"> (p.4)</w:t>
            </w:r>
            <w:r w:rsidR="004E319E">
              <w:rPr>
                <w:rFonts w:ascii="Gill Sans" w:hAnsi="Gill Sans" w:cs="Gill Sans"/>
                <w:color w:val="000000"/>
                <w:szCs w:val="22"/>
              </w:rPr>
              <w:t>.</w:t>
            </w:r>
          </w:p>
          <w:p w14:paraId="5617281F" w14:textId="096F082D" w:rsidR="009572D0" w:rsidRPr="004E319E" w:rsidRDefault="009572D0" w:rsidP="009572D0">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004E319E">
              <w:rPr>
                <w:rFonts w:ascii="Gill Sans" w:hAnsi="Gill Sans" w:cs="Gill Sans"/>
                <w:color w:val="000000"/>
                <w:szCs w:val="22"/>
                <w:lang w:val="en-AU"/>
              </w:rPr>
              <w:t>Essay</w:t>
            </w:r>
            <w:r w:rsidR="003E64AB">
              <w:rPr>
                <w:rFonts w:ascii="Gill Sans" w:hAnsi="Gill Sans" w:cs="Gill Sans"/>
                <w:color w:val="000000"/>
                <w:szCs w:val="22"/>
                <w:lang w:val="en-AU"/>
              </w:rPr>
              <w:t xml:space="preserve">; argues for </w:t>
            </w:r>
            <w:proofErr w:type="spellStart"/>
            <w:r w:rsidR="003E64AB">
              <w:rPr>
                <w:rFonts w:ascii="Gill Sans" w:hAnsi="Gill Sans" w:cs="Gill Sans"/>
                <w:color w:val="000000"/>
                <w:szCs w:val="22"/>
                <w:lang w:val="en-AU"/>
              </w:rPr>
              <w:t>phenomenographic</w:t>
            </w:r>
            <w:proofErr w:type="spellEnd"/>
            <w:r w:rsidR="003E64AB">
              <w:rPr>
                <w:rFonts w:ascii="Gill Sans" w:hAnsi="Gill Sans" w:cs="Gill Sans"/>
                <w:color w:val="000000"/>
                <w:szCs w:val="22"/>
                <w:lang w:val="en-AU"/>
              </w:rPr>
              <w:t xml:space="preserve"> research</w:t>
            </w:r>
          </w:p>
          <w:p w14:paraId="37D5899B" w14:textId="07785CD3" w:rsidR="00076E76" w:rsidRPr="00076E76" w:rsidRDefault="007C04CD" w:rsidP="00706D4E">
            <w:pPr>
              <w:rPr>
                <w:rFonts w:ascii="Gill Sans" w:hAnsi="Gill Sans" w:cs="Gill Sans"/>
                <w:b/>
                <w:color w:val="000000"/>
                <w:szCs w:val="22"/>
                <w:lang w:val="en-AU"/>
              </w:rPr>
            </w:pPr>
            <w:r>
              <w:rPr>
                <w:rFonts w:ascii="Gill Sans" w:hAnsi="Gill Sans" w:cs="Gill Sans"/>
                <w:b/>
                <w:color w:val="000000"/>
                <w:szCs w:val="22"/>
                <w:lang w:val="en-AU"/>
              </w:rPr>
              <w:t>Discussion</w:t>
            </w:r>
            <w:r w:rsidR="009572D0" w:rsidRPr="00076E76">
              <w:rPr>
                <w:rFonts w:ascii="Gill Sans" w:hAnsi="Gill Sans" w:cs="Gill Sans"/>
                <w:b/>
                <w:color w:val="000000"/>
                <w:szCs w:val="22"/>
                <w:lang w:val="en-AU"/>
              </w:rPr>
              <w:t>:</w:t>
            </w:r>
            <w:r>
              <w:rPr>
                <w:rFonts w:ascii="Gill Sans" w:hAnsi="Gill Sans" w:cs="Gill Sans"/>
                <w:b/>
                <w:color w:val="000000"/>
                <w:szCs w:val="22"/>
                <w:lang w:val="en-AU"/>
              </w:rPr>
              <w:t xml:space="preserve"> </w:t>
            </w:r>
            <w:r>
              <w:rPr>
                <w:rFonts w:ascii="Gill Sans" w:hAnsi="Gill Sans" w:cs="Gill Sans"/>
                <w:color w:val="000000"/>
                <w:szCs w:val="22"/>
                <w:lang w:val="en-AU"/>
              </w:rPr>
              <w:t>Author argues that many academic teachers are uncomfortable using teaching and learning theory, which she argues “</w:t>
            </w:r>
            <w:r w:rsidRPr="007C04CD">
              <w:rPr>
                <w:rFonts w:ascii="Gill Sans" w:hAnsi="Gill Sans" w:cs="Gill Sans"/>
                <w:color w:val="000000"/>
                <w:szCs w:val="22"/>
              </w:rPr>
              <w:t>is understandable because subject specialists who are not social scientists are being asked to become informed amateurs in another discipline</w:t>
            </w:r>
            <w:r>
              <w:rPr>
                <w:rFonts w:ascii="Gill Sans" w:hAnsi="Gill Sans" w:cs="Gill Sans"/>
                <w:color w:val="000000"/>
                <w:szCs w:val="22"/>
              </w:rPr>
              <w:t>” (p.</w:t>
            </w:r>
            <w:r w:rsidR="003E64AB">
              <w:rPr>
                <w:rFonts w:ascii="Gill Sans" w:hAnsi="Gill Sans" w:cs="Gill Sans"/>
                <w:color w:val="000000"/>
                <w:szCs w:val="22"/>
              </w:rPr>
              <w:t>6). Author argues that threshold concepts and phenomenography is useful because it “</w:t>
            </w:r>
            <w:r w:rsidR="003E64AB" w:rsidRPr="003E64AB">
              <w:rPr>
                <w:rFonts w:ascii="Gill Sans" w:hAnsi="Gill Sans" w:cs="Gill Sans"/>
                <w:color w:val="000000"/>
                <w:szCs w:val="22"/>
              </w:rPr>
              <w:t xml:space="preserve">is to share an inquiry into the difficulty of their subject </w:t>
            </w:r>
            <w:r w:rsidR="003E64AB" w:rsidRPr="003E64AB">
              <w:rPr>
                <w:rFonts w:ascii="Gill Sans" w:hAnsi="Gill Sans" w:cs="Gill Sans"/>
                <w:b/>
                <w:bCs/>
                <w:color w:val="000000"/>
                <w:szCs w:val="22"/>
              </w:rPr>
              <w:t xml:space="preserve">with </w:t>
            </w:r>
            <w:r w:rsidR="003E64AB" w:rsidRPr="003E64AB">
              <w:rPr>
                <w:rFonts w:ascii="Gill Sans" w:hAnsi="Gill Sans" w:cs="Gill Sans"/>
                <w:color w:val="000000"/>
                <w:szCs w:val="22"/>
              </w:rPr>
              <w:t>the academics and the students. It is student-</w:t>
            </w:r>
            <w:proofErr w:type="spellStart"/>
            <w:r w:rsidR="003E64AB" w:rsidRPr="003E64AB">
              <w:rPr>
                <w:rFonts w:ascii="Gill Sans" w:hAnsi="Gill Sans" w:cs="Gill Sans"/>
                <w:color w:val="000000"/>
                <w:szCs w:val="22"/>
              </w:rPr>
              <w:t>focussed</w:t>
            </w:r>
            <w:proofErr w:type="spellEnd"/>
            <w:r w:rsidR="003E64AB" w:rsidRPr="003E64AB">
              <w:rPr>
                <w:rFonts w:ascii="Gill Sans" w:hAnsi="Gill Sans" w:cs="Gill Sans"/>
                <w:color w:val="000000"/>
                <w:szCs w:val="22"/>
              </w:rPr>
              <w:t xml:space="preserve"> but not student-centred in ways that remove the academic from the stage</w:t>
            </w:r>
            <w:r w:rsidR="003E64AB">
              <w:rPr>
                <w:rFonts w:ascii="Gill Sans" w:hAnsi="Gill Sans" w:cs="Gill Sans"/>
                <w:color w:val="000000"/>
                <w:szCs w:val="22"/>
              </w:rPr>
              <w:t>” (p.7)</w:t>
            </w:r>
            <w:r w:rsidR="009572D0" w:rsidRPr="00076E76">
              <w:rPr>
                <w:rFonts w:ascii="Gill Sans" w:hAnsi="Gill Sans" w:cs="Gill Sans"/>
                <w:b/>
                <w:color w:val="000000"/>
                <w:szCs w:val="22"/>
                <w:lang w:val="en-AU"/>
              </w:rPr>
              <w:t xml:space="preserve"> </w:t>
            </w:r>
          </w:p>
        </w:tc>
      </w:tr>
      <w:tr w:rsidR="00076E76" w:rsidRPr="00076E76" w14:paraId="7FAD91E5" w14:textId="77777777" w:rsidTr="00341D13">
        <w:tc>
          <w:tcPr>
            <w:tcW w:w="5529" w:type="dxa"/>
            <w:shd w:val="clear" w:color="auto" w:fill="auto"/>
          </w:tcPr>
          <w:p w14:paraId="357DE68C" w14:textId="1DF4F250" w:rsidR="00076E76" w:rsidRPr="00076E76" w:rsidRDefault="00076E76" w:rsidP="002E557C">
            <w:pPr>
              <w:rPr>
                <w:rFonts w:ascii="Gill Sans" w:hAnsi="Gill Sans" w:cs="Gill Sans"/>
                <w:szCs w:val="22"/>
              </w:rPr>
            </w:pPr>
            <w:r w:rsidRPr="00076E76">
              <w:rPr>
                <w:rFonts w:ascii="Gill Sans" w:hAnsi="Gill Sans" w:cs="Gill Sans"/>
                <w:szCs w:val="22"/>
              </w:rPr>
              <w:t xml:space="preserve">Davey, G. (2009). </w:t>
            </w:r>
            <w:hyperlink r:id="rId45" w:history="1">
              <w:r w:rsidRPr="00981A5B">
                <w:rPr>
                  <w:rStyle w:val="Hyperlink"/>
                  <w:rFonts w:ascii="Gill Sans" w:hAnsi="Gill Sans" w:cs="Gill Sans"/>
                  <w:szCs w:val="22"/>
                </w:rPr>
                <w:t xml:space="preserve">Using Bourdieu’s Concept of Habitus to </w:t>
              </w:r>
              <w:r w:rsidRPr="00981A5B">
                <w:rPr>
                  <w:rStyle w:val="Hyperlink"/>
                  <w:rFonts w:ascii="Gill Sans" w:hAnsi="Gill Sans" w:cs="Gill Sans"/>
                  <w:szCs w:val="22"/>
                </w:rPr>
                <w:lastRenderedPageBreak/>
                <w:t>Explore Narratives of Transition</w:t>
              </w:r>
            </w:hyperlink>
            <w:r w:rsidRPr="00076E76">
              <w:rPr>
                <w:rFonts w:ascii="Gill Sans" w:hAnsi="Gill Sans" w:cs="Gill Sans"/>
                <w:szCs w:val="22"/>
              </w:rPr>
              <w:t xml:space="preserve">, </w:t>
            </w:r>
            <w:r w:rsidRPr="00076E76">
              <w:rPr>
                <w:rFonts w:ascii="Gill Sans" w:hAnsi="Gill Sans" w:cs="Gill Sans"/>
                <w:i/>
                <w:szCs w:val="22"/>
              </w:rPr>
              <w:t xml:space="preserve">European Educational Research Journal, </w:t>
            </w:r>
            <w:r w:rsidRPr="00076E76">
              <w:rPr>
                <w:rFonts w:ascii="Gill Sans" w:hAnsi="Gill Sans" w:cs="Gill Sans"/>
                <w:szCs w:val="22"/>
              </w:rPr>
              <w:t>8(2)</w:t>
            </w:r>
            <w:r w:rsidR="00F7728D">
              <w:rPr>
                <w:rFonts w:ascii="Gill Sans" w:hAnsi="Gill Sans" w:cs="Gill Sans"/>
                <w:szCs w:val="22"/>
              </w:rPr>
              <w:t>, 276–</w:t>
            </w:r>
            <w:r w:rsidRPr="00076E76">
              <w:rPr>
                <w:rFonts w:ascii="Gill Sans" w:hAnsi="Gill Sans" w:cs="Gill Sans"/>
                <w:szCs w:val="22"/>
              </w:rPr>
              <w:t>284.</w:t>
            </w:r>
          </w:p>
          <w:p w14:paraId="046F6E4C" w14:textId="77777777" w:rsidR="00076E76" w:rsidRPr="00076E76" w:rsidRDefault="00076E76" w:rsidP="002E557C">
            <w:pPr>
              <w:rPr>
                <w:rFonts w:ascii="Gill Sans" w:hAnsi="Gill Sans" w:cs="Gill Sans"/>
                <w:szCs w:val="22"/>
              </w:rPr>
            </w:pPr>
          </w:p>
          <w:p w14:paraId="41E6FAA7" w14:textId="77777777" w:rsidR="00076E76" w:rsidRPr="00076E76" w:rsidRDefault="00076E76" w:rsidP="002E557C">
            <w:pPr>
              <w:rPr>
                <w:rFonts w:ascii="Gill Sans" w:hAnsi="Gill Sans" w:cs="Gill Sans"/>
                <w:szCs w:val="22"/>
              </w:rPr>
            </w:pPr>
            <w:r w:rsidRPr="00076E76">
              <w:rPr>
                <w:rFonts w:ascii="Gill Sans" w:hAnsi="Gill Sans" w:cs="Gill Sans"/>
                <w:szCs w:val="22"/>
              </w:rPr>
              <w:t>UK</w:t>
            </w:r>
          </w:p>
          <w:p w14:paraId="4C22530C" w14:textId="77777777" w:rsidR="00076E76" w:rsidRPr="00076E76" w:rsidRDefault="00076E76" w:rsidP="000F60CF">
            <w:pPr>
              <w:rPr>
                <w:rFonts w:ascii="Gill Sans" w:hAnsi="Gill Sans" w:cs="Gill Sans"/>
                <w:szCs w:val="22"/>
              </w:rPr>
            </w:pPr>
            <w:r w:rsidRPr="00076E76">
              <w:rPr>
                <w:rFonts w:ascii="Gill Sans" w:hAnsi="Gill Sans" w:cs="Gill Sans"/>
                <w:szCs w:val="22"/>
              </w:rPr>
              <w:t>Annotation by Sally Baker</w:t>
            </w:r>
          </w:p>
          <w:p w14:paraId="62A7500B" w14:textId="77777777" w:rsidR="00076E76" w:rsidRPr="00076E76" w:rsidRDefault="00076E76" w:rsidP="002E557C">
            <w:pPr>
              <w:rPr>
                <w:rFonts w:ascii="Gill Sans" w:hAnsi="Gill Sans" w:cs="Gill Sans"/>
                <w:szCs w:val="22"/>
              </w:rPr>
            </w:pPr>
          </w:p>
          <w:p w14:paraId="1A875741" w14:textId="28C550E7" w:rsidR="00076E76" w:rsidRPr="00DC219B" w:rsidRDefault="00076E76" w:rsidP="002E557C">
            <w:pPr>
              <w:rPr>
                <w:rFonts w:ascii="Gill Sans" w:hAnsi="Gill Sans" w:cs="Gill Sans"/>
                <w:i/>
                <w:szCs w:val="22"/>
              </w:rPr>
            </w:pPr>
            <w:r w:rsidRPr="00076E76">
              <w:rPr>
                <w:rFonts w:ascii="Gill Sans" w:hAnsi="Gill Sans" w:cs="Gill Sans"/>
                <w:szCs w:val="22"/>
              </w:rPr>
              <w:t>Keywords</w:t>
            </w:r>
            <w:r w:rsidR="00DC219B">
              <w:rPr>
                <w:rFonts w:ascii="Gill Sans" w:hAnsi="Gill Sans" w:cs="Gill Sans"/>
                <w:szCs w:val="22"/>
              </w:rPr>
              <w:t xml:space="preserve"> (Sally’s): </w:t>
            </w:r>
            <w:r w:rsidRPr="00DC219B">
              <w:rPr>
                <w:rFonts w:ascii="Gill Sans" w:hAnsi="Gill Sans" w:cs="Gill Sans"/>
                <w:i/>
                <w:szCs w:val="22"/>
              </w:rPr>
              <w:t>transition; A-levels; habitus; field; capital; Bourdieu</w:t>
            </w:r>
          </w:p>
          <w:p w14:paraId="7302376B" w14:textId="77777777" w:rsidR="00076E76" w:rsidRPr="00DC219B" w:rsidRDefault="00076E76" w:rsidP="002E557C">
            <w:pPr>
              <w:rPr>
                <w:rFonts w:ascii="Gill Sans" w:hAnsi="Gill Sans" w:cs="Gill Sans"/>
                <w:i/>
                <w:szCs w:val="22"/>
              </w:rPr>
            </w:pPr>
          </w:p>
          <w:p w14:paraId="4EA5FB04" w14:textId="2CCFA872" w:rsidR="00076E76" w:rsidRPr="00076E76" w:rsidRDefault="00076E76" w:rsidP="002E557C">
            <w:pPr>
              <w:rPr>
                <w:rFonts w:ascii="Gill Sans" w:hAnsi="Gill Sans" w:cs="Gill Sans"/>
                <w:szCs w:val="22"/>
              </w:rPr>
            </w:pPr>
          </w:p>
        </w:tc>
        <w:tc>
          <w:tcPr>
            <w:tcW w:w="10064" w:type="dxa"/>
          </w:tcPr>
          <w:p w14:paraId="4B36B582" w14:textId="26F368F1" w:rsidR="00076E76" w:rsidRPr="00076E76" w:rsidRDefault="00076E76" w:rsidP="00086FB5">
            <w:pPr>
              <w:rPr>
                <w:rFonts w:ascii="Gill Sans" w:hAnsi="Gill Sans" w:cs="Gill Sans"/>
                <w:color w:val="000000"/>
                <w:szCs w:val="22"/>
                <w:lang w:val="en-AU"/>
              </w:rPr>
            </w:pPr>
            <w:r w:rsidRPr="00076E76">
              <w:rPr>
                <w:rFonts w:ascii="Gill Sans" w:hAnsi="Gill Sans" w:cs="Gill Sans"/>
                <w:b/>
                <w:color w:val="000000"/>
                <w:szCs w:val="22"/>
                <w:lang w:val="en-AU"/>
              </w:rPr>
              <w:lastRenderedPageBreak/>
              <w:t xml:space="preserve">Context: </w:t>
            </w:r>
            <w:r w:rsidRPr="00076E76">
              <w:rPr>
                <w:rFonts w:ascii="Gill Sans" w:hAnsi="Gill Sans" w:cs="Gill Sans"/>
                <w:color w:val="000000"/>
                <w:szCs w:val="22"/>
                <w:lang w:val="en-AU"/>
              </w:rPr>
              <w:t>Young people’s decision-making</w:t>
            </w:r>
            <w:r w:rsidR="00706D4E" w:rsidRPr="00076E76">
              <w:rPr>
                <w:rFonts w:ascii="Gill Sans" w:hAnsi="Gill Sans" w:cs="Gill Sans"/>
                <w:color w:val="000000"/>
                <w:szCs w:val="22"/>
                <w:lang w:val="en-AU"/>
              </w:rPr>
              <w:t xml:space="preserve"> about post-school futures/ higher education.</w:t>
            </w:r>
          </w:p>
          <w:p w14:paraId="3E9700A2" w14:textId="3CAAFF9C" w:rsidR="00076E76" w:rsidRPr="00076E76" w:rsidRDefault="00076E76" w:rsidP="00913920">
            <w:pPr>
              <w:rPr>
                <w:rFonts w:ascii="Gill Sans" w:hAnsi="Gill Sans" w:cs="Gill Sans"/>
                <w:color w:val="000000"/>
                <w:szCs w:val="22"/>
                <w:lang w:val="en-AU"/>
              </w:rPr>
            </w:pPr>
            <w:r w:rsidRPr="00076E76">
              <w:rPr>
                <w:rFonts w:ascii="Gill Sans" w:hAnsi="Gill Sans" w:cs="Gill Sans"/>
                <w:b/>
                <w:color w:val="000000"/>
                <w:szCs w:val="22"/>
                <w:lang w:val="en-AU"/>
              </w:rPr>
              <w:lastRenderedPageBreak/>
              <w:t xml:space="preserve">Theoretical frame: </w:t>
            </w:r>
            <w:r w:rsidRPr="00076E76">
              <w:rPr>
                <w:rFonts w:ascii="Gill Sans" w:hAnsi="Gill Sans" w:cs="Gill Sans"/>
                <w:color w:val="000000"/>
                <w:szCs w:val="22"/>
                <w:lang w:val="en-AU"/>
              </w:rPr>
              <w:t>Habitus, cultural capital and field (Bourdieu). Author scopes critique of habitus (lack of definition; difficulty of cleaving from capital – scant examples of ‘practical application’). Author argues that habitus = relational concept: “</w:t>
            </w:r>
            <w:r w:rsidRPr="00076E76">
              <w:rPr>
                <w:rFonts w:ascii="Gill Sans" w:hAnsi="Gill Sans" w:cs="Gill Sans"/>
                <w:color w:val="000000"/>
                <w:szCs w:val="22"/>
              </w:rPr>
              <w:t>Habitus is exposed through their attempts to understand the informal, unspoken rules of the new environment” and “In working with habitus alongside cultural capital, we can see too how individuals’ position in the field is understood dynamically through the matrices of time and space” (p.277).</w:t>
            </w:r>
          </w:p>
          <w:p w14:paraId="42001F44" w14:textId="446F1877" w:rsidR="00076E76" w:rsidRPr="00076E76" w:rsidRDefault="00076E76" w:rsidP="00086FB5">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 xml:space="preserve">Longitudinal tracking methodology (two schools in UK: to independent from state sixth form) of 12 students, from starting A-levels to making decisions about post-school futures/ higher education. Article focuses on narratives of 3 participants. Used </w:t>
            </w:r>
            <w:proofErr w:type="spellStart"/>
            <w:r w:rsidRPr="00076E76">
              <w:rPr>
                <w:rFonts w:ascii="Gill Sans" w:hAnsi="Gill Sans" w:cs="Gill Sans"/>
                <w:color w:val="000000"/>
                <w:szCs w:val="22"/>
              </w:rPr>
              <w:t>Wengraf’s</w:t>
            </w:r>
            <w:proofErr w:type="spellEnd"/>
            <w:r w:rsidRPr="00076E76">
              <w:rPr>
                <w:rFonts w:ascii="Gill Sans" w:hAnsi="Gill Sans" w:cs="Gill Sans"/>
                <w:color w:val="000000"/>
                <w:szCs w:val="22"/>
              </w:rPr>
              <w:t xml:space="preserve"> (2006) biographic narrative technique – use of single question to elicit narrative response – participants interviewed in autumn (first) and summer (last) terms of first year of A-levels and again in second year</w:t>
            </w:r>
          </w:p>
          <w:p w14:paraId="5BD04F18" w14:textId="77777777" w:rsidR="00076E76" w:rsidRPr="00076E76" w:rsidRDefault="00076E76" w:rsidP="00693C94">
            <w:pPr>
              <w:rPr>
                <w:rFonts w:ascii="Gill Sans" w:hAnsi="Gill Sans" w:cs="Gill Sans"/>
                <w:color w:val="000000"/>
                <w:szCs w:val="22"/>
              </w:rPr>
            </w:pPr>
            <w:r w:rsidRPr="00076E76">
              <w:rPr>
                <w:rFonts w:ascii="Gill Sans" w:hAnsi="Gill Sans" w:cs="Gill Sans"/>
                <w:b/>
                <w:color w:val="000000"/>
                <w:szCs w:val="22"/>
                <w:lang w:val="en-AU"/>
              </w:rPr>
              <w:t xml:space="preserve">Findings: </w:t>
            </w:r>
            <w:r w:rsidRPr="00076E76">
              <w:rPr>
                <w:rFonts w:ascii="Gill Sans" w:hAnsi="Gill Sans" w:cs="Gill Sans"/>
                <w:color w:val="000000"/>
                <w:szCs w:val="22"/>
                <w:lang w:val="en-AU"/>
              </w:rPr>
              <w:t>Reasons for doing A-levels = fear of being left behind by friends; for instances, Pam followed friend to independent sixth form which challenged her self-perception (as a bad student) and opened her mind to possibilities/ aspirations for higher education. Pam and Louise also demonstrated some resistance to the class-coded behaviours/ rules of the independent sixth form. Emotional transition for Pam = moving to new school and trying to maintain friendships with old friends who saw the new school as snobbish. She described a feeling of being pulled in two directions: “</w:t>
            </w:r>
            <w:r w:rsidRPr="00076E76">
              <w:rPr>
                <w:rFonts w:ascii="Gill Sans" w:hAnsi="Gill Sans" w:cs="Gill Sans"/>
                <w:color w:val="000000"/>
                <w:szCs w:val="22"/>
              </w:rPr>
              <w:t>For Pam, a successful transition is understood in terms of the reconciliation of past and present friendship networks” (p.280). Louise = felt less keenly that she had to maintain old friendships and saw ‘no way back’ to her old life. Stephen = more emotionally/ socially detached from the transition. Initially he was preoccupied with the academic challenges of his studies/ chosen subjects. Later he develops a space to ‘be himself’/ engage in banter/ perform his preferred identity/ies (in contrast with last school where he was bullied) = creation of new educational subjectivities.</w:t>
            </w:r>
          </w:p>
          <w:p w14:paraId="0526B804" w14:textId="72526045" w:rsidR="00076E76" w:rsidRPr="00076E76" w:rsidRDefault="00076E76" w:rsidP="00C2396D">
            <w:pPr>
              <w:rPr>
                <w:rFonts w:ascii="Gill Sans" w:hAnsi="Gill Sans" w:cs="Gill Sans"/>
                <w:color w:val="000000"/>
                <w:szCs w:val="22"/>
              </w:rPr>
            </w:pPr>
            <w:r w:rsidRPr="00076E76">
              <w:rPr>
                <w:rFonts w:ascii="Gill Sans" w:hAnsi="Gill Sans" w:cs="Gill Sans"/>
                <w:color w:val="000000"/>
                <w:szCs w:val="22"/>
              </w:rPr>
              <w:t>Relational elements played out in cultural arena – school privileged extra-</w:t>
            </w:r>
            <w:proofErr w:type="spellStart"/>
            <w:r w:rsidRPr="00076E76">
              <w:rPr>
                <w:rFonts w:ascii="Gill Sans" w:hAnsi="Gill Sans" w:cs="Gill Sans"/>
                <w:color w:val="000000"/>
                <w:szCs w:val="22"/>
              </w:rPr>
              <w:t>curricula</w:t>
            </w:r>
            <w:proofErr w:type="spellEnd"/>
            <w:r w:rsidRPr="00076E76">
              <w:rPr>
                <w:rFonts w:ascii="Gill Sans" w:hAnsi="Gill Sans" w:cs="Gill Sans"/>
                <w:color w:val="000000"/>
                <w:szCs w:val="22"/>
              </w:rPr>
              <w:t xml:space="preserve"> activities such as music or sport: “Class is embedded and implicit in the assumptions made about students’ ability to give time</w:t>
            </w:r>
          </w:p>
          <w:p w14:paraId="509BAFA1" w14:textId="2E9CFB9E" w:rsidR="00076E76" w:rsidRPr="00076E76" w:rsidRDefault="00076E76" w:rsidP="005B63D9">
            <w:pPr>
              <w:rPr>
                <w:rFonts w:ascii="Gill Sans" w:hAnsi="Gill Sans" w:cs="Gill Sans"/>
                <w:color w:val="000000"/>
                <w:szCs w:val="22"/>
                <w:lang w:val="en-AU"/>
              </w:rPr>
            </w:pPr>
            <w:r w:rsidRPr="00076E76">
              <w:rPr>
                <w:rFonts w:ascii="Gill Sans" w:hAnsi="Gill Sans" w:cs="Gill Sans"/>
                <w:color w:val="000000"/>
                <w:szCs w:val="22"/>
              </w:rPr>
              <w:t>to musical and sporting pursuits” (p.282) – not engaging in paid work. Pam resisted this and kept her weekend job; “However, it would be wrong to see Pam’s habitus as impermeable and unyielding to the time spent in the school. Her exposure to this place, its students and its doxa add a further layer to her habitus, with the potential for its effects to emerge over time” (p.282). Stephen, in contrast, = more frustrated about his positioning against others’ talents</w:t>
            </w:r>
            <w:r w:rsidRPr="00076E76">
              <w:rPr>
                <w:rFonts w:ascii="Gill Sans" w:hAnsi="Gill Sans" w:cs="Gill Sans"/>
                <w:b/>
                <w:color w:val="000000"/>
                <w:szCs w:val="22"/>
                <w:lang w:val="en-AU"/>
              </w:rPr>
              <w:br/>
              <w:t xml:space="preserve">Core argument: </w:t>
            </w:r>
            <w:r w:rsidRPr="00076E76">
              <w:rPr>
                <w:rFonts w:ascii="Gill Sans" w:hAnsi="Gill Sans" w:cs="Gill Sans"/>
                <w:color w:val="000000"/>
                <w:szCs w:val="22"/>
                <w:lang w:val="en-AU"/>
              </w:rPr>
              <w:t xml:space="preserve">Decision-making = classed practice; “individual habitus </w:t>
            </w:r>
            <w:r w:rsidRPr="00076E76">
              <w:rPr>
                <w:rFonts w:ascii="Gill Sans" w:hAnsi="Gill Sans" w:cs="Gill Sans"/>
                <w:color w:val="000000"/>
                <w:szCs w:val="22"/>
              </w:rPr>
              <w:t>responds in harmony or discord with the field” (p.283). Change can come when there is a lack of ‘fit’ between an individual’s habitus and the field</w:t>
            </w:r>
          </w:p>
        </w:tc>
      </w:tr>
      <w:tr w:rsidR="00C60612" w:rsidRPr="00076E76" w14:paraId="2304D60A" w14:textId="77777777" w:rsidTr="00341D13">
        <w:tc>
          <w:tcPr>
            <w:tcW w:w="5529" w:type="dxa"/>
            <w:shd w:val="clear" w:color="auto" w:fill="auto"/>
          </w:tcPr>
          <w:p w14:paraId="67DD1E03" w14:textId="3FA3C455" w:rsidR="00C60612" w:rsidRDefault="00C60612" w:rsidP="00C60612">
            <w:pPr>
              <w:rPr>
                <w:rFonts w:ascii="Gill Sans" w:hAnsi="Gill Sans" w:cs="Gill Sans"/>
                <w:szCs w:val="22"/>
                <w:lang w:val="en-AU"/>
              </w:rPr>
            </w:pPr>
            <w:r>
              <w:rPr>
                <w:rFonts w:ascii="Gill Sans" w:hAnsi="Gill Sans" w:cs="Gill Sans"/>
                <w:szCs w:val="22"/>
              </w:rPr>
              <w:lastRenderedPageBreak/>
              <w:t xml:space="preserve">Downes, P. (2019). </w:t>
            </w:r>
            <w:hyperlink r:id="rId46" w:history="1">
              <w:r w:rsidRPr="00C60612">
                <w:rPr>
                  <w:rStyle w:val="Hyperlink"/>
                  <w:rFonts w:ascii="Gill Sans" w:hAnsi="Gill Sans" w:cs="Gill Sans"/>
                  <w:szCs w:val="22"/>
                  <w:lang w:val="en-AU"/>
                </w:rPr>
                <w:t>Transition as a displacement from more fundamental system concerns: Distinguishing four different meanings of transition in education</w:t>
              </w:r>
            </w:hyperlink>
            <w:r w:rsidRPr="00C60612">
              <w:rPr>
                <w:rFonts w:ascii="Gill Sans" w:hAnsi="Gill Sans" w:cs="Gill Sans"/>
                <w:szCs w:val="22"/>
                <w:lang w:val="en-AU"/>
              </w:rPr>
              <w:t xml:space="preserve">, </w:t>
            </w:r>
            <w:r w:rsidRPr="00C60612">
              <w:rPr>
                <w:rFonts w:ascii="Gill Sans" w:hAnsi="Gill Sans" w:cs="Gill Sans"/>
                <w:i/>
                <w:iCs/>
                <w:szCs w:val="22"/>
                <w:lang w:val="en-AU"/>
              </w:rPr>
              <w:t>Educational Philosophy and Theory</w:t>
            </w:r>
            <w:r w:rsidRPr="00C60612">
              <w:rPr>
                <w:rFonts w:ascii="Gill Sans" w:hAnsi="Gill Sans" w:cs="Gill Sans"/>
                <w:szCs w:val="22"/>
                <w:lang w:val="en-AU"/>
              </w:rPr>
              <w:t>, 51</w:t>
            </w:r>
            <w:r>
              <w:rPr>
                <w:rFonts w:ascii="Gill Sans" w:hAnsi="Gill Sans" w:cs="Gill Sans"/>
                <w:szCs w:val="22"/>
                <w:lang w:val="en-AU"/>
              </w:rPr>
              <w:t>(1</w:t>
            </w:r>
            <w:r w:rsidRPr="00C60612">
              <w:rPr>
                <w:rFonts w:ascii="Gill Sans" w:hAnsi="Gill Sans" w:cs="Gill Sans"/>
                <w:szCs w:val="22"/>
                <w:lang w:val="en-AU"/>
              </w:rPr>
              <w:t>4</w:t>
            </w:r>
            <w:r>
              <w:rPr>
                <w:rFonts w:ascii="Gill Sans" w:hAnsi="Gill Sans" w:cs="Gill Sans"/>
                <w:szCs w:val="22"/>
                <w:lang w:val="en-AU"/>
              </w:rPr>
              <w:t>)</w:t>
            </w:r>
            <w:r w:rsidRPr="00C60612">
              <w:rPr>
                <w:rFonts w:ascii="Gill Sans" w:hAnsi="Gill Sans" w:cs="Gill Sans"/>
                <w:szCs w:val="22"/>
                <w:lang w:val="en-AU"/>
              </w:rPr>
              <w:t>, 1465</w:t>
            </w:r>
            <w:r>
              <w:rPr>
                <w:rFonts w:ascii="Gill Sans" w:hAnsi="Gill Sans" w:cs="Gill Sans"/>
                <w:szCs w:val="22"/>
                <w:lang w:val="en-AU"/>
              </w:rPr>
              <w:t>–</w:t>
            </w:r>
            <w:r w:rsidRPr="00C60612">
              <w:rPr>
                <w:rFonts w:ascii="Gill Sans" w:hAnsi="Gill Sans" w:cs="Gill Sans"/>
                <w:szCs w:val="22"/>
                <w:lang w:val="en-AU"/>
              </w:rPr>
              <w:t>1476</w:t>
            </w:r>
            <w:r>
              <w:rPr>
                <w:rFonts w:ascii="Gill Sans" w:hAnsi="Gill Sans" w:cs="Gill Sans"/>
                <w:szCs w:val="22"/>
                <w:lang w:val="en-AU"/>
              </w:rPr>
              <w:t>.</w:t>
            </w:r>
            <w:r w:rsidRPr="00C60612">
              <w:rPr>
                <w:rFonts w:ascii="Gill Sans" w:hAnsi="Gill Sans" w:cs="Gill Sans"/>
                <w:szCs w:val="22"/>
                <w:lang w:val="en-AU"/>
              </w:rPr>
              <w:t xml:space="preserve"> </w:t>
            </w:r>
          </w:p>
          <w:p w14:paraId="08AFD968" w14:textId="5D342D2B" w:rsidR="00C60612" w:rsidRDefault="00C60612" w:rsidP="00C60612">
            <w:pPr>
              <w:rPr>
                <w:rFonts w:ascii="Gill Sans" w:hAnsi="Gill Sans" w:cs="Gill Sans"/>
                <w:szCs w:val="22"/>
                <w:lang w:val="en-AU"/>
              </w:rPr>
            </w:pPr>
          </w:p>
          <w:p w14:paraId="35B5A1EA" w14:textId="072E72A4" w:rsidR="00C60612" w:rsidRDefault="00C60612" w:rsidP="00C60612">
            <w:pPr>
              <w:rPr>
                <w:rFonts w:ascii="Gill Sans" w:hAnsi="Gill Sans" w:cs="Gill Sans"/>
                <w:szCs w:val="22"/>
                <w:lang w:val="en-AU"/>
              </w:rPr>
            </w:pPr>
            <w:r>
              <w:rPr>
                <w:rFonts w:ascii="Gill Sans" w:hAnsi="Gill Sans" w:cs="Gill Sans"/>
                <w:szCs w:val="22"/>
                <w:lang w:val="en-AU"/>
              </w:rPr>
              <w:t>IRE</w:t>
            </w:r>
          </w:p>
          <w:p w14:paraId="1BF0BB3F" w14:textId="7D4C262B" w:rsidR="00C60612" w:rsidRDefault="00C60612" w:rsidP="00C60612">
            <w:pPr>
              <w:rPr>
                <w:rFonts w:ascii="Gill Sans" w:hAnsi="Gill Sans" w:cs="Gill Sans"/>
                <w:szCs w:val="22"/>
                <w:lang w:val="en-AU"/>
              </w:rPr>
            </w:pPr>
          </w:p>
          <w:p w14:paraId="35B4DDE8" w14:textId="55916740" w:rsidR="00C60612" w:rsidRPr="00076E76" w:rsidRDefault="00C60612" w:rsidP="00C60612">
            <w:pPr>
              <w:rPr>
                <w:rFonts w:ascii="Gill Sans" w:hAnsi="Gill Sans" w:cs="Gill Sans"/>
                <w:szCs w:val="22"/>
              </w:rPr>
            </w:pPr>
            <w:r>
              <w:rPr>
                <w:rFonts w:ascii="Gill Sans" w:hAnsi="Gill Sans" w:cs="Gill Sans"/>
                <w:szCs w:val="22"/>
                <w:lang w:val="en-AU"/>
              </w:rPr>
              <w:t xml:space="preserve">Keywords: </w:t>
            </w:r>
            <w:r w:rsidRPr="00C60612">
              <w:rPr>
                <w:rFonts w:ascii="Gill Sans" w:hAnsi="Gill Sans" w:cs="Gill Sans"/>
                <w:i/>
                <w:iCs/>
                <w:szCs w:val="22"/>
                <w:lang w:val="en-AU"/>
              </w:rPr>
              <w:t>Transition; systems; school climate; space; primary school; post</w:t>
            </w:r>
            <w:r>
              <w:rPr>
                <w:rFonts w:ascii="Gill Sans" w:hAnsi="Gill Sans" w:cs="Gill Sans"/>
                <w:i/>
                <w:iCs/>
                <w:szCs w:val="22"/>
                <w:lang w:val="en-AU"/>
              </w:rPr>
              <w:t>-</w:t>
            </w:r>
            <w:r w:rsidRPr="00C60612">
              <w:rPr>
                <w:rFonts w:ascii="Gill Sans" w:hAnsi="Gill Sans" w:cs="Gill Sans"/>
                <w:i/>
                <w:iCs/>
                <w:szCs w:val="22"/>
                <w:lang w:val="en-AU"/>
              </w:rPr>
              <w:t>primary school; bullying</w:t>
            </w:r>
          </w:p>
        </w:tc>
        <w:tc>
          <w:tcPr>
            <w:tcW w:w="10064" w:type="dxa"/>
          </w:tcPr>
          <w:p w14:paraId="4326838C" w14:textId="6283CFAF" w:rsidR="00C60612" w:rsidRPr="00C60612" w:rsidRDefault="00C60612" w:rsidP="00086FB5">
            <w:pPr>
              <w:rPr>
                <w:rFonts w:ascii="Gill Sans" w:hAnsi="Gill Sans" w:cs="Gill Sans"/>
                <w:b/>
                <w:color w:val="000000"/>
                <w:szCs w:val="22"/>
                <w:lang w:val="en-AU"/>
              </w:rPr>
            </w:pPr>
            <w:r>
              <w:rPr>
                <w:rFonts w:ascii="Gill Sans" w:hAnsi="Gill Sans" w:cs="Gill Sans"/>
                <w:b/>
                <w:color w:val="000000"/>
                <w:szCs w:val="22"/>
                <w:lang w:val="en-AU"/>
              </w:rPr>
              <w:t xml:space="preserve">Context: </w:t>
            </w:r>
            <w:r w:rsidRPr="00C60612">
              <w:rPr>
                <w:rFonts w:ascii="Gill Sans" w:hAnsi="Gill Sans" w:cs="Gill Sans"/>
                <w:bCs/>
                <w:color w:val="000000"/>
                <w:szCs w:val="22"/>
                <w:lang w:val="en-AU"/>
              </w:rPr>
              <w:t>Educational transitions</w:t>
            </w:r>
            <w:r>
              <w:rPr>
                <w:rFonts w:ascii="Gill Sans" w:hAnsi="Gill Sans" w:cs="Gill Sans"/>
                <w:bCs/>
                <w:color w:val="000000"/>
                <w:szCs w:val="22"/>
                <w:lang w:val="en-AU"/>
              </w:rPr>
              <w:t>; author argues that the notion of transition is “conceptually fragmented in its understanding” (p.1466) — drawing on Wittgenstein, author notes how linguistic games can be reductive/ abstract meaning: “</w:t>
            </w:r>
            <w:r w:rsidRPr="00C60612">
              <w:rPr>
                <w:rFonts w:ascii="Gill Sans" w:hAnsi="Gill Sans" w:cs="Gill Sans"/>
                <w:bCs/>
                <w:color w:val="000000"/>
                <w:szCs w:val="22"/>
                <w:lang w:val="en-AU"/>
              </w:rPr>
              <w:t>treating such ambitions as specious and reducing their scope to being truths that are socially and culturally conditioned simpliciter</w:t>
            </w:r>
            <w:r>
              <w:rPr>
                <w:rFonts w:ascii="Gill Sans" w:hAnsi="Gill Sans" w:cs="Gill Sans"/>
                <w:bCs/>
                <w:color w:val="000000"/>
                <w:szCs w:val="22"/>
                <w:lang w:val="en-AU"/>
              </w:rPr>
              <w:t>” (p.1466). Author argues that transition = dominantly understood in spatial/ ecological terms (drawing on Bronfenbrenner/ developmental psych), which “</w:t>
            </w:r>
            <w:r w:rsidRPr="00C60612">
              <w:rPr>
                <w:rFonts w:ascii="Gill Sans" w:hAnsi="Gill Sans" w:cs="Gill Sans"/>
                <w:bCs/>
                <w:color w:val="000000"/>
                <w:szCs w:val="22"/>
                <w:lang w:val="en-AU"/>
              </w:rPr>
              <w:t>offers limited understanding of power in systems, of system blockage and inertia, as well as of system fragmentation</w:t>
            </w:r>
            <w:r>
              <w:rPr>
                <w:rFonts w:ascii="Gill Sans" w:hAnsi="Gill Sans" w:cs="Gill Sans"/>
                <w:bCs/>
                <w:color w:val="000000"/>
                <w:szCs w:val="22"/>
                <w:lang w:val="en-AU"/>
              </w:rPr>
              <w:t>” (p.1466). Focus on much transition research examines the individual as the object of study, without paying attention to the system/ structure/ context of the ‘site’</w:t>
            </w:r>
          </w:p>
          <w:p w14:paraId="59631D00" w14:textId="6FF643BC" w:rsidR="00C60612" w:rsidRPr="00C60612" w:rsidRDefault="00C60612" w:rsidP="00086FB5">
            <w:pPr>
              <w:rPr>
                <w:rFonts w:ascii="Gill Sans" w:hAnsi="Gill Sans" w:cs="Gill Sans"/>
                <w:bCs/>
                <w:color w:val="000000"/>
                <w:szCs w:val="22"/>
                <w:lang w:val="en-AU"/>
              </w:rPr>
            </w:pPr>
            <w:r>
              <w:rPr>
                <w:rFonts w:ascii="Gill Sans" w:hAnsi="Gill Sans" w:cs="Gill Sans"/>
                <w:b/>
                <w:color w:val="000000"/>
                <w:szCs w:val="22"/>
                <w:lang w:val="en-AU"/>
              </w:rPr>
              <w:t xml:space="preserve">Aims: </w:t>
            </w:r>
            <w:r>
              <w:rPr>
                <w:rFonts w:ascii="Gill Sans" w:hAnsi="Gill Sans" w:cs="Gill Sans"/>
                <w:bCs/>
                <w:color w:val="000000"/>
                <w:szCs w:val="22"/>
                <w:lang w:val="en-AU"/>
              </w:rPr>
              <w:t>To “</w:t>
            </w:r>
            <w:r w:rsidRPr="00C60612">
              <w:rPr>
                <w:rFonts w:ascii="Gill Sans" w:hAnsi="Gill Sans" w:cs="Gill Sans"/>
                <w:bCs/>
                <w:color w:val="000000"/>
                <w:szCs w:val="22"/>
                <w:lang w:val="en-AU"/>
              </w:rPr>
              <w:t xml:space="preserve">distinguish different conceptual understandings of transition, to </w:t>
            </w:r>
            <w:proofErr w:type="spellStart"/>
            <w:r w:rsidRPr="00C60612">
              <w:rPr>
                <w:rFonts w:ascii="Gill Sans" w:hAnsi="Gill Sans" w:cs="Gill Sans"/>
                <w:bCs/>
                <w:color w:val="000000"/>
                <w:szCs w:val="22"/>
                <w:lang w:val="en-AU"/>
              </w:rPr>
              <w:t>empha</w:t>
            </w:r>
            <w:proofErr w:type="spellEnd"/>
            <w:r w:rsidRPr="00C60612">
              <w:rPr>
                <w:rFonts w:ascii="Gill Sans" w:hAnsi="Gill Sans" w:cs="Gill Sans"/>
                <w:bCs/>
                <w:color w:val="000000"/>
                <w:szCs w:val="22"/>
                <w:lang w:val="en-AU"/>
              </w:rPr>
              <w:t xml:space="preserve">- </w:t>
            </w:r>
            <w:proofErr w:type="spellStart"/>
            <w:r w:rsidRPr="00C60612">
              <w:rPr>
                <w:rFonts w:ascii="Gill Sans" w:hAnsi="Gill Sans" w:cs="Gill Sans"/>
                <w:bCs/>
                <w:color w:val="000000"/>
                <w:szCs w:val="22"/>
                <w:lang w:val="en-AU"/>
              </w:rPr>
              <w:t>sise</w:t>
            </w:r>
            <w:proofErr w:type="spellEnd"/>
            <w:r w:rsidRPr="00C60612">
              <w:rPr>
                <w:rFonts w:ascii="Gill Sans" w:hAnsi="Gill Sans" w:cs="Gill Sans"/>
                <w:bCs/>
                <w:color w:val="000000"/>
                <w:szCs w:val="22"/>
                <w:lang w:val="en-AU"/>
              </w:rPr>
              <w:t xml:space="preserve"> contextual specificity of its meaning and use for educational domains</w:t>
            </w:r>
            <w:r>
              <w:rPr>
                <w:rFonts w:ascii="Gill Sans" w:hAnsi="Gill Sans" w:cs="Gill Sans"/>
                <w:bCs/>
                <w:color w:val="000000"/>
                <w:szCs w:val="22"/>
                <w:lang w:val="en-AU"/>
              </w:rPr>
              <w:t>”</w:t>
            </w:r>
          </w:p>
          <w:p w14:paraId="36838882" w14:textId="5ACBFCC8" w:rsidR="00C60612" w:rsidRPr="00C60612" w:rsidRDefault="00C60612" w:rsidP="00086FB5">
            <w:pPr>
              <w:rPr>
                <w:rFonts w:ascii="Gill Sans" w:hAnsi="Gill Sans" w:cs="Gill Sans"/>
                <w:bCs/>
                <w:color w:val="000000"/>
                <w:szCs w:val="22"/>
                <w:lang w:val="en-AU"/>
              </w:rPr>
            </w:pPr>
            <w:r>
              <w:rPr>
                <w:rFonts w:ascii="Gill Sans" w:hAnsi="Gill Sans" w:cs="Gill Sans"/>
                <w:b/>
                <w:color w:val="000000"/>
                <w:szCs w:val="22"/>
                <w:lang w:val="en-AU"/>
              </w:rPr>
              <w:t xml:space="preserve">Theoretical frame: </w:t>
            </w:r>
            <w:r w:rsidR="00D05557">
              <w:rPr>
                <w:rFonts w:ascii="Gill Sans" w:hAnsi="Gill Sans" w:cs="Gill Sans"/>
                <w:bCs/>
                <w:color w:val="000000"/>
                <w:szCs w:val="22"/>
                <w:lang w:val="en-AU"/>
              </w:rPr>
              <w:t>Spatial notions of transitions; critique of Bronfenbrenner</w:t>
            </w:r>
          </w:p>
          <w:p w14:paraId="69F54BB2" w14:textId="7269E8CB" w:rsidR="00C60612" w:rsidRPr="00D05557" w:rsidRDefault="00C60612" w:rsidP="00086FB5">
            <w:pPr>
              <w:rPr>
                <w:rFonts w:ascii="Gill Sans" w:hAnsi="Gill Sans" w:cs="Gill Sans"/>
                <w:bCs/>
                <w:color w:val="000000"/>
                <w:szCs w:val="22"/>
                <w:lang w:val="en-AU"/>
              </w:rPr>
            </w:pPr>
            <w:r>
              <w:rPr>
                <w:rFonts w:ascii="Gill Sans" w:hAnsi="Gill Sans" w:cs="Gill Sans"/>
                <w:b/>
                <w:color w:val="000000"/>
                <w:szCs w:val="22"/>
                <w:lang w:val="en-AU"/>
              </w:rPr>
              <w:t>Methodology:</w:t>
            </w:r>
            <w:r w:rsidR="00D05557">
              <w:rPr>
                <w:rFonts w:ascii="Gill Sans" w:hAnsi="Gill Sans" w:cs="Gill Sans"/>
                <w:b/>
                <w:color w:val="000000"/>
                <w:szCs w:val="22"/>
                <w:lang w:val="en-AU"/>
              </w:rPr>
              <w:t xml:space="preserve"> </w:t>
            </w:r>
            <w:r w:rsidR="00D05557">
              <w:rPr>
                <w:rFonts w:ascii="Gill Sans" w:hAnsi="Gill Sans" w:cs="Gill Sans"/>
                <w:bCs/>
                <w:color w:val="000000"/>
                <w:szCs w:val="22"/>
                <w:lang w:val="en-AU"/>
              </w:rPr>
              <w:t>Essay</w:t>
            </w:r>
          </w:p>
          <w:p w14:paraId="53D6A079" w14:textId="34062A27" w:rsidR="00C60612" w:rsidRDefault="00C60612" w:rsidP="00086FB5">
            <w:pPr>
              <w:rPr>
                <w:rFonts w:ascii="Gill Sans" w:hAnsi="Gill Sans" w:cs="Gill Sans"/>
                <w:bCs/>
                <w:color w:val="000000"/>
                <w:szCs w:val="22"/>
                <w:lang w:val="en-AU"/>
              </w:rPr>
            </w:pPr>
            <w:r>
              <w:rPr>
                <w:rFonts w:ascii="Gill Sans" w:hAnsi="Gill Sans" w:cs="Gill Sans"/>
                <w:b/>
                <w:color w:val="000000"/>
                <w:szCs w:val="22"/>
                <w:lang w:val="en-AU"/>
              </w:rPr>
              <w:t>Findings:</w:t>
            </w:r>
            <w:r w:rsidR="00D05557">
              <w:rPr>
                <w:rFonts w:ascii="Gill Sans" w:hAnsi="Gill Sans" w:cs="Gill Sans"/>
                <w:b/>
                <w:color w:val="000000"/>
                <w:szCs w:val="22"/>
                <w:lang w:val="en-AU"/>
              </w:rPr>
              <w:t xml:space="preserve"> </w:t>
            </w:r>
            <w:r w:rsidR="00D05557">
              <w:rPr>
                <w:rFonts w:ascii="Gill Sans" w:hAnsi="Gill Sans" w:cs="Gill Sans"/>
                <w:bCs/>
                <w:color w:val="000000"/>
                <w:szCs w:val="22"/>
                <w:lang w:val="en-AU"/>
              </w:rPr>
              <w:t>Author argues that taking spatial view of transition that distinguishes between fore/backgrounded elements of the environment:</w:t>
            </w:r>
          </w:p>
          <w:p w14:paraId="58FD651B" w14:textId="1EB8F1BC" w:rsidR="00D05557" w:rsidRPr="00D05557" w:rsidRDefault="00D05557" w:rsidP="00D05557">
            <w:pPr>
              <w:pStyle w:val="ListParagraph"/>
              <w:numPr>
                <w:ilvl w:val="0"/>
                <w:numId w:val="42"/>
              </w:numPr>
              <w:rPr>
                <w:rFonts w:ascii="Gill Sans" w:hAnsi="Gill Sans" w:cs="Gill Sans"/>
                <w:bCs/>
                <w:color w:val="000000"/>
                <w:szCs w:val="22"/>
                <w:lang w:val="en-AU"/>
              </w:rPr>
            </w:pPr>
            <w:r>
              <w:rPr>
                <w:rFonts w:ascii="Gill Sans" w:hAnsi="Gill Sans" w:cs="Gill Sans"/>
                <w:bCs/>
                <w:color w:val="000000"/>
                <w:szCs w:val="22"/>
                <w:lang w:val="en-AU"/>
              </w:rPr>
              <w:t>“</w:t>
            </w:r>
            <w:r w:rsidRPr="00D05557">
              <w:rPr>
                <w:rFonts w:ascii="Gill Sans" w:hAnsi="Gill Sans" w:cs="Gill Sans"/>
                <w:bCs/>
                <w:color w:val="000000"/>
                <w:szCs w:val="22"/>
                <w:lang w:val="en-AU"/>
              </w:rPr>
              <w:t>System mismatch where at least one system needs reform—the transition bridge is not the problem. For example, environment A is the problem that becomes manifested in environment B, or environment B is the problem, not the transition per se.</w:t>
            </w:r>
          </w:p>
          <w:p w14:paraId="0C1CAD21" w14:textId="252B00F3" w:rsidR="00D05557" w:rsidRPr="00D05557" w:rsidRDefault="00D05557" w:rsidP="00D05557">
            <w:pPr>
              <w:pStyle w:val="ListParagraph"/>
              <w:numPr>
                <w:ilvl w:val="0"/>
                <w:numId w:val="42"/>
              </w:numPr>
              <w:rPr>
                <w:rFonts w:ascii="Gill Sans" w:hAnsi="Gill Sans" w:cs="Gill Sans"/>
                <w:bCs/>
                <w:color w:val="000000"/>
                <w:szCs w:val="22"/>
                <w:lang w:val="en-AU"/>
              </w:rPr>
            </w:pPr>
            <w:r w:rsidRPr="00D05557">
              <w:rPr>
                <w:rFonts w:ascii="Gill Sans" w:hAnsi="Gill Sans" w:cs="Gill Sans"/>
                <w:bCs/>
                <w:color w:val="000000"/>
                <w:szCs w:val="22"/>
                <w:lang w:val="en-AU"/>
              </w:rPr>
              <w:t>System mismatch in expectations and conditions between environments A and B (where A and B are purportedly individually well</w:t>
            </w:r>
            <w:r>
              <w:rPr>
                <w:rFonts w:ascii="Gill Sans" w:hAnsi="Gill Sans" w:cs="Gill Sans"/>
                <w:bCs/>
                <w:color w:val="000000"/>
                <w:szCs w:val="22"/>
                <w:lang w:val="en-AU"/>
              </w:rPr>
              <w:t>-</w:t>
            </w:r>
            <w:r w:rsidRPr="00D05557">
              <w:rPr>
                <w:rFonts w:ascii="Gill Sans" w:hAnsi="Gill Sans" w:cs="Gill Sans"/>
                <w:bCs/>
                <w:color w:val="000000"/>
                <w:szCs w:val="22"/>
                <w:lang w:val="en-AU"/>
              </w:rPr>
              <w:t>functioning systems considered apart from each other)</w:t>
            </w:r>
          </w:p>
          <w:p w14:paraId="432A892E" w14:textId="77777777" w:rsidR="00D05557" w:rsidRPr="00D05557" w:rsidRDefault="00D05557" w:rsidP="00D05557">
            <w:pPr>
              <w:pStyle w:val="ListParagraph"/>
              <w:numPr>
                <w:ilvl w:val="0"/>
                <w:numId w:val="42"/>
              </w:numPr>
              <w:rPr>
                <w:rFonts w:ascii="Gill Sans" w:hAnsi="Gill Sans" w:cs="Gill Sans"/>
                <w:bCs/>
                <w:color w:val="000000"/>
                <w:szCs w:val="22"/>
                <w:lang w:val="en-AU"/>
              </w:rPr>
            </w:pPr>
            <w:r w:rsidRPr="00D05557">
              <w:rPr>
                <w:rFonts w:ascii="Gill Sans" w:hAnsi="Gill Sans" w:cs="Gill Sans"/>
                <w:bCs/>
                <w:color w:val="000000"/>
                <w:szCs w:val="22"/>
                <w:lang w:val="en-AU"/>
              </w:rPr>
              <w:t>Lack of communication between environments A and B (where A and B are nevertheless individually well-functioning systems considered apart from each other)</w:t>
            </w:r>
          </w:p>
          <w:p w14:paraId="336EEDAE" w14:textId="7EF0349D" w:rsidR="00D05557" w:rsidRDefault="00D05557" w:rsidP="00D05557">
            <w:pPr>
              <w:pStyle w:val="ListParagraph"/>
              <w:numPr>
                <w:ilvl w:val="0"/>
                <w:numId w:val="42"/>
              </w:numPr>
              <w:rPr>
                <w:rFonts w:ascii="Gill Sans" w:hAnsi="Gill Sans" w:cs="Gill Sans"/>
                <w:bCs/>
                <w:color w:val="000000"/>
                <w:szCs w:val="22"/>
                <w:lang w:val="en-AU"/>
              </w:rPr>
            </w:pPr>
            <w:r w:rsidRPr="00D05557">
              <w:rPr>
                <w:rFonts w:ascii="Gill Sans" w:hAnsi="Gill Sans" w:cs="Gill Sans"/>
                <w:bCs/>
                <w:color w:val="000000"/>
                <w:szCs w:val="22"/>
                <w:lang w:val="en-AU"/>
              </w:rPr>
              <w:t>Individual change to the foregrounded child through supports in moving from background environment A to B</w:t>
            </w:r>
            <w:r>
              <w:rPr>
                <w:rFonts w:ascii="Gill Sans" w:hAnsi="Gill Sans" w:cs="Gill Sans"/>
                <w:bCs/>
                <w:color w:val="000000"/>
                <w:szCs w:val="22"/>
                <w:lang w:val="en-AU"/>
              </w:rPr>
              <w:t>” (p.1467)</w:t>
            </w:r>
          </w:p>
          <w:p w14:paraId="601F63BE" w14:textId="529469C7" w:rsidR="00D05557" w:rsidRDefault="00D05557" w:rsidP="00D05557">
            <w:pPr>
              <w:rPr>
                <w:rFonts w:ascii="Gill Sans" w:hAnsi="Gill Sans" w:cs="Gill Sans"/>
                <w:bCs/>
                <w:color w:val="000000"/>
                <w:szCs w:val="22"/>
                <w:lang w:val="en-AU"/>
              </w:rPr>
            </w:pPr>
            <w:r>
              <w:rPr>
                <w:rFonts w:ascii="Gill Sans" w:hAnsi="Gill Sans" w:cs="Gill Sans"/>
                <w:bCs/>
                <w:color w:val="000000"/>
                <w:szCs w:val="22"/>
                <w:lang w:val="en-AU"/>
              </w:rPr>
              <w:t>Author exemplifies proposition (</w:t>
            </w:r>
            <w:proofErr w:type="spellStart"/>
            <w:r>
              <w:rPr>
                <w:rFonts w:ascii="Gill Sans" w:hAnsi="Gill Sans" w:cs="Gill Sans"/>
                <w:bCs/>
                <w:color w:val="000000"/>
                <w:szCs w:val="22"/>
                <w:lang w:val="en-AU"/>
              </w:rPr>
              <w:t>i</w:t>
            </w:r>
            <w:proofErr w:type="spellEnd"/>
            <w:r>
              <w:rPr>
                <w:rFonts w:ascii="Gill Sans" w:hAnsi="Gill Sans" w:cs="Gill Sans"/>
                <w:bCs/>
                <w:color w:val="000000"/>
                <w:szCs w:val="22"/>
                <w:lang w:val="en-AU"/>
              </w:rPr>
              <w:t>) thinking with reference to bullying + authoritarian teaching as systemic flaws in the environment; he also cites large scale findings of transition-related concerns in Australia/ Ireland as evidence of systemic rather than individual problem relating to creating safe environments.</w:t>
            </w:r>
          </w:p>
          <w:p w14:paraId="1E62F908" w14:textId="3DEC7A34" w:rsidR="00D05557" w:rsidRDefault="00D05557" w:rsidP="00D05557">
            <w:pPr>
              <w:rPr>
                <w:rFonts w:ascii="Gill Sans" w:hAnsi="Gill Sans" w:cs="Gill Sans"/>
                <w:bCs/>
                <w:color w:val="000000"/>
                <w:szCs w:val="22"/>
                <w:lang w:val="en-AU"/>
              </w:rPr>
            </w:pPr>
            <w:r>
              <w:rPr>
                <w:rFonts w:ascii="Gill Sans" w:hAnsi="Gill Sans" w:cs="Gill Sans"/>
                <w:bCs/>
                <w:color w:val="000000"/>
                <w:szCs w:val="22"/>
                <w:lang w:val="en-AU"/>
              </w:rPr>
              <w:t>Proposition (ii) relates to too much focus in Bronfenbrenner’s work on relations between levels, rather than attending to blockages: “</w:t>
            </w:r>
            <w:r w:rsidR="001375B5" w:rsidRPr="001375B5">
              <w:rPr>
                <w:rFonts w:ascii="Gill Sans" w:hAnsi="Gill Sans" w:cs="Gill Sans"/>
                <w:bCs/>
                <w:color w:val="000000"/>
                <w:szCs w:val="22"/>
                <w:lang w:val="en-AU"/>
              </w:rPr>
              <w:t xml:space="preserve">lack of focus on system blockage and on change to background system structural and process conditions is due to a representation of the transition issue as </w:t>
            </w:r>
            <w:r w:rsidR="001375B5" w:rsidRPr="001375B5">
              <w:rPr>
                <w:rFonts w:ascii="Gill Sans" w:hAnsi="Gill Sans" w:cs="Gill Sans"/>
                <w:bCs/>
                <w:i/>
                <w:iCs/>
                <w:color w:val="000000"/>
                <w:szCs w:val="22"/>
                <w:lang w:val="en-AU"/>
              </w:rPr>
              <w:t>a problem of contrast rather than a problem of quality</w:t>
            </w:r>
            <w:r w:rsidR="001375B5">
              <w:rPr>
                <w:rFonts w:ascii="Gill Sans" w:hAnsi="Gill Sans" w:cs="Gill Sans"/>
                <w:bCs/>
                <w:color w:val="000000"/>
                <w:szCs w:val="22"/>
                <w:lang w:val="en-AU"/>
              </w:rPr>
              <w:t>” (p.1469)</w:t>
            </w:r>
            <w:r w:rsidR="001375B5" w:rsidRPr="001375B5">
              <w:rPr>
                <w:rFonts w:ascii="Gill Sans" w:hAnsi="Gill Sans" w:cs="Gill Sans"/>
                <w:bCs/>
                <w:color w:val="000000"/>
                <w:szCs w:val="22"/>
                <w:lang w:val="en-AU"/>
              </w:rPr>
              <w:t>.</w:t>
            </w:r>
            <w:r w:rsidR="001375B5">
              <w:rPr>
                <w:rFonts w:ascii="Gill Sans" w:hAnsi="Gill Sans" w:cs="Gill Sans"/>
                <w:bCs/>
                <w:color w:val="000000"/>
                <w:szCs w:val="22"/>
                <w:lang w:val="en-AU"/>
              </w:rPr>
              <w:t xml:space="preserve"> Author cites work that has examined mismatches between individuals and system/ </w:t>
            </w:r>
            <w:proofErr w:type="gramStart"/>
            <w:r w:rsidR="001375B5">
              <w:rPr>
                <w:rFonts w:ascii="Gill Sans" w:hAnsi="Gill Sans" w:cs="Gill Sans"/>
                <w:bCs/>
                <w:color w:val="000000"/>
                <w:szCs w:val="22"/>
                <w:lang w:val="en-AU"/>
              </w:rPr>
              <w:t>teaching</w:t>
            </w:r>
            <w:proofErr w:type="gramEnd"/>
            <w:r w:rsidR="001375B5">
              <w:rPr>
                <w:rFonts w:ascii="Gill Sans" w:hAnsi="Gill Sans" w:cs="Gill Sans"/>
                <w:bCs/>
                <w:color w:val="000000"/>
                <w:szCs w:val="22"/>
                <w:lang w:val="en-AU"/>
              </w:rPr>
              <w:t xml:space="preserve"> but he argues that examples of mismatches = “</w:t>
            </w:r>
            <w:r w:rsidR="001375B5" w:rsidRPr="001375B5">
              <w:rPr>
                <w:rFonts w:ascii="Gill Sans" w:hAnsi="Gill Sans" w:cs="Gill Sans"/>
                <w:bCs/>
                <w:color w:val="000000"/>
                <w:szCs w:val="22"/>
                <w:lang w:val="en-AU"/>
              </w:rPr>
              <w:t>surface manifestation</w:t>
            </w:r>
            <w:r w:rsidR="001375B5">
              <w:rPr>
                <w:rFonts w:ascii="Gill Sans" w:hAnsi="Gill Sans" w:cs="Gill Sans"/>
                <w:bCs/>
                <w:color w:val="000000"/>
                <w:szCs w:val="22"/>
                <w:lang w:val="en-AU"/>
              </w:rPr>
              <w:t>[s]</w:t>
            </w:r>
            <w:r w:rsidR="001375B5" w:rsidRPr="001375B5">
              <w:rPr>
                <w:rFonts w:ascii="Gill Sans" w:hAnsi="Gill Sans" w:cs="Gill Sans"/>
                <w:bCs/>
                <w:color w:val="000000"/>
                <w:szCs w:val="22"/>
                <w:lang w:val="en-AU"/>
              </w:rPr>
              <w:t xml:space="preserve"> of a more fundamental issue</w:t>
            </w:r>
            <w:r w:rsidR="001375B5">
              <w:rPr>
                <w:rFonts w:ascii="Gill Sans" w:hAnsi="Gill Sans" w:cs="Gill Sans"/>
                <w:bCs/>
                <w:color w:val="000000"/>
                <w:szCs w:val="22"/>
                <w:lang w:val="en-AU"/>
              </w:rPr>
              <w:t>” (p.1470).</w:t>
            </w:r>
          </w:p>
          <w:p w14:paraId="3418E280" w14:textId="03677EDA" w:rsidR="001375B5" w:rsidRDefault="001375B5" w:rsidP="00D05557">
            <w:pPr>
              <w:rPr>
                <w:rFonts w:ascii="Gill Sans" w:hAnsi="Gill Sans" w:cs="Gill Sans"/>
                <w:bCs/>
                <w:color w:val="000000"/>
                <w:szCs w:val="22"/>
                <w:lang w:val="en-AU"/>
              </w:rPr>
            </w:pPr>
            <w:r>
              <w:rPr>
                <w:rFonts w:ascii="Gill Sans" w:hAnsi="Gill Sans" w:cs="Gill Sans"/>
                <w:bCs/>
                <w:color w:val="000000"/>
                <w:szCs w:val="22"/>
                <w:lang w:val="en-AU"/>
              </w:rPr>
              <w:lastRenderedPageBreak/>
              <w:t>Proposition (iii) — Bronfenbrenner’s work foregrounds the dialogic links between systems/ levels as a two-way flow; however, author argues that educational transitions are usually monologic/ unidirectional and cites work that reports teachers feeling they need more communication between levels when preparing students for move between levels (and opens questions about whose responsibility it is to initiate and organise such communication). Author argues that in addition to the bidirectional spatial metaphor, a yo-yo metaphor is also useful for understanding transition, as it “a</w:t>
            </w:r>
            <w:r w:rsidRPr="001375B5">
              <w:rPr>
                <w:rFonts w:ascii="Gill Sans" w:hAnsi="Gill Sans" w:cs="Gill Sans"/>
                <w:bCs/>
                <w:color w:val="000000"/>
                <w:szCs w:val="22"/>
                <w:lang w:val="en-AU"/>
              </w:rPr>
              <w:t>ccentuates the back and forth movement in life cycle transitions such as of young people between adolescence and adulthood</w:t>
            </w:r>
            <w:r>
              <w:rPr>
                <w:rFonts w:ascii="Gill Sans" w:hAnsi="Gill Sans" w:cs="Gill Sans"/>
                <w:bCs/>
                <w:color w:val="000000"/>
                <w:szCs w:val="22"/>
                <w:lang w:val="en-AU"/>
              </w:rPr>
              <w:t>” (p.1471).</w:t>
            </w:r>
          </w:p>
          <w:p w14:paraId="10379227" w14:textId="763386DF" w:rsidR="001375B5" w:rsidRDefault="001375B5" w:rsidP="001375B5">
            <w:pPr>
              <w:rPr>
                <w:rFonts w:ascii="Gill Sans" w:hAnsi="Gill Sans" w:cs="Gill Sans"/>
                <w:bCs/>
                <w:color w:val="000000"/>
                <w:szCs w:val="22"/>
              </w:rPr>
            </w:pPr>
            <w:r>
              <w:rPr>
                <w:rFonts w:ascii="Gill Sans" w:hAnsi="Gill Sans" w:cs="Gill Sans"/>
                <w:bCs/>
                <w:color w:val="000000"/>
                <w:szCs w:val="22"/>
                <w:lang w:val="en-AU"/>
              </w:rPr>
              <w:t>Proposition (iv) based on idea that it is necessary to shift focus to students’ needs if student is at forefront of conception of transition: “</w:t>
            </w:r>
            <w:r w:rsidRPr="001375B5">
              <w:rPr>
                <w:rFonts w:ascii="Gill Sans" w:hAnsi="Gill Sans" w:cs="Gill Sans"/>
                <w:bCs/>
                <w:color w:val="000000"/>
                <w:szCs w:val="22"/>
              </w:rPr>
              <w:t>A differentiated strategy for individuals regarding transition needs to distinguish system strategic supports at universal prevention and promotion levels for all, from selected prevention for some, groups of moderate risk, as well as indicated prevention for individuals with intensive, complex, multifaceted, chronic needs</w:t>
            </w:r>
            <w:r>
              <w:rPr>
                <w:rFonts w:ascii="Gill Sans" w:hAnsi="Gill Sans" w:cs="Gill Sans"/>
                <w:bCs/>
                <w:color w:val="000000"/>
                <w:szCs w:val="22"/>
              </w:rPr>
              <w:t>” (p.1471). Temporal pauses in learning (e.g. through transition/ extended holidays) = adds to challenges and lower academic attainment, especially for those with equity backgrounds or special educational needs.</w:t>
            </w:r>
          </w:p>
          <w:p w14:paraId="31CA0F8D" w14:textId="67B51B71" w:rsidR="001375B5" w:rsidRDefault="001375B5" w:rsidP="001375B5">
            <w:pPr>
              <w:rPr>
                <w:rFonts w:ascii="Gill Sans" w:hAnsi="Gill Sans" w:cs="Gill Sans"/>
                <w:bCs/>
                <w:color w:val="000000"/>
                <w:szCs w:val="22"/>
              </w:rPr>
            </w:pPr>
            <w:r>
              <w:rPr>
                <w:rFonts w:ascii="Gill Sans" w:hAnsi="Gill Sans" w:cs="Gill Sans"/>
                <w:bCs/>
                <w:color w:val="000000"/>
                <w:szCs w:val="22"/>
              </w:rPr>
              <w:t>Spatial-relational unpacking of environmental/ contextual impacts on transition need a diametrical dimension (see L</w:t>
            </w:r>
            <w:r w:rsidR="000B7644">
              <w:rPr>
                <w:rFonts w:ascii="Gill Sans" w:hAnsi="Gill Sans" w:cs="Gill Sans"/>
                <w:bCs/>
                <w:color w:val="000000"/>
                <w:szCs w:val="22"/>
              </w:rPr>
              <w:t>évi-Strauss) to help identify and respond to system blockages. Author translates his propositions into 4 different understandings of transition:</w:t>
            </w:r>
          </w:p>
          <w:p w14:paraId="1AEE5A19" w14:textId="77777777" w:rsidR="000B7644" w:rsidRPr="000B7644" w:rsidRDefault="000B7644" w:rsidP="000B7644">
            <w:pPr>
              <w:numPr>
                <w:ilvl w:val="0"/>
                <w:numId w:val="43"/>
              </w:numPr>
              <w:rPr>
                <w:rFonts w:ascii="Gill Sans" w:hAnsi="Gill Sans" w:cs="Gill Sans"/>
                <w:bCs/>
                <w:color w:val="000000"/>
                <w:szCs w:val="22"/>
                <w:lang w:val="en-AU"/>
              </w:rPr>
            </w:pPr>
            <w:r>
              <w:rPr>
                <w:rFonts w:ascii="Gill Sans" w:hAnsi="Gill Sans" w:cs="Gill Sans"/>
                <w:bCs/>
                <w:color w:val="000000"/>
                <w:szCs w:val="22"/>
              </w:rPr>
              <w:t>“</w:t>
            </w:r>
            <w:r w:rsidRPr="000B7644">
              <w:rPr>
                <w:rFonts w:ascii="Gill Sans" w:hAnsi="Gill Sans" w:cs="Gill Sans"/>
                <w:bCs/>
                <w:color w:val="000000"/>
                <w:szCs w:val="22"/>
                <w:lang w:val="en-AU"/>
              </w:rPr>
              <w:t xml:space="preserve">Transition as a Derivative Problem from a More Fundamental Problematic System Area of School Climate or Environment </w:t>
            </w:r>
          </w:p>
          <w:p w14:paraId="45033E1C" w14:textId="77777777" w:rsidR="000B7644" w:rsidRPr="000B7644" w:rsidRDefault="000B7644" w:rsidP="000B7644">
            <w:pPr>
              <w:numPr>
                <w:ilvl w:val="0"/>
                <w:numId w:val="43"/>
              </w:numPr>
              <w:rPr>
                <w:rFonts w:ascii="Gill Sans" w:hAnsi="Gill Sans" w:cs="Gill Sans"/>
                <w:bCs/>
                <w:color w:val="000000"/>
                <w:szCs w:val="22"/>
                <w:lang w:val="en-AU"/>
              </w:rPr>
            </w:pPr>
            <w:r w:rsidRPr="000B7644">
              <w:rPr>
                <w:rFonts w:ascii="Gill Sans" w:hAnsi="Gill Sans" w:cs="Gill Sans"/>
                <w:bCs/>
                <w:color w:val="000000"/>
                <w:szCs w:val="22"/>
                <w:lang w:val="en-AU"/>
              </w:rPr>
              <w:t xml:space="preserve">Transition Represented as System Mismatch or Imbalance between Two Purportedly Well- Functioning Areas </w:t>
            </w:r>
            <w:proofErr w:type="gramStart"/>
            <w:r w:rsidRPr="000B7644">
              <w:rPr>
                <w:rFonts w:ascii="Gill Sans" w:hAnsi="Gill Sans" w:cs="Gill Sans"/>
                <w:bCs/>
                <w:color w:val="000000"/>
                <w:szCs w:val="22"/>
                <w:lang w:val="en-AU"/>
              </w:rPr>
              <w:t>which</w:t>
            </w:r>
            <w:proofErr w:type="gramEnd"/>
            <w:r w:rsidRPr="000B7644">
              <w:rPr>
                <w:rFonts w:ascii="Gill Sans" w:hAnsi="Gill Sans" w:cs="Gill Sans"/>
                <w:bCs/>
                <w:color w:val="000000"/>
                <w:szCs w:val="22"/>
                <w:lang w:val="en-AU"/>
              </w:rPr>
              <w:t xml:space="preserve"> Displaces the Problem as being one of Contrast rather than Confronting the More Fundamental Problem of System Quality </w:t>
            </w:r>
          </w:p>
          <w:p w14:paraId="28728786" w14:textId="77777777" w:rsidR="000B7644" w:rsidRPr="000B7644" w:rsidRDefault="000B7644" w:rsidP="000B7644">
            <w:pPr>
              <w:numPr>
                <w:ilvl w:val="0"/>
                <w:numId w:val="43"/>
              </w:numPr>
              <w:rPr>
                <w:rFonts w:ascii="Gill Sans" w:hAnsi="Gill Sans" w:cs="Gill Sans"/>
                <w:bCs/>
                <w:color w:val="000000"/>
                <w:szCs w:val="22"/>
                <w:lang w:val="en-AU"/>
              </w:rPr>
            </w:pPr>
            <w:r w:rsidRPr="000B7644">
              <w:rPr>
                <w:rFonts w:ascii="Gill Sans" w:hAnsi="Gill Sans" w:cs="Gill Sans"/>
                <w:bCs/>
                <w:color w:val="000000"/>
                <w:szCs w:val="22"/>
                <w:lang w:val="en-AU"/>
              </w:rPr>
              <w:t xml:space="preserve">Transition as a System Blockage and Fragmentation in Communication between Transition Environments </w:t>
            </w:r>
          </w:p>
          <w:p w14:paraId="76B1EE03" w14:textId="56B9617F" w:rsidR="00C60612" w:rsidRPr="000B7644" w:rsidRDefault="000B7644" w:rsidP="00086FB5">
            <w:pPr>
              <w:numPr>
                <w:ilvl w:val="0"/>
                <w:numId w:val="43"/>
              </w:numPr>
              <w:rPr>
                <w:rFonts w:ascii="Gill Sans" w:hAnsi="Gill Sans" w:cs="Gill Sans"/>
                <w:bCs/>
                <w:color w:val="000000"/>
                <w:szCs w:val="22"/>
                <w:lang w:val="en-AU"/>
              </w:rPr>
            </w:pPr>
            <w:r w:rsidRPr="000B7644">
              <w:rPr>
                <w:rFonts w:ascii="Gill Sans" w:hAnsi="Gill Sans" w:cs="Gill Sans"/>
                <w:bCs/>
                <w:color w:val="000000"/>
                <w:szCs w:val="22"/>
                <w:lang w:val="en-AU"/>
              </w:rPr>
              <w:t>The Need for a Differentiated Strategy in Place for Meeting Individual Needs at Different Levels of Need/Risk as Part of a Wider Prevention and Early Intervention Focus Typically Prior to a Transitions Strategy</w:t>
            </w:r>
            <w:r w:rsidRPr="000B7644">
              <w:rPr>
                <w:rFonts w:ascii="Gill Sans" w:hAnsi="Gill Sans" w:cs="Gill Sans"/>
                <w:bCs/>
                <w:color w:val="000000"/>
                <w:szCs w:val="22"/>
                <w:lang w:val="en-AU"/>
              </w:rPr>
              <w:t>” (p.1474)</w:t>
            </w:r>
            <w:r>
              <w:rPr>
                <w:rFonts w:ascii="Gill Sans" w:hAnsi="Gill Sans" w:cs="Gill Sans"/>
                <w:bCs/>
                <w:color w:val="000000"/>
                <w:szCs w:val="22"/>
                <w:lang w:val="en-AU"/>
              </w:rPr>
              <w:t>.</w:t>
            </w:r>
          </w:p>
        </w:tc>
      </w:tr>
      <w:tr w:rsidR="00076E76" w:rsidRPr="00076E76" w14:paraId="0DF24B6C" w14:textId="77777777" w:rsidTr="002E557C">
        <w:tc>
          <w:tcPr>
            <w:tcW w:w="5529" w:type="dxa"/>
          </w:tcPr>
          <w:p w14:paraId="375BD3A5" w14:textId="627276DB" w:rsidR="00076E76" w:rsidRPr="00076E76" w:rsidRDefault="00076E76" w:rsidP="00D951A4">
            <w:pPr>
              <w:rPr>
                <w:rFonts w:ascii="Gill Sans" w:hAnsi="Gill Sans" w:cs="Gill Sans"/>
                <w:szCs w:val="22"/>
              </w:rPr>
            </w:pPr>
            <w:r w:rsidRPr="00076E76">
              <w:rPr>
                <w:rFonts w:ascii="Gill Sans" w:hAnsi="Gill Sans" w:cs="Gill Sans"/>
                <w:szCs w:val="22"/>
              </w:rPr>
              <w:lastRenderedPageBreak/>
              <w:t xml:space="preserve">Ecclestone, K.; </w:t>
            </w:r>
            <w:proofErr w:type="spellStart"/>
            <w:r w:rsidRPr="00076E76">
              <w:rPr>
                <w:rFonts w:ascii="Gill Sans" w:hAnsi="Gill Sans" w:cs="Gill Sans"/>
                <w:szCs w:val="22"/>
              </w:rPr>
              <w:t>Biesta</w:t>
            </w:r>
            <w:proofErr w:type="spellEnd"/>
            <w:r w:rsidRPr="00076E76">
              <w:rPr>
                <w:rFonts w:ascii="Gill Sans" w:hAnsi="Gill Sans" w:cs="Gill Sans"/>
                <w:szCs w:val="22"/>
              </w:rPr>
              <w:t xml:space="preserve">, G. &amp; Hughes, M. (2010). </w:t>
            </w:r>
            <w:hyperlink r:id="rId47" w:history="1">
              <w:r w:rsidRPr="00C60612">
                <w:rPr>
                  <w:rStyle w:val="Hyperlink"/>
                  <w:rFonts w:ascii="Gill Sans" w:hAnsi="Gill Sans" w:cs="Gill Sans"/>
                  <w:szCs w:val="22"/>
                </w:rPr>
                <w:t xml:space="preserve">Transitions in the </w:t>
              </w:r>
              <w:proofErr w:type="spellStart"/>
              <w:r w:rsidRPr="00C60612">
                <w:rPr>
                  <w:rStyle w:val="Hyperlink"/>
                  <w:rFonts w:ascii="Gill Sans" w:hAnsi="Gill Sans" w:cs="Gill Sans"/>
                  <w:szCs w:val="22"/>
                </w:rPr>
                <w:t>lifecourse</w:t>
              </w:r>
              <w:proofErr w:type="spellEnd"/>
              <w:r w:rsidRPr="00C60612">
                <w:rPr>
                  <w:rStyle w:val="Hyperlink"/>
                  <w:rFonts w:ascii="Gill Sans" w:hAnsi="Gill Sans" w:cs="Gill Sans"/>
                  <w:szCs w:val="22"/>
                </w:rPr>
                <w:t>: The role of identity, agency and structure.</w:t>
              </w:r>
            </w:hyperlink>
            <w:r w:rsidRPr="00076E76">
              <w:rPr>
                <w:rFonts w:ascii="Gill Sans" w:hAnsi="Gill Sans" w:cs="Gill Sans"/>
                <w:szCs w:val="22"/>
              </w:rPr>
              <w:t xml:space="preserve"> In Eccleston</w:t>
            </w:r>
            <w:r w:rsidR="007B1323">
              <w:rPr>
                <w:rFonts w:ascii="Gill Sans" w:hAnsi="Gill Sans" w:cs="Gill Sans"/>
                <w:szCs w:val="22"/>
              </w:rPr>
              <w:t>e</w:t>
            </w:r>
            <w:r w:rsidRPr="00AA20AD">
              <w:rPr>
                <w:rFonts w:ascii="Gill Sans" w:hAnsi="Gill Sans" w:cs="Gill Sans"/>
                <w:szCs w:val="22"/>
              </w:rPr>
              <w:t xml:space="preserve">, K.; G. </w:t>
            </w:r>
            <w:proofErr w:type="spellStart"/>
            <w:r w:rsidRPr="00AA20AD">
              <w:rPr>
                <w:rFonts w:ascii="Gill Sans" w:hAnsi="Gill Sans" w:cs="Gill Sans"/>
                <w:szCs w:val="22"/>
              </w:rPr>
              <w:t>Biesta</w:t>
            </w:r>
            <w:proofErr w:type="spellEnd"/>
            <w:r w:rsidRPr="00AA20AD">
              <w:rPr>
                <w:rFonts w:ascii="Gill Sans" w:hAnsi="Gill Sans" w:cs="Gill Sans"/>
                <w:szCs w:val="22"/>
              </w:rPr>
              <w:t xml:space="preserve"> &amp; M. Hughes (Eds.) </w:t>
            </w:r>
            <w:r w:rsidRPr="00AA20AD">
              <w:rPr>
                <w:rFonts w:ascii="Gill Sans" w:hAnsi="Gill Sans" w:cs="Gill Sans"/>
                <w:i/>
                <w:szCs w:val="22"/>
              </w:rPr>
              <w:t>Transitions and Learning through t</w:t>
            </w:r>
            <w:r w:rsidR="00F7728D" w:rsidRPr="00AA20AD">
              <w:rPr>
                <w:rFonts w:ascii="Gill Sans" w:hAnsi="Gill Sans" w:cs="Gill Sans"/>
                <w:i/>
                <w:szCs w:val="22"/>
              </w:rPr>
              <w:t xml:space="preserve">he </w:t>
            </w:r>
            <w:proofErr w:type="spellStart"/>
            <w:r w:rsidR="00F7728D" w:rsidRPr="00AA20AD">
              <w:rPr>
                <w:rFonts w:ascii="Gill Sans" w:hAnsi="Gill Sans" w:cs="Gill Sans"/>
                <w:i/>
                <w:szCs w:val="22"/>
              </w:rPr>
              <w:t>Lifecourse</w:t>
            </w:r>
            <w:proofErr w:type="spellEnd"/>
            <w:r w:rsidR="00F7728D" w:rsidRPr="00AA20AD">
              <w:rPr>
                <w:rFonts w:ascii="Gill Sans" w:hAnsi="Gill Sans" w:cs="Gill Sans"/>
                <w:i/>
                <w:szCs w:val="22"/>
              </w:rPr>
              <w:t>,</w:t>
            </w:r>
            <w:r w:rsidRPr="00AA20AD">
              <w:rPr>
                <w:rFonts w:ascii="Gill Sans" w:hAnsi="Gill Sans" w:cs="Gill Sans"/>
                <w:i/>
                <w:szCs w:val="22"/>
              </w:rPr>
              <w:t xml:space="preserve"> </w:t>
            </w:r>
            <w:r w:rsidRPr="00AA20AD">
              <w:rPr>
                <w:rFonts w:ascii="Gill Sans" w:hAnsi="Gill Sans" w:cs="Gill Sans"/>
                <w:szCs w:val="22"/>
              </w:rPr>
              <w:t>pp.1</w:t>
            </w:r>
            <w:r w:rsidR="00F7728D" w:rsidRPr="00AA20AD">
              <w:rPr>
                <w:rFonts w:ascii="Gill Sans" w:hAnsi="Gill Sans" w:cs="Gill Sans"/>
                <w:szCs w:val="22"/>
              </w:rPr>
              <w:t>–</w:t>
            </w:r>
            <w:r w:rsidRPr="00AA20AD">
              <w:rPr>
                <w:rFonts w:ascii="Gill Sans" w:hAnsi="Gill Sans" w:cs="Gill Sans"/>
                <w:szCs w:val="22"/>
              </w:rPr>
              <w:t>15</w:t>
            </w:r>
            <w:r w:rsidRPr="00AA20AD">
              <w:rPr>
                <w:rFonts w:ascii="Gill Sans" w:hAnsi="Gill Sans" w:cs="Gill Sans"/>
                <w:i/>
                <w:szCs w:val="22"/>
              </w:rPr>
              <w:t xml:space="preserve">. </w:t>
            </w:r>
            <w:r w:rsidRPr="00AA20AD">
              <w:rPr>
                <w:rFonts w:ascii="Gill Sans" w:hAnsi="Gill Sans" w:cs="Gill Sans"/>
                <w:szCs w:val="22"/>
              </w:rPr>
              <w:t>Routledge: Abingdon.</w:t>
            </w:r>
          </w:p>
          <w:p w14:paraId="58D335FC" w14:textId="77777777" w:rsidR="00076E76" w:rsidRPr="00076E76" w:rsidRDefault="00076E76" w:rsidP="00D951A4">
            <w:pPr>
              <w:rPr>
                <w:rFonts w:ascii="Gill Sans" w:hAnsi="Gill Sans" w:cs="Gill Sans"/>
                <w:szCs w:val="22"/>
              </w:rPr>
            </w:pPr>
          </w:p>
          <w:p w14:paraId="39CAE49B" w14:textId="77777777" w:rsidR="00076E76" w:rsidRPr="00076E76" w:rsidRDefault="00076E76" w:rsidP="00D951A4">
            <w:pPr>
              <w:rPr>
                <w:rFonts w:ascii="Gill Sans" w:hAnsi="Gill Sans" w:cs="Gill Sans"/>
                <w:szCs w:val="22"/>
              </w:rPr>
            </w:pPr>
            <w:r w:rsidRPr="00076E76">
              <w:rPr>
                <w:rFonts w:ascii="Gill Sans" w:hAnsi="Gill Sans" w:cs="Gill Sans"/>
                <w:szCs w:val="22"/>
              </w:rPr>
              <w:t>UK</w:t>
            </w:r>
          </w:p>
          <w:p w14:paraId="17FD9488" w14:textId="77777777" w:rsidR="00076E76" w:rsidRPr="00076E76" w:rsidRDefault="00076E76" w:rsidP="00755B25">
            <w:pPr>
              <w:rPr>
                <w:rFonts w:ascii="Gill Sans" w:hAnsi="Gill Sans" w:cs="Gill Sans"/>
                <w:szCs w:val="22"/>
              </w:rPr>
            </w:pPr>
            <w:r w:rsidRPr="00076E76">
              <w:rPr>
                <w:rFonts w:ascii="Gill Sans" w:hAnsi="Gill Sans" w:cs="Gill Sans"/>
                <w:szCs w:val="22"/>
              </w:rPr>
              <w:t>Annotation by Sally Baker</w:t>
            </w:r>
          </w:p>
          <w:p w14:paraId="3C8D44A2" w14:textId="1E9C69F8" w:rsidR="00076E76" w:rsidRPr="00076E76" w:rsidRDefault="00076E76" w:rsidP="00D951A4">
            <w:pPr>
              <w:rPr>
                <w:rFonts w:ascii="Gill Sans" w:hAnsi="Gill Sans" w:cs="Gill Sans"/>
                <w:szCs w:val="22"/>
              </w:rPr>
            </w:pPr>
          </w:p>
        </w:tc>
        <w:tc>
          <w:tcPr>
            <w:tcW w:w="10064" w:type="dxa"/>
          </w:tcPr>
          <w:p w14:paraId="40A5BB91" w14:textId="77777777" w:rsidR="00076E76" w:rsidRPr="00076E76" w:rsidRDefault="00076E76" w:rsidP="00A97A46">
            <w:pPr>
              <w:rPr>
                <w:rFonts w:ascii="Gill Sans" w:hAnsi="Gill Sans" w:cs="Gill Sans"/>
                <w:color w:val="000000"/>
                <w:szCs w:val="22"/>
                <w:lang w:val="en-AU"/>
              </w:rPr>
            </w:pPr>
            <w:r w:rsidRPr="00076E76">
              <w:rPr>
                <w:rFonts w:ascii="Gill Sans" w:hAnsi="Gill Sans" w:cs="Gill Sans"/>
                <w:color w:val="000000"/>
                <w:szCs w:val="22"/>
                <w:lang w:val="en-AU"/>
              </w:rPr>
              <w:lastRenderedPageBreak/>
              <w:t>Transitions in higher education:</w:t>
            </w:r>
          </w:p>
          <w:p w14:paraId="55850D55" w14:textId="77777777" w:rsidR="00076E76" w:rsidRPr="00076E76" w:rsidRDefault="00076E76" w:rsidP="00476BE2">
            <w:pPr>
              <w:pStyle w:val="ListParagraph"/>
              <w:numPr>
                <w:ilvl w:val="0"/>
                <w:numId w:val="32"/>
              </w:numPr>
              <w:rPr>
                <w:rFonts w:ascii="Gill Sans" w:hAnsi="Gill Sans" w:cs="Gill Sans"/>
                <w:color w:val="000000"/>
                <w:szCs w:val="22"/>
                <w:lang w:val="en-AU"/>
              </w:rPr>
            </w:pPr>
            <w:r w:rsidRPr="00076E76">
              <w:rPr>
                <w:rFonts w:ascii="Gill Sans" w:hAnsi="Gill Sans" w:cs="Gill Sans"/>
                <w:color w:val="000000"/>
                <w:szCs w:val="22"/>
                <w:lang w:val="en-AU"/>
              </w:rPr>
              <w:t>Transitions for ‘non-traditional participants between further and higher education</w:t>
            </w:r>
          </w:p>
          <w:p w14:paraId="16F528BB" w14:textId="77777777" w:rsidR="00076E76" w:rsidRPr="00076E76" w:rsidRDefault="00076E76" w:rsidP="00476BE2">
            <w:pPr>
              <w:pStyle w:val="ListParagraph"/>
              <w:numPr>
                <w:ilvl w:val="0"/>
                <w:numId w:val="32"/>
              </w:numPr>
              <w:rPr>
                <w:rFonts w:ascii="Gill Sans" w:hAnsi="Gill Sans" w:cs="Gill Sans"/>
                <w:color w:val="000000"/>
                <w:szCs w:val="22"/>
                <w:lang w:val="en-AU"/>
              </w:rPr>
            </w:pPr>
            <w:r w:rsidRPr="00076E76">
              <w:rPr>
                <w:rFonts w:ascii="Gill Sans" w:hAnsi="Gill Sans" w:cs="Gill Sans"/>
                <w:color w:val="000000"/>
                <w:szCs w:val="22"/>
                <w:lang w:val="en-AU"/>
              </w:rPr>
              <w:t>Progression through a subject discipline</w:t>
            </w:r>
          </w:p>
          <w:p w14:paraId="3D404C97" w14:textId="77777777" w:rsidR="00076E76" w:rsidRPr="00076E76" w:rsidRDefault="00076E76" w:rsidP="00476BE2">
            <w:pPr>
              <w:pStyle w:val="ListParagraph"/>
              <w:numPr>
                <w:ilvl w:val="0"/>
                <w:numId w:val="32"/>
              </w:numPr>
              <w:rPr>
                <w:rFonts w:ascii="Gill Sans" w:hAnsi="Gill Sans" w:cs="Gill Sans"/>
                <w:color w:val="000000"/>
                <w:szCs w:val="22"/>
                <w:lang w:val="en-AU"/>
              </w:rPr>
            </w:pPr>
            <w:r w:rsidRPr="00076E76">
              <w:rPr>
                <w:rFonts w:ascii="Gill Sans" w:hAnsi="Gill Sans" w:cs="Gill Sans"/>
                <w:color w:val="000000"/>
                <w:szCs w:val="22"/>
                <w:lang w:val="en-AU"/>
              </w:rPr>
              <w:t>Progression from programmes into higher education and to work (p.3)</w:t>
            </w:r>
          </w:p>
          <w:p w14:paraId="0E8BF5BB" w14:textId="77777777" w:rsidR="00076E76" w:rsidRPr="00076E76" w:rsidRDefault="00076E76" w:rsidP="00301F69">
            <w:pPr>
              <w:rPr>
                <w:rFonts w:ascii="Gill Sans" w:hAnsi="Gill Sans" w:cs="Gill Sans"/>
                <w:color w:val="000000"/>
                <w:szCs w:val="22"/>
                <w:lang w:val="en-AU"/>
              </w:rPr>
            </w:pPr>
            <w:r w:rsidRPr="00076E76">
              <w:rPr>
                <w:rFonts w:ascii="Gill Sans" w:hAnsi="Gill Sans" w:cs="Gill Sans"/>
                <w:color w:val="000000"/>
                <w:szCs w:val="22"/>
                <w:lang w:val="en-AU"/>
              </w:rPr>
              <w:t>Transition = serious political investment</w:t>
            </w:r>
          </w:p>
          <w:p w14:paraId="107AB80B" w14:textId="77777777" w:rsidR="00076E76" w:rsidRPr="00076E76" w:rsidRDefault="00076E76" w:rsidP="00301F69">
            <w:pPr>
              <w:rPr>
                <w:rFonts w:ascii="Gill Sans" w:hAnsi="Gill Sans" w:cs="Gill Sans"/>
                <w:color w:val="000000"/>
                <w:szCs w:val="22"/>
                <w:lang w:val="en-AU"/>
              </w:rPr>
            </w:pPr>
            <w:r w:rsidRPr="00076E76">
              <w:rPr>
                <w:rFonts w:ascii="Gill Sans" w:hAnsi="Gill Sans" w:cs="Gill Sans"/>
                <w:color w:val="000000"/>
                <w:szCs w:val="22"/>
                <w:lang w:val="en-AU"/>
              </w:rPr>
              <w:lastRenderedPageBreak/>
              <w:t xml:space="preserve">Transitions = “not only the product of social institutions but are also produced by social expectations” (p.5) </w:t>
            </w:r>
          </w:p>
          <w:p w14:paraId="4AA423BA" w14:textId="2578DAEB" w:rsidR="00076E76" w:rsidRPr="00076E76" w:rsidRDefault="00076E76" w:rsidP="00301F69">
            <w:pPr>
              <w:rPr>
                <w:rFonts w:ascii="Gill Sans" w:hAnsi="Gill Sans" w:cs="Gill Sans"/>
                <w:color w:val="000000"/>
                <w:szCs w:val="22"/>
                <w:lang w:val="en-AU"/>
              </w:rPr>
            </w:pPr>
            <w:r w:rsidRPr="00076E76">
              <w:rPr>
                <w:rFonts w:ascii="Gill Sans" w:hAnsi="Gill Sans" w:cs="Gill Sans"/>
                <w:color w:val="000000"/>
                <w:szCs w:val="22"/>
                <w:lang w:val="en-AU"/>
              </w:rPr>
              <w:t>Transitions discussed as ‘navigating pathways, structures and systems’, navigating cognition, emotion and sense of self’, ‘becoming somebody’, and ‘life-as-transition’</w:t>
            </w:r>
          </w:p>
          <w:p w14:paraId="128EDE49" w14:textId="7E8B8CC3" w:rsidR="00076E76" w:rsidRPr="00076E76" w:rsidRDefault="00076E76" w:rsidP="00301F69">
            <w:pPr>
              <w:rPr>
                <w:rFonts w:ascii="Gill Sans" w:hAnsi="Gill Sans" w:cs="Gill Sans"/>
                <w:color w:val="000000"/>
                <w:szCs w:val="22"/>
                <w:lang w:val="en-AU"/>
              </w:rPr>
            </w:pPr>
            <w:r w:rsidRPr="00076E76">
              <w:rPr>
                <w:rFonts w:ascii="Gill Sans" w:hAnsi="Gill Sans" w:cs="Gill Sans"/>
                <w:color w:val="000000"/>
                <w:szCs w:val="22"/>
                <w:lang w:val="en-AU"/>
              </w:rPr>
              <w:t>“The idea of social expectations suggests that every society has a system of social expectations regarding age-appropriate behaviour” (p.5)</w:t>
            </w:r>
          </w:p>
        </w:tc>
      </w:tr>
      <w:tr w:rsidR="00076E76" w:rsidRPr="00076E76" w14:paraId="40FD12C0" w14:textId="77777777" w:rsidTr="002E557C">
        <w:tc>
          <w:tcPr>
            <w:tcW w:w="5529" w:type="dxa"/>
          </w:tcPr>
          <w:p w14:paraId="2EA2A48F" w14:textId="166A39F5" w:rsidR="00076E76" w:rsidRPr="00076E76" w:rsidRDefault="00076E76" w:rsidP="002E557C">
            <w:pPr>
              <w:rPr>
                <w:rFonts w:ascii="Gill Sans" w:hAnsi="Gill Sans" w:cs="Gill Sans"/>
                <w:szCs w:val="22"/>
              </w:rPr>
            </w:pPr>
            <w:r w:rsidRPr="00076E76">
              <w:rPr>
                <w:rFonts w:ascii="Gill Sans" w:hAnsi="Gill Sans" w:cs="Gill Sans"/>
                <w:szCs w:val="22"/>
              </w:rPr>
              <w:lastRenderedPageBreak/>
              <w:t xml:space="preserve">Egea, K.; Griffiths, N. &amp; McKenzie, J. (2014). </w:t>
            </w:r>
            <w:hyperlink r:id="rId48" w:history="1">
              <w:r w:rsidRPr="0024389E">
                <w:rPr>
                  <w:rStyle w:val="Hyperlink"/>
                  <w:rFonts w:ascii="Gill Sans" w:hAnsi="Gill Sans" w:cs="Gill Sans"/>
                  <w:szCs w:val="22"/>
                </w:rPr>
                <w:t>An evolving approach to developing academics’ understandings of transition for first year students. A Practice Report</w:t>
              </w:r>
            </w:hyperlink>
            <w:r w:rsidRPr="00076E76">
              <w:rPr>
                <w:rFonts w:ascii="Gill Sans" w:hAnsi="Gill Sans" w:cs="Gill Sans"/>
                <w:szCs w:val="22"/>
              </w:rPr>
              <w:t xml:space="preserve">, </w:t>
            </w:r>
            <w:r w:rsidRPr="00076E76">
              <w:rPr>
                <w:rFonts w:ascii="Gill Sans" w:hAnsi="Gill Sans" w:cs="Gill Sans"/>
                <w:i/>
                <w:szCs w:val="22"/>
              </w:rPr>
              <w:t xml:space="preserve">The International Journal of the First Year in Higher Education, </w:t>
            </w:r>
            <w:r w:rsidR="00F7728D">
              <w:rPr>
                <w:rFonts w:ascii="Gill Sans" w:hAnsi="Gill Sans" w:cs="Gill Sans"/>
                <w:szCs w:val="22"/>
              </w:rPr>
              <w:t>5(2), 103–</w:t>
            </w:r>
            <w:r w:rsidRPr="00076E76">
              <w:rPr>
                <w:rFonts w:ascii="Gill Sans" w:hAnsi="Gill Sans" w:cs="Gill Sans"/>
                <w:szCs w:val="22"/>
              </w:rPr>
              <w:t>109.</w:t>
            </w:r>
          </w:p>
          <w:p w14:paraId="16D649C0" w14:textId="77777777" w:rsidR="00076E76" w:rsidRPr="00076E76" w:rsidRDefault="00076E76" w:rsidP="002E557C">
            <w:pPr>
              <w:rPr>
                <w:rFonts w:ascii="Gill Sans" w:hAnsi="Gill Sans" w:cs="Gill Sans"/>
                <w:szCs w:val="22"/>
              </w:rPr>
            </w:pPr>
          </w:p>
          <w:p w14:paraId="122B8F39" w14:textId="77777777" w:rsidR="00076E76" w:rsidRPr="00076E76" w:rsidRDefault="00076E76" w:rsidP="002E557C">
            <w:pPr>
              <w:rPr>
                <w:rFonts w:ascii="Gill Sans" w:hAnsi="Gill Sans" w:cs="Gill Sans"/>
                <w:szCs w:val="22"/>
              </w:rPr>
            </w:pPr>
            <w:r w:rsidRPr="00076E76">
              <w:rPr>
                <w:rFonts w:ascii="Gill Sans" w:hAnsi="Gill Sans" w:cs="Gill Sans"/>
                <w:szCs w:val="22"/>
              </w:rPr>
              <w:t>AUS</w:t>
            </w:r>
          </w:p>
          <w:p w14:paraId="5A738626" w14:textId="77777777" w:rsidR="00076E76" w:rsidRPr="00076E76" w:rsidRDefault="00076E76" w:rsidP="00755B25">
            <w:pPr>
              <w:rPr>
                <w:rFonts w:ascii="Gill Sans" w:hAnsi="Gill Sans" w:cs="Gill Sans"/>
                <w:szCs w:val="22"/>
              </w:rPr>
            </w:pPr>
            <w:r w:rsidRPr="00076E76">
              <w:rPr>
                <w:rFonts w:ascii="Gill Sans" w:hAnsi="Gill Sans" w:cs="Gill Sans"/>
                <w:szCs w:val="22"/>
              </w:rPr>
              <w:t>Annotation by Sally Baker</w:t>
            </w:r>
          </w:p>
          <w:p w14:paraId="7637EC5C" w14:textId="77777777" w:rsidR="00076E76" w:rsidRPr="00076E76" w:rsidRDefault="00076E76" w:rsidP="002E557C">
            <w:pPr>
              <w:rPr>
                <w:rFonts w:ascii="Gill Sans" w:hAnsi="Gill Sans" w:cs="Gill Sans"/>
                <w:b/>
                <w:szCs w:val="22"/>
              </w:rPr>
            </w:pPr>
          </w:p>
          <w:p w14:paraId="2C2239CD" w14:textId="77777777" w:rsidR="00076E76" w:rsidRPr="00076E76" w:rsidRDefault="00076E76" w:rsidP="002E557C">
            <w:pPr>
              <w:rPr>
                <w:rFonts w:ascii="Gill Sans" w:hAnsi="Gill Sans" w:cs="Gill Sans"/>
                <w:szCs w:val="22"/>
              </w:rPr>
            </w:pPr>
          </w:p>
          <w:p w14:paraId="60841725" w14:textId="77777777" w:rsidR="00076E76" w:rsidRPr="00076E76" w:rsidRDefault="00076E76" w:rsidP="002E557C">
            <w:pPr>
              <w:rPr>
                <w:rFonts w:ascii="Gill Sans" w:hAnsi="Gill Sans" w:cs="Gill Sans"/>
                <w:i/>
                <w:szCs w:val="22"/>
              </w:rPr>
            </w:pPr>
            <w:r w:rsidRPr="00076E76">
              <w:rPr>
                <w:rFonts w:ascii="Gill Sans" w:hAnsi="Gill Sans" w:cs="Gill Sans"/>
                <w:szCs w:val="22"/>
              </w:rPr>
              <w:t xml:space="preserve">Keywords: </w:t>
            </w:r>
            <w:r w:rsidRPr="00076E76">
              <w:rPr>
                <w:rFonts w:ascii="Gill Sans" w:hAnsi="Gill Sans" w:cs="Gill Sans"/>
                <w:i/>
                <w:szCs w:val="22"/>
              </w:rPr>
              <w:t>First Year Experience, academics’ understandings, transition, learning community</w:t>
            </w:r>
          </w:p>
          <w:p w14:paraId="5943611F" w14:textId="28CC4CDE" w:rsidR="00076E76" w:rsidRPr="00076E76" w:rsidRDefault="00076E76" w:rsidP="002E557C">
            <w:pPr>
              <w:rPr>
                <w:rFonts w:ascii="Gill Sans" w:hAnsi="Gill Sans" w:cs="Gill Sans"/>
                <w:b/>
                <w:szCs w:val="22"/>
              </w:rPr>
            </w:pPr>
          </w:p>
        </w:tc>
        <w:tc>
          <w:tcPr>
            <w:tcW w:w="10064" w:type="dxa"/>
          </w:tcPr>
          <w:p w14:paraId="3DE9DE95" w14:textId="7DA78416" w:rsidR="00076E76" w:rsidRPr="00076E76" w:rsidRDefault="00076E76" w:rsidP="00A97A46">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sidRPr="00076E76">
              <w:rPr>
                <w:rFonts w:ascii="Gill Sans" w:hAnsi="Gill Sans" w:cs="Gill Sans"/>
                <w:color w:val="000000"/>
                <w:szCs w:val="22"/>
                <w:lang w:val="en-AU"/>
              </w:rPr>
              <w:t xml:space="preserve">Australian higher education context – FYE program based on </w:t>
            </w:r>
            <w:proofErr w:type="spellStart"/>
            <w:r w:rsidRPr="00076E76">
              <w:rPr>
                <w:rFonts w:ascii="Gill Sans" w:hAnsi="Gill Sans" w:cs="Gill Sans"/>
                <w:color w:val="000000"/>
                <w:szCs w:val="22"/>
                <w:lang w:val="en-AU"/>
              </w:rPr>
              <w:t>Kift’s</w:t>
            </w:r>
            <w:proofErr w:type="spellEnd"/>
            <w:r w:rsidRPr="00076E76">
              <w:rPr>
                <w:rFonts w:ascii="Gill Sans" w:hAnsi="Gill Sans" w:cs="Gill Sans"/>
                <w:color w:val="000000"/>
                <w:szCs w:val="22"/>
                <w:lang w:val="en-AU"/>
              </w:rPr>
              <w:t xml:space="preserve"> transition pedagogy. Describes UTS FYE project: activities, forums, coordinator, grants “</w:t>
            </w:r>
            <w:r w:rsidRPr="00076E76">
              <w:rPr>
                <w:rFonts w:ascii="Gill Sans" w:hAnsi="Gill Sans" w:cs="Gill Sans"/>
                <w:color w:val="000000"/>
                <w:szCs w:val="22"/>
              </w:rPr>
              <w:t>to design curriculum based activities linked to one or two of the First Year Curriculum Principles” (p.105)</w:t>
            </w:r>
          </w:p>
          <w:p w14:paraId="500CD2C5" w14:textId="78B3E9D5" w:rsidR="00076E76" w:rsidRPr="00076E76" w:rsidRDefault="00076E76" w:rsidP="008A07AF">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sidRPr="00076E76">
              <w:rPr>
                <w:rFonts w:ascii="Gill Sans" w:hAnsi="Gill Sans" w:cs="Gill Sans"/>
                <w:color w:val="000000"/>
                <w:szCs w:val="22"/>
                <w:lang w:val="en-AU"/>
              </w:rPr>
              <w:t xml:space="preserve">To describe an FYE program at UTS to “engage and support academics” </w:t>
            </w:r>
          </w:p>
          <w:p w14:paraId="16FEA4D6" w14:textId="495E1087" w:rsidR="00076E76" w:rsidRPr="00076E76" w:rsidRDefault="00076E76" w:rsidP="008A07AF">
            <w:pPr>
              <w:rPr>
                <w:rFonts w:ascii="Gill Sans" w:hAnsi="Gill Sans" w:cs="Gill Sans"/>
                <w:color w:val="000000"/>
                <w:szCs w:val="22"/>
                <w:lang w:val="en-AU"/>
              </w:rPr>
            </w:pPr>
            <w:r w:rsidRPr="00076E76">
              <w:rPr>
                <w:rFonts w:ascii="Gill Sans" w:hAnsi="Gill Sans" w:cs="Gill Sans"/>
                <w:b/>
                <w:color w:val="000000"/>
                <w:szCs w:val="22"/>
                <w:lang w:val="en-AU"/>
              </w:rPr>
              <w:t xml:space="preserve">Theoretical frame: </w:t>
            </w:r>
            <w:r w:rsidRPr="00076E76">
              <w:rPr>
                <w:rFonts w:ascii="Gill Sans" w:hAnsi="Gill Sans" w:cs="Gill Sans"/>
                <w:color w:val="000000"/>
                <w:szCs w:val="22"/>
                <w:lang w:val="en-AU"/>
              </w:rPr>
              <w:t>Transition pedagogy (Kift, Nelson &amp; Clarke, 2010)</w:t>
            </w:r>
          </w:p>
          <w:p w14:paraId="42067458" w14:textId="1E8333E9" w:rsidR="00076E76" w:rsidRPr="00076E76" w:rsidRDefault="00076E76" w:rsidP="008A07AF">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Description</w:t>
            </w:r>
          </w:p>
          <w:p w14:paraId="08F1D821" w14:textId="54AB7D01" w:rsidR="00076E76" w:rsidRPr="00076E76" w:rsidRDefault="00076E76" w:rsidP="00A97A46">
            <w:pPr>
              <w:rPr>
                <w:rFonts w:ascii="Gill Sans" w:hAnsi="Gill Sans" w:cs="Gill Sans"/>
                <w:color w:val="000000"/>
                <w:szCs w:val="22"/>
              </w:rPr>
            </w:pPr>
            <w:r w:rsidRPr="00076E76">
              <w:rPr>
                <w:rFonts w:ascii="Gill Sans" w:hAnsi="Gill Sans" w:cs="Gill Sans"/>
                <w:b/>
                <w:color w:val="000000"/>
                <w:szCs w:val="22"/>
                <w:lang w:val="en-AU"/>
              </w:rPr>
              <w:t xml:space="preserve">Findings: </w:t>
            </w:r>
            <w:r w:rsidRPr="00076E76">
              <w:rPr>
                <w:rFonts w:ascii="Gill Sans" w:hAnsi="Gill Sans" w:cs="Gill Sans"/>
                <w:color w:val="000000"/>
                <w:szCs w:val="22"/>
                <w:lang w:val="en-AU"/>
              </w:rPr>
              <w:t xml:space="preserve">Since 2011, 75 grants have been given. Also, a learning community (CoP) has developed: </w:t>
            </w:r>
            <w:r w:rsidRPr="00076E76">
              <w:rPr>
                <w:rFonts w:ascii="Gill Sans" w:hAnsi="Gill Sans" w:cs="Gill Sans"/>
              </w:rPr>
              <w:t>“staff perceptions of transition and transition pedagogies have evolved as part of growing conversations on transition at the university” (p.104),</w:t>
            </w:r>
            <w:r w:rsidRPr="00076E76">
              <w:rPr>
                <w:rFonts w:ascii="Gill Sans" w:hAnsi="Gill Sans" w:cs="Gill Sans"/>
                <w:b/>
                <w:color w:val="000000"/>
                <w:szCs w:val="22"/>
                <w:lang w:val="en-AU"/>
              </w:rPr>
              <w:br/>
              <w:t xml:space="preserve">Core argument: </w:t>
            </w:r>
            <w:r w:rsidRPr="00076E76">
              <w:rPr>
                <w:rFonts w:ascii="Gill Sans" w:hAnsi="Gill Sans" w:cs="Gill Sans"/>
                <w:color w:val="000000"/>
                <w:szCs w:val="22"/>
                <w:lang w:val="en-AU"/>
              </w:rPr>
              <w:t>Offers example of approach “</w:t>
            </w:r>
            <w:r w:rsidRPr="00076E76">
              <w:rPr>
                <w:rFonts w:ascii="Gill Sans" w:hAnsi="Gill Sans" w:cs="Gill Sans"/>
                <w:color w:val="000000"/>
                <w:szCs w:val="22"/>
              </w:rPr>
              <w:t>to building academic engagement in transition and transition pedagogies, through a supportive process of evolving and growing conversations on transition” (p.107)</w:t>
            </w:r>
          </w:p>
        </w:tc>
      </w:tr>
      <w:tr w:rsidR="00076E76" w:rsidRPr="00076E76" w14:paraId="213BA492" w14:textId="77777777" w:rsidTr="00AA20AD">
        <w:tc>
          <w:tcPr>
            <w:tcW w:w="5529" w:type="dxa"/>
            <w:shd w:val="clear" w:color="auto" w:fill="auto"/>
          </w:tcPr>
          <w:p w14:paraId="43C70238" w14:textId="21D07859" w:rsidR="00076E76" w:rsidRPr="00076E76" w:rsidRDefault="00076E76" w:rsidP="006D3AF4">
            <w:pPr>
              <w:rPr>
                <w:rFonts w:ascii="Gill Sans" w:hAnsi="Gill Sans" w:cs="Gill Sans"/>
                <w:szCs w:val="22"/>
              </w:rPr>
            </w:pPr>
            <w:r w:rsidRPr="00076E76">
              <w:rPr>
                <w:rFonts w:ascii="Gill Sans" w:hAnsi="Gill Sans" w:cs="Gill Sans"/>
                <w:szCs w:val="22"/>
              </w:rPr>
              <w:t xml:space="preserve">Ellery, K. (2017). </w:t>
            </w:r>
            <w:hyperlink r:id="rId49" w:history="1">
              <w:r w:rsidRPr="002F7CF7">
                <w:rPr>
                  <w:rStyle w:val="Hyperlink"/>
                  <w:rFonts w:ascii="Gill Sans" w:hAnsi="Gill Sans" w:cs="Gill Sans"/>
                  <w:szCs w:val="22"/>
                </w:rPr>
                <w:t>Framing of transitional pedagogic practices in the sciences: enabling access</w:t>
              </w:r>
            </w:hyperlink>
            <w:r w:rsidRPr="00076E76">
              <w:rPr>
                <w:rFonts w:ascii="Gill Sans" w:hAnsi="Gill Sans" w:cs="Gill Sans"/>
                <w:szCs w:val="22"/>
              </w:rPr>
              <w:t xml:space="preserve">, </w:t>
            </w:r>
            <w:r w:rsidRPr="00076E76">
              <w:rPr>
                <w:rFonts w:ascii="Gill Sans" w:hAnsi="Gill Sans" w:cs="Gill Sans"/>
                <w:i/>
                <w:szCs w:val="22"/>
              </w:rPr>
              <w:t xml:space="preserve">Teaching in Higher Education, </w:t>
            </w:r>
            <w:r w:rsidR="00F7728D">
              <w:rPr>
                <w:rFonts w:ascii="Gill Sans" w:hAnsi="Gill Sans" w:cs="Gill Sans"/>
                <w:szCs w:val="22"/>
              </w:rPr>
              <w:t>22(8), 908–</w:t>
            </w:r>
            <w:r w:rsidRPr="00076E76">
              <w:rPr>
                <w:rFonts w:ascii="Gill Sans" w:hAnsi="Gill Sans" w:cs="Gill Sans"/>
                <w:szCs w:val="22"/>
              </w:rPr>
              <w:t>924.</w:t>
            </w:r>
          </w:p>
          <w:p w14:paraId="3C943F68" w14:textId="77777777" w:rsidR="00076E76" w:rsidRPr="00076E76" w:rsidRDefault="00076E76" w:rsidP="006D3AF4">
            <w:pPr>
              <w:rPr>
                <w:rFonts w:ascii="Gill Sans" w:hAnsi="Gill Sans" w:cs="Gill Sans"/>
                <w:szCs w:val="22"/>
              </w:rPr>
            </w:pPr>
          </w:p>
          <w:p w14:paraId="325F7DFA" w14:textId="77777777" w:rsidR="00076E76" w:rsidRDefault="00076E76" w:rsidP="006D3AF4">
            <w:pPr>
              <w:rPr>
                <w:rFonts w:ascii="Gill Sans" w:hAnsi="Gill Sans" w:cs="Gill Sans"/>
                <w:szCs w:val="22"/>
              </w:rPr>
            </w:pPr>
            <w:r w:rsidRPr="00076E76">
              <w:rPr>
                <w:rFonts w:ascii="Gill Sans" w:hAnsi="Gill Sans" w:cs="Gill Sans"/>
                <w:szCs w:val="22"/>
              </w:rPr>
              <w:t>SA</w:t>
            </w:r>
          </w:p>
          <w:p w14:paraId="605F5E30" w14:textId="2E539849" w:rsidR="00B7369A" w:rsidRDefault="00B7369A" w:rsidP="006D3AF4">
            <w:pPr>
              <w:rPr>
                <w:rFonts w:ascii="Gill Sans" w:hAnsi="Gill Sans" w:cs="Gill Sans"/>
                <w:szCs w:val="22"/>
              </w:rPr>
            </w:pPr>
            <w:r>
              <w:rPr>
                <w:rFonts w:ascii="Gill Sans" w:hAnsi="Gill Sans" w:cs="Gill Sans"/>
                <w:szCs w:val="22"/>
              </w:rPr>
              <w:t xml:space="preserve">Annotation by </w:t>
            </w:r>
            <w:r w:rsidRPr="00B7369A">
              <w:rPr>
                <w:rFonts w:ascii="Gill Sans" w:hAnsi="Gill Sans" w:cs="Gill Sans"/>
                <w:szCs w:val="22"/>
              </w:rPr>
              <w:t>Caitlyn McLoughlin</w:t>
            </w:r>
          </w:p>
          <w:p w14:paraId="5805EFB3" w14:textId="77777777" w:rsidR="00B7369A" w:rsidRDefault="00B7369A" w:rsidP="006D3AF4">
            <w:pPr>
              <w:rPr>
                <w:rFonts w:ascii="Gill Sans" w:hAnsi="Gill Sans" w:cs="Gill Sans"/>
                <w:szCs w:val="22"/>
              </w:rPr>
            </w:pPr>
          </w:p>
          <w:p w14:paraId="76C9954B" w14:textId="299F188C" w:rsidR="00B7369A" w:rsidRPr="00076E76" w:rsidRDefault="00B7369A" w:rsidP="006D3AF4">
            <w:pPr>
              <w:rPr>
                <w:rFonts w:ascii="Gill Sans" w:hAnsi="Gill Sans" w:cs="Gill Sans"/>
                <w:szCs w:val="22"/>
              </w:rPr>
            </w:pPr>
            <w:r>
              <w:rPr>
                <w:rFonts w:ascii="Gill Sans" w:hAnsi="Gill Sans" w:cs="Gill Sans"/>
                <w:szCs w:val="22"/>
              </w:rPr>
              <w:t xml:space="preserve">Keywords: </w:t>
            </w:r>
            <w:r w:rsidRPr="00B7369A">
              <w:rPr>
                <w:rFonts w:ascii="Gill Sans" w:hAnsi="Gill Sans" w:cs="Gill Sans"/>
                <w:i/>
                <w:szCs w:val="22"/>
              </w:rPr>
              <w:t>Bernstein; framing; pedagogic modalities; science access; social justice</w:t>
            </w:r>
          </w:p>
          <w:p w14:paraId="409B5C14" w14:textId="77777777" w:rsidR="00076E76" w:rsidRPr="00076E76" w:rsidRDefault="00076E76" w:rsidP="006D3AF4">
            <w:pPr>
              <w:rPr>
                <w:rFonts w:ascii="Gill Sans" w:hAnsi="Gill Sans" w:cs="Gill Sans"/>
                <w:szCs w:val="22"/>
              </w:rPr>
            </w:pPr>
          </w:p>
          <w:p w14:paraId="757C3123" w14:textId="40AD9CAB" w:rsidR="00076E76" w:rsidRPr="00076E76" w:rsidRDefault="00076E76" w:rsidP="006D3AF4">
            <w:pPr>
              <w:rPr>
                <w:rFonts w:ascii="Gill Sans" w:hAnsi="Gill Sans" w:cs="Gill Sans"/>
                <w:b/>
                <w:szCs w:val="22"/>
              </w:rPr>
            </w:pPr>
          </w:p>
        </w:tc>
        <w:tc>
          <w:tcPr>
            <w:tcW w:w="10064" w:type="dxa"/>
          </w:tcPr>
          <w:p w14:paraId="18FDCCAF" w14:textId="401171FA" w:rsidR="00076E76" w:rsidRPr="00AD5209" w:rsidRDefault="00076E76" w:rsidP="00A17928">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sidR="00AD5209">
              <w:rPr>
                <w:rFonts w:ascii="Gill Sans" w:hAnsi="Gill Sans" w:cs="Gill Sans"/>
                <w:color w:val="000000"/>
                <w:szCs w:val="22"/>
                <w:lang w:val="en-AU"/>
              </w:rPr>
              <w:t>The underpinning of global education by norms, values and practices that favour middle-cl</w:t>
            </w:r>
            <w:r w:rsidR="00F55113">
              <w:rPr>
                <w:rFonts w:ascii="Gill Sans" w:hAnsi="Gill Sans" w:cs="Gill Sans"/>
                <w:color w:val="000000"/>
                <w:szCs w:val="22"/>
                <w:lang w:val="en-AU"/>
              </w:rPr>
              <w:t>ass over working-class students is echoed in South Africa, but with an added racial element; “</w:t>
            </w:r>
            <w:r w:rsidR="00F55113" w:rsidRPr="00F55113">
              <w:rPr>
                <w:rFonts w:ascii="Gill Sans" w:hAnsi="Gill Sans" w:cs="Gill Sans"/>
                <w:color w:val="000000"/>
                <w:szCs w:val="22"/>
              </w:rPr>
              <w:t>because of th</w:t>
            </w:r>
            <w:r w:rsidR="00F55113">
              <w:rPr>
                <w:rFonts w:ascii="Gill Sans" w:hAnsi="Gill Sans" w:cs="Gill Sans"/>
                <w:color w:val="000000"/>
                <w:szCs w:val="22"/>
              </w:rPr>
              <w:t>e structuring policies of apart</w:t>
            </w:r>
            <w:r w:rsidR="00F55113" w:rsidRPr="00F55113">
              <w:rPr>
                <w:rFonts w:ascii="Gill Sans" w:hAnsi="Gill Sans" w:cs="Gill Sans"/>
                <w:color w:val="000000"/>
                <w:szCs w:val="22"/>
              </w:rPr>
              <w:t>heid</w:t>
            </w:r>
            <w:r w:rsidR="00F55113">
              <w:rPr>
                <w:rFonts w:ascii="Gill Sans" w:hAnsi="Gill Sans" w:cs="Gill Sans"/>
                <w:color w:val="000000"/>
                <w:szCs w:val="22"/>
              </w:rPr>
              <w:t xml:space="preserve">, </w:t>
            </w:r>
            <w:r w:rsidR="00F55113" w:rsidRPr="00F55113">
              <w:rPr>
                <w:rFonts w:ascii="Gill Sans" w:hAnsi="Gill Sans" w:cs="Gill Sans"/>
                <w:color w:val="000000"/>
                <w:szCs w:val="22"/>
              </w:rPr>
              <w:t>the majority of African</w:t>
            </w:r>
            <w:r w:rsidR="00F55113">
              <w:rPr>
                <w:rFonts w:ascii="Gill Sans" w:hAnsi="Gill Sans" w:cs="Gill Sans"/>
                <w:color w:val="000000"/>
                <w:szCs w:val="22"/>
              </w:rPr>
              <w:t xml:space="preserve"> </w:t>
            </w:r>
            <w:r w:rsidR="00F55113" w:rsidRPr="00F55113">
              <w:rPr>
                <w:rFonts w:ascii="Gill Sans" w:hAnsi="Gill Sans" w:cs="Gill Sans"/>
                <w:color w:val="000000"/>
                <w:szCs w:val="22"/>
              </w:rPr>
              <w:t>students that have entered t</w:t>
            </w:r>
            <w:r w:rsidR="00F55113">
              <w:rPr>
                <w:rFonts w:ascii="Gill Sans" w:hAnsi="Gill Sans" w:cs="Gill Sans"/>
                <w:color w:val="000000"/>
                <w:szCs w:val="22"/>
              </w:rPr>
              <w:t>he university system after demo</w:t>
            </w:r>
            <w:r w:rsidR="00F55113" w:rsidRPr="00F55113">
              <w:rPr>
                <w:rFonts w:ascii="Gill Sans" w:hAnsi="Gill Sans" w:cs="Gill Sans"/>
                <w:color w:val="000000"/>
                <w:szCs w:val="22"/>
              </w:rPr>
              <w:t>cratic elections in 1994 are from working-class backgrounds and most whites are from</w:t>
            </w:r>
            <w:r w:rsidR="00F55113">
              <w:rPr>
                <w:rFonts w:ascii="Gill Sans" w:hAnsi="Gill Sans" w:cs="Gill Sans"/>
                <w:color w:val="000000"/>
                <w:szCs w:val="22"/>
              </w:rPr>
              <w:t xml:space="preserve"> </w:t>
            </w:r>
            <w:r w:rsidR="00F55113" w:rsidRPr="00F55113">
              <w:rPr>
                <w:rFonts w:ascii="Gill Sans" w:hAnsi="Gill Sans" w:cs="Gill Sans"/>
                <w:color w:val="000000"/>
                <w:szCs w:val="22"/>
              </w:rPr>
              <w:t>middle-class backgrounds</w:t>
            </w:r>
            <w:r w:rsidR="00F55113">
              <w:rPr>
                <w:rFonts w:ascii="Gill Sans" w:hAnsi="Gill Sans" w:cs="Gill Sans"/>
                <w:color w:val="000000"/>
                <w:szCs w:val="22"/>
              </w:rPr>
              <w:t>”</w:t>
            </w:r>
            <w:r w:rsidR="00642DAB">
              <w:rPr>
                <w:rFonts w:ascii="Gill Sans" w:hAnsi="Gill Sans" w:cs="Gill Sans"/>
                <w:color w:val="000000"/>
                <w:szCs w:val="22"/>
              </w:rPr>
              <w:t xml:space="preserve"> (909)</w:t>
            </w:r>
            <w:r w:rsidR="00414106">
              <w:rPr>
                <w:rFonts w:ascii="Gill Sans" w:hAnsi="Gill Sans" w:cs="Gill Sans"/>
                <w:color w:val="000000"/>
                <w:szCs w:val="22"/>
              </w:rPr>
              <w:t xml:space="preserve"> and overall retention and graduation rates are lower </w:t>
            </w:r>
            <w:r w:rsidR="00EB2AE2">
              <w:rPr>
                <w:rFonts w:ascii="Gill Sans" w:hAnsi="Gill Sans" w:cs="Gill Sans"/>
                <w:color w:val="000000"/>
                <w:szCs w:val="22"/>
              </w:rPr>
              <w:t>for African students than white students.</w:t>
            </w:r>
            <w:r w:rsidR="005B04C9">
              <w:rPr>
                <w:rFonts w:ascii="Gill Sans" w:hAnsi="Gill Sans" w:cs="Gill Sans"/>
                <w:color w:val="000000"/>
                <w:szCs w:val="22"/>
              </w:rPr>
              <w:t xml:space="preserve"> Recent student-led protests and calls for </w:t>
            </w:r>
            <w:proofErr w:type="spellStart"/>
            <w:r w:rsidR="005B04C9">
              <w:rPr>
                <w:rFonts w:ascii="Gill Sans" w:hAnsi="Gill Sans" w:cs="Gill Sans"/>
                <w:color w:val="000000"/>
                <w:szCs w:val="22"/>
              </w:rPr>
              <w:t>decolonisation</w:t>
            </w:r>
            <w:proofErr w:type="spellEnd"/>
            <w:r w:rsidR="005B04C9">
              <w:rPr>
                <w:rFonts w:ascii="Gill Sans" w:hAnsi="Gill Sans" w:cs="Gill Sans"/>
                <w:color w:val="000000"/>
                <w:szCs w:val="22"/>
              </w:rPr>
              <w:t xml:space="preserve"> of higher ed reflect general dissatisfaction and “</w:t>
            </w:r>
            <w:r w:rsidR="005B04C9" w:rsidRPr="005B04C9">
              <w:rPr>
                <w:rFonts w:ascii="Gill Sans" w:hAnsi="Gill Sans" w:cs="Gill Sans"/>
                <w:color w:val="000000"/>
                <w:szCs w:val="22"/>
              </w:rPr>
              <w:t xml:space="preserve">debates are currently </w:t>
            </w:r>
            <w:proofErr w:type="spellStart"/>
            <w:r w:rsidR="005B04C9" w:rsidRPr="005B04C9">
              <w:rPr>
                <w:rFonts w:ascii="Gill Sans" w:hAnsi="Gill Sans" w:cs="Gill Sans"/>
                <w:color w:val="000000"/>
                <w:szCs w:val="22"/>
              </w:rPr>
              <w:t>focussed</w:t>
            </w:r>
            <w:proofErr w:type="spellEnd"/>
            <w:r w:rsidR="005B04C9" w:rsidRPr="005B04C9">
              <w:rPr>
                <w:rFonts w:ascii="Gill Sans" w:hAnsi="Gill Sans" w:cs="Gill Sans"/>
                <w:color w:val="000000"/>
                <w:szCs w:val="22"/>
              </w:rPr>
              <w:t xml:space="preserve"> on</w:t>
            </w:r>
            <w:r w:rsidR="005B04C9">
              <w:rPr>
                <w:rFonts w:ascii="Gill Sans" w:hAnsi="Gill Sans" w:cs="Gill Sans"/>
                <w:color w:val="000000"/>
                <w:szCs w:val="22"/>
              </w:rPr>
              <w:t xml:space="preserve"> </w:t>
            </w:r>
            <w:r w:rsidR="005B04C9" w:rsidRPr="005B04C9">
              <w:rPr>
                <w:rFonts w:ascii="Gill Sans" w:hAnsi="Gill Sans" w:cs="Gill Sans"/>
                <w:color w:val="000000"/>
                <w:szCs w:val="22"/>
              </w:rPr>
              <w:t>appropriate content and context of knowledge as well as on transformative pedagogic</w:t>
            </w:r>
            <w:r w:rsidR="005B04C9">
              <w:rPr>
                <w:rFonts w:ascii="Gill Sans" w:hAnsi="Gill Sans" w:cs="Gill Sans"/>
                <w:color w:val="000000"/>
                <w:szCs w:val="22"/>
              </w:rPr>
              <w:t xml:space="preserve"> </w:t>
            </w:r>
            <w:r w:rsidR="005B04C9" w:rsidRPr="005B04C9">
              <w:rPr>
                <w:rFonts w:ascii="Gill Sans" w:hAnsi="Gill Sans" w:cs="Gill Sans"/>
                <w:color w:val="000000"/>
                <w:szCs w:val="22"/>
              </w:rPr>
              <w:t>practices</w:t>
            </w:r>
            <w:r w:rsidR="005B04C9">
              <w:rPr>
                <w:rFonts w:ascii="Gill Sans" w:hAnsi="Gill Sans" w:cs="Gill Sans"/>
                <w:color w:val="000000"/>
                <w:szCs w:val="22"/>
              </w:rPr>
              <w:t>” (909)</w:t>
            </w:r>
            <w:r w:rsidR="005B04C9" w:rsidRPr="005B04C9">
              <w:rPr>
                <w:rFonts w:ascii="Gill Sans" w:hAnsi="Gill Sans" w:cs="Gill Sans"/>
                <w:color w:val="000000"/>
                <w:szCs w:val="22"/>
              </w:rPr>
              <w:t>.</w:t>
            </w:r>
          </w:p>
          <w:p w14:paraId="5BA20946" w14:textId="1D0BE31D" w:rsidR="00076E76" w:rsidRPr="005B04C9" w:rsidRDefault="00076E76" w:rsidP="00A17928">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sidR="005B04C9">
              <w:rPr>
                <w:rFonts w:ascii="Gill Sans" w:hAnsi="Gill Sans" w:cs="Gill Sans"/>
                <w:color w:val="000000"/>
                <w:szCs w:val="22"/>
                <w:lang w:val="en-AU"/>
              </w:rPr>
              <w:t xml:space="preserve">To contribute to a discussion about curriculum reform by answering: 1) </w:t>
            </w:r>
            <w:r w:rsidR="005B04C9">
              <w:rPr>
                <w:rFonts w:ascii="Gill Sans" w:hAnsi="Gill Sans" w:cs="Gill Sans"/>
                <w:color w:val="000000"/>
                <w:szCs w:val="22"/>
              </w:rPr>
              <w:t>W</w:t>
            </w:r>
            <w:r w:rsidR="005B04C9" w:rsidRPr="005B04C9">
              <w:rPr>
                <w:rFonts w:ascii="Gill Sans" w:hAnsi="Gill Sans" w:cs="Gill Sans"/>
                <w:color w:val="000000"/>
                <w:szCs w:val="22"/>
              </w:rPr>
              <w:t>hat pedagogic practices underpin the science foundation course and, as a result,</w:t>
            </w:r>
            <w:r w:rsidR="005B04C9">
              <w:rPr>
                <w:rFonts w:ascii="Gill Sans" w:hAnsi="Gill Sans" w:cs="Gill Sans"/>
                <w:color w:val="000000"/>
                <w:szCs w:val="22"/>
              </w:rPr>
              <w:t xml:space="preserve"> </w:t>
            </w:r>
            <w:r w:rsidR="005B04C9" w:rsidRPr="005B04C9">
              <w:rPr>
                <w:rFonts w:ascii="Gill Sans" w:hAnsi="Gill Sans" w:cs="Gill Sans"/>
                <w:color w:val="000000"/>
                <w:szCs w:val="22"/>
              </w:rPr>
              <w:t xml:space="preserve">what are the implications </w:t>
            </w:r>
            <w:r w:rsidR="005B04C9">
              <w:rPr>
                <w:rFonts w:ascii="Gill Sans" w:hAnsi="Gill Sans" w:cs="Gill Sans"/>
                <w:color w:val="000000"/>
                <w:szCs w:val="22"/>
              </w:rPr>
              <w:t>for student learning? 2) What aspects of first-year main</w:t>
            </w:r>
            <w:r w:rsidR="005B04C9" w:rsidRPr="005B04C9">
              <w:rPr>
                <w:rFonts w:ascii="Gill Sans" w:hAnsi="Gill Sans" w:cs="Gill Sans"/>
                <w:color w:val="000000"/>
                <w:szCs w:val="22"/>
              </w:rPr>
              <w:t>stream pedagogic practices enable or constrain students in the transition from foundation</w:t>
            </w:r>
            <w:r w:rsidR="005B04C9">
              <w:rPr>
                <w:rFonts w:ascii="Gill Sans" w:hAnsi="Gill Sans" w:cs="Gill Sans"/>
                <w:color w:val="000000"/>
                <w:szCs w:val="22"/>
              </w:rPr>
              <w:t xml:space="preserve"> </w:t>
            </w:r>
            <w:r w:rsidR="005B04C9" w:rsidRPr="005B04C9">
              <w:rPr>
                <w:rFonts w:ascii="Gill Sans" w:hAnsi="Gill Sans" w:cs="Gill Sans"/>
                <w:color w:val="000000"/>
                <w:szCs w:val="22"/>
              </w:rPr>
              <w:t>to mainstream?</w:t>
            </w:r>
            <w:r w:rsidR="005B04C9">
              <w:rPr>
                <w:rFonts w:ascii="Gill Sans" w:hAnsi="Gill Sans" w:cs="Gill Sans"/>
                <w:color w:val="000000"/>
                <w:szCs w:val="22"/>
              </w:rPr>
              <w:t xml:space="preserve"> (909)</w:t>
            </w:r>
          </w:p>
          <w:p w14:paraId="16EB59F9" w14:textId="101BD7B8" w:rsidR="00D10FBA" w:rsidRPr="00D10FBA" w:rsidRDefault="00076E76" w:rsidP="00A17928">
            <w:pPr>
              <w:rPr>
                <w:rFonts w:ascii="Gill Sans" w:hAnsi="Gill Sans" w:cs="Gill Sans"/>
                <w:color w:val="000000"/>
                <w:szCs w:val="22"/>
              </w:rPr>
            </w:pPr>
            <w:r w:rsidRPr="00076E76">
              <w:rPr>
                <w:rFonts w:ascii="Gill Sans" w:hAnsi="Gill Sans" w:cs="Gill Sans"/>
                <w:b/>
                <w:color w:val="000000"/>
                <w:szCs w:val="22"/>
                <w:lang w:val="en-AU"/>
              </w:rPr>
              <w:t>Theoretical frame:</w:t>
            </w:r>
            <w:r w:rsidR="00861D71">
              <w:rPr>
                <w:rFonts w:ascii="Gill Sans" w:hAnsi="Gill Sans" w:cs="Gill Sans"/>
                <w:b/>
                <w:color w:val="000000"/>
                <w:szCs w:val="22"/>
                <w:lang w:val="en-AU"/>
              </w:rPr>
              <w:t xml:space="preserve"> </w:t>
            </w:r>
            <w:r w:rsidR="00861D71" w:rsidRPr="00861D71">
              <w:rPr>
                <w:rFonts w:ascii="Gill Sans" w:hAnsi="Gill Sans" w:cs="Gill Sans"/>
                <w:color w:val="000000"/>
                <w:szCs w:val="22"/>
              </w:rPr>
              <w:t>Bernstein</w:t>
            </w:r>
            <w:r w:rsidR="00861D71">
              <w:rPr>
                <w:rFonts w:ascii="Gill Sans" w:hAnsi="Gill Sans" w:cs="Gill Sans"/>
                <w:color w:val="000000"/>
                <w:szCs w:val="22"/>
              </w:rPr>
              <w:t>’s (</w:t>
            </w:r>
            <w:r w:rsidR="00861D71" w:rsidRPr="00861D71">
              <w:rPr>
                <w:rFonts w:ascii="Gill Sans" w:hAnsi="Gill Sans" w:cs="Gill Sans"/>
                <w:color w:val="000000"/>
                <w:szCs w:val="22"/>
              </w:rPr>
              <w:t>Class, Codes</w:t>
            </w:r>
            <w:r w:rsidR="00861D71">
              <w:rPr>
                <w:rFonts w:ascii="Gill Sans" w:hAnsi="Gill Sans" w:cs="Gill Sans"/>
                <w:color w:val="000000"/>
                <w:szCs w:val="22"/>
              </w:rPr>
              <w:t xml:space="preserve"> </w:t>
            </w:r>
            <w:r w:rsidR="00861D71" w:rsidRPr="00861D71">
              <w:rPr>
                <w:rFonts w:ascii="Gill Sans" w:hAnsi="Gill Sans" w:cs="Gill Sans"/>
                <w:color w:val="000000"/>
                <w:szCs w:val="22"/>
              </w:rPr>
              <w:t>and Control, Volume IV: The Structuring of Pedagogic Discourse</w:t>
            </w:r>
            <w:r w:rsidR="00861D71">
              <w:rPr>
                <w:rFonts w:ascii="Gill Sans" w:hAnsi="Gill Sans" w:cs="Gill Sans"/>
                <w:color w:val="000000"/>
                <w:szCs w:val="22"/>
              </w:rPr>
              <w:t xml:space="preserve"> [1990]; </w:t>
            </w:r>
            <w:r w:rsidR="00861D71" w:rsidRPr="00861D71">
              <w:rPr>
                <w:rFonts w:ascii="Gill Sans" w:hAnsi="Gill Sans" w:cs="Gill Sans"/>
                <w:color w:val="000000"/>
                <w:szCs w:val="22"/>
              </w:rPr>
              <w:t>Pedagogy, Symbolic Control, and Identity:</w:t>
            </w:r>
            <w:r w:rsidR="00861D71">
              <w:rPr>
                <w:rFonts w:ascii="Gill Sans" w:hAnsi="Gill Sans" w:cs="Gill Sans"/>
                <w:color w:val="000000"/>
                <w:szCs w:val="22"/>
              </w:rPr>
              <w:t xml:space="preserve"> </w:t>
            </w:r>
            <w:r w:rsidR="00861D71" w:rsidRPr="00861D71">
              <w:rPr>
                <w:rFonts w:ascii="Gill Sans" w:hAnsi="Gill Sans" w:cs="Gill Sans"/>
                <w:color w:val="000000"/>
                <w:szCs w:val="22"/>
              </w:rPr>
              <w:t>Theory,</w:t>
            </w:r>
            <w:r w:rsidR="00861D71">
              <w:rPr>
                <w:rFonts w:ascii="Gill Sans" w:hAnsi="Gill Sans" w:cs="Gill Sans"/>
                <w:color w:val="000000"/>
                <w:szCs w:val="22"/>
              </w:rPr>
              <w:t xml:space="preserve"> Research, Critique. Lanham [2000</w:t>
            </w:r>
            <w:r w:rsidR="00861D71" w:rsidRPr="00861D71">
              <w:rPr>
                <w:rFonts w:ascii="Gill Sans" w:hAnsi="Gill Sans" w:cs="Gill Sans"/>
                <w:color w:val="000000"/>
                <w:szCs w:val="22"/>
              </w:rPr>
              <w:t xml:space="preserve">]) </w:t>
            </w:r>
            <w:r w:rsidR="00861D71" w:rsidRPr="00861D71">
              <w:rPr>
                <w:rFonts w:ascii="Gill Sans" w:hAnsi="Gill Sans" w:cs="Gill Sans"/>
                <w:color w:val="000000"/>
                <w:szCs w:val="22"/>
              </w:rPr>
              <w:lastRenderedPageBreak/>
              <w:t>thesis</w:t>
            </w:r>
            <w:r w:rsidR="00861D71">
              <w:rPr>
                <w:rFonts w:ascii="Gill Sans" w:hAnsi="Gill Sans" w:cs="Gill Sans"/>
                <w:color w:val="000000"/>
                <w:szCs w:val="22"/>
              </w:rPr>
              <w:t xml:space="preserve"> </w:t>
            </w:r>
            <w:r w:rsidR="00861D71" w:rsidRPr="00861D71">
              <w:rPr>
                <w:rFonts w:ascii="Gill Sans" w:hAnsi="Gill Sans" w:cs="Gill Sans"/>
                <w:color w:val="000000"/>
                <w:szCs w:val="22"/>
              </w:rPr>
              <w:t>that, through differential framing of pedagogic</w:t>
            </w:r>
            <w:r w:rsidR="00861D71" w:rsidRPr="00861D71">
              <w:rPr>
                <w:rFonts w:ascii="Gill Sans" w:hAnsi="Gill Sans" w:cs="Gill Sans"/>
                <w:b/>
                <w:color w:val="000000"/>
                <w:szCs w:val="22"/>
              </w:rPr>
              <w:t xml:space="preserve"> </w:t>
            </w:r>
            <w:r w:rsidR="00861D71" w:rsidRPr="00861D71">
              <w:rPr>
                <w:rFonts w:ascii="Gill Sans" w:hAnsi="Gill Sans" w:cs="Gill Sans"/>
                <w:color w:val="000000"/>
                <w:szCs w:val="22"/>
              </w:rPr>
              <w:t>practices, the</w:t>
            </w:r>
            <w:r w:rsidR="00861D71">
              <w:rPr>
                <w:rFonts w:ascii="Gill Sans" w:hAnsi="Gill Sans" w:cs="Gill Sans"/>
                <w:color w:val="000000"/>
                <w:szCs w:val="22"/>
              </w:rPr>
              <w:t xml:space="preserve"> </w:t>
            </w:r>
            <w:r w:rsidR="00861D71" w:rsidRPr="00861D71">
              <w:rPr>
                <w:rFonts w:ascii="Gill Sans" w:hAnsi="Gill Sans" w:cs="Gill Sans"/>
                <w:color w:val="000000"/>
                <w:szCs w:val="22"/>
              </w:rPr>
              <w:t>curriculum has capacity to accommodate</w:t>
            </w:r>
            <w:r w:rsidR="00861D71">
              <w:rPr>
                <w:rFonts w:ascii="Gill Sans" w:hAnsi="Gill Sans" w:cs="Gill Sans"/>
                <w:color w:val="000000"/>
                <w:szCs w:val="22"/>
              </w:rPr>
              <w:t xml:space="preserve"> </w:t>
            </w:r>
            <w:r w:rsidR="00861D71" w:rsidRPr="00861D71">
              <w:rPr>
                <w:rFonts w:ascii="Gill Sans" w:hAnsi="Gill Sans" w:cs="Gill Sans"/>
                <w:color w:val="000000"/>
                <w:szCs w:val="22"/>
              </w:rPr>
              <w:t>all</w:t>
            </w:r>
            <w:r w:rsidR="00861D71">
              <w:rPr>
                <w:rFonts w:ascii="Gill Sans" w:hAnsi="Gill Sans" w:cs="Gill Sans"/>
                <w:color w:val="000000"/>
                <w:szCs w:val="22"/>
              </w:rPr>
              <w:t xml:space="preserve"> </w:t>
            </w:r>
            <w:r w:rsidR="00861D71" w:rsidRPr="00861D71">
              <w:rPr>
                <w:rFonts w:ascii="Gill Sans" w:hAnsi="Gill Sans" w:cs="Gill Sans"/>
                <w:color w:val="000000"/>
                <w:szCs w:val="22"/>
              </w:rPr>
              <w:t>groups of students</w:t>
            </w:r>
            <w:r w:rsidR="00D10FBA">
              <w:rPr>
                <w:rFonts w:ascii="Gill Sans" w:hAnsi="Gill Sans" w:cs="Gill Sans"/>
                <w:color w:val="000000"/>
                <w:szCs w:val="22"/>
              </w:rPr>
              <w:t>; “p</w:t>
            </w:r>
            <w:r w:rsidR="00D10FBA" w:rsidRPr="00D10FBA">
              <w:rPr>
                <w:rFonts w:ascii="Gill Sans" w:hAnsi="Gill Sans" w:cs="Gill Sans"/>
                <w:color w:val="000000"/>
                <w:szCs w:val="22"/>
              </w:rPr>
              <w:t>edagogy comprises</w:t>
            </w:r>
            <w:r w:rsidR="00D10FBA">
              <w:rPr>
                <w:rFonts w:ascii="Gill Sans" w:hAnsi="Gill Sans" w:cs="Gill Sans"/>
                <w:color w:val="000000"/>
                <w:szCs w:val="22"/>
              </w:rPr>
              <w:t xml:space="preserve"> </w:t>
            </w:r>
            <w:r w:rsidR="00D10FBA" w:rsidRPr="00D10FBA">
              <w:rPr>
                <w:rFonts w:ascii="Gill Sans" w:hAnsi="Gill Sans" w:cs="Gill Sans"/>
                <w:color w:val="000000"/>
                <w:szCs w:val="22"/>
              </w:rPr>
              <w:t>two discourses: a discourse of moral and social order referred to as the</w:t>
            </w:r>
            <w:r w:rsidR="00D10FBA">
              <w:rPr>
                <w:rFonts w:ascii="Gill Sans" w:hAnsi="Gill Sans" w:cs="Gill Sans"/>
                <w:color w:val="000000"/>
                <w:szCs w:val="22"/>
              </w:rPr>
              <w:t xml:space="preserve"> </w:t>
            </w:r>
            <w:r w:rsidR="00D10FBA" w:rsidRPr="00D10FBA">
              <w:rPr>
                <w:rFonts w:ascii="Gill Sans" w:hAnsi="Gill Sans" w:cs="Gill Sans"/>
                <w:color w:val="000000"/>
                <w:szCs w:val="22"/>
              </w:rPr>
              <w:t>regulative discourse</w:t>
            </w:r>
            <w:r w:rsidR="00D10FBA">
              <w:rPr>
                <w:rFonts w:ascii="Gill Sans" w:hAnsi="Gill Sans" w:cs="Gill Sans"/>
                <w:color w:val="000000"/>
                <w:szCs w:val="22"/>
              </w:rPr>
              <w:t xml:space="preserve"> </w:t>
            </w:r>
            <w:r w:rsidR="00D10FBA" w:rsidRPr="00D10FBA">
              <w:rPr>
                <w:rFonts w:ascii="Gill Sans" w:hAnsi="Gill Sans" w:cs="Gill Sans"/>
                <w:color w:val="000000"/>
                <w:szCs w:val="22"/>
              </w:rPr>
              <w:t>and a discourse of skills and knowledge referred to as the</w:t>
            </w:r>
            <w:r w:rsidR="00D10FBA">
              <w:rPr>
                <w:rFonts w:ascii="Gill Sans" w:hAnsi="Gill Sans" w:cs="Gill Sans"/>
                <w:color w:val="000000"/>
                <w:szCs w:val="22"/>
              </w:rPr>
              <w:t xml:space="preserve"> </w:t>
            </w:r>
            <w:r w:rsidR="00D10FBA" w:rsidRPr="00D10FBA">
              <w:rPr>
                <w:rFonts w:ascii="Gill Sans" w:hAnsi="Gill Sans" w:cs="Gill Sans"/>
                <w:color w:val="000000"/>
                <w:szCs w:val="22"/>
              </w:rPr>
              <w:t>i</w:t>
            </w:r>
            <w:r w:rsidR="00D10FBA">
              <w:rPr>
                <w:rFonts w:ascii="Gill Sans" w:hAnsi="Gill Sans" w:cs="Gill Sans"/>
                <w:color w:val="000000"/>
                <w:szCs w:val="22"/>
              </w:rPr>
              <w:t>nstructional discourse. The reg</w:t>
            </w:r>
            <w:r w:rsidR="00D10FBA" w:rsidRPr="00D10FBA">
              <w:rPr>
                <w:rFonts w:ascii="Gill Sans" w:hAnsi="Gill Sans" w:cs="Gill Sans"/>
                <w:color w:val="000000"/>
                <w:szCs w:val="22"/>
              </w:rPr>
              <w:t xml:space="preserve">ulative discourse is always </w:t>
            </w:r>
            <w:proofErr w:type="gramStart"/>
            <w:r w:rsidR="00D10FBA" w:rsidRPr="00D10FBA">
              <w:rPr>
                <w:rFonts w:ascii="Gill Sans" w:hAnsi="Gill Sans" w:cs="Gill Sans"/>
                <w:color w:val="000000"/>
                <w:szCs w:val="22"/>
              </w:rPr>
              <w:t>dominant</w:t>
            </w:r>
            <w:proofErr w:type="gramEnd"/>
            <w:r w:rsidR="00D10FBA" w:rsidRPr="00D10FBA">
              <w:rPr>
                <w:rFonts w:ascii="Gill Sans" w:hAnsi="Gill Sans" w:cs="Gill Sans"/>
                <w:color w:val="000000"/>
                <w:szCs w:val="22"/>
              </w:rPr>
              <w:t xml:space="preserve"> and the instructional discourse is embedded within</w:t>
            </w:r>
            <w:r w:rsidR="00D10FBA">
              <w:rPr>
                <w:rFonts w:ascii="Gill Sans" w:hAnsi="Gill Sans" w:cs="Gill Sans"/>
                <w:color w:val="000000"/>
                <w:szCs w:val="22"/>
              </w:rPr>
              <w:t xml:space="preserve"> the regulative discourse”</w:t>
            </w:r>
            <w:r w:rsidR="00DF4D1D">
              <w:rPr>
                <w:rFonts w:ascii="Gill Sans" w:hAnsi="Gill Sans" w:cs="Gill Sans"/>
                <w:color w:val="000000"/>
                <w:szCs w:val="22"/>
              </w:rPr>
              <w:t xml:space="preserve"> (909</w:t>
            </w:r>
            <w:r w:rsidR="00D10FBA">
              <w:rPr>
                <w:rFonts w:ascii="Gill Sans" w:hAnsi="Gill Sans" w:cs="Gill Sans"/>
                <w:color w:val="000000"/>
                <w:szCs w:val="22"/>
              </w:rPr>
              <w:t>).</w:t>
            </w:r>
            <w:r w:rsidR="000576AF">
              <w:rPr>
                <w:rFonts w:ascii="Gill Sans" w:hAnsi="Gill Sans" w:cs="Gill Sans"/>
                <w:color w:val="000000"/>
                <w:szCs w:val="22"/>
              </w:rPr>
              <w:t xml:space="preserve"> </w:t>
            </w:r>
            <w:proofErr w:type="gramStart"/>
            <w:r w:rsidR="000576AF">
              <w:rPr>
                <w:rFonts w:ascii="Gill Sans" w:hAnsi="Gill Sans" w:cs="Gill Sans"/>
                <w:color w:val="000000"/>
                <w:szCs w:val="22"/>
              </w:rPr>
              <w:t>Also</w:t>
            </w:r>
            <w:proofErr w:type="gramEnd"/>
            <w:r w:rsidR="000576AF">
              <w:rPr>
                <w:rFonts w:ascii="Gill Sans" w:hAnsi="Gill Sans" w:cs="Gill Sans"/>
                <w:color w:val="000000"/>
                <w:szCs w:val="22"/>
              </w:rPr>
              <w:t xml:space="preserve"> that </w:t>
            </w:r>
            <w:r w:rsidR="000576AF" w:rsidRPr="000576AF">
              <w:rPr>
                <w:rFonts w:ascii="Gill Sans" w:hAnsi="Gill Sans" w:cs="Gill Sans"/>
                <w:color w:val="000000"/>
                <w:szCs w:val="22"/>
              </w:rPr>
              <w:t>stronger framing of</w:t>
            </w:r>
            <w:r w:rsidR="000576AF">
              <w:rPr>
                <w:rFonts w:ascii="Gill Sans" w:hAnsi="Gill Sans" w:cs="Gill Sans"/>
                <w:color w:val="000000"/>
                <w:szCs w:val="22"/>
              </w:rPr>
              <w:t xml:space="preserve"> </w:t>
            </w:r>
            <w:r w:rsidR="000576AF" w:rsidRPr="000576AF">
              <w:rPr>
                <w:rFonts w:ascii="Gill Sans" w:hAnsi="Gill Sans" w:cs="Gill Sans"/>
                <w:color w:val="000000"/>
                <w:szCs w:val="22"/>
              </w:rPr>
              <w:t>evaluation criteria</w:t>
            </w:r>
            <w:r w:rsidR="000576AF">
              <w:rPr>
                <w:rFonts w:ascii="Gill Sans" w:hAnsi="Gill Sans" w:cs="Gill Sans"/>
                <w:color w:val="000000"/>
                <w:szCs w:val="22"/>
              </w:rPr>
              <w:t xml:space="preserve"> </w:t>
            </w:r>
            <w:r w:rsidR="000576AF" w:rsidRPr="000576AF">
              <w:rPr>
                <w:rFonts w:ascii="Gill Sans" w:hAnsi="Gill Sans" w:cs="Gill Sans"/>
                <w:color w:val="000000"/>
                <w:szCs w:val="22"/>
              </w:rPr>
              <w:t>can promote access</w:t>
            </w:r>
            <w:r w:rsidR="000576AF">
              <w:rPr>
                <w:rFonts w:ascii="Gill Sans" w:hAnsi="Gill Sans" w:cs="Gill Sans"/>
                <w:color w:val="000000"/>
                <w:szCs w:val="22"/>
              </w:rPr>
              <w:t xml:space="preserve"> </w:t>
            </w:r>
            <w:r w:rsidR="000576AF" w:rsidRPr="000576AF">
              <w:rPr>
                <w:rFonts w:ascii="Gill Sans" w:hAnsi="Gill Sans" w:cs="Gill Sans"/>
                <w:color w:val="000000"/>
                <w:szCs w:val="22"/>
              </w:rPr>
              <w:t>(Bernstein</w:t>
            </w:r>
            <w:r w:rsidR="000576AF">
              <w:rPr>
                <w:rFonts w:ascii="Gill Sans" w:hAnsi="Gill Sans" w:cs="Gill Sans"/>
                <w:color w:val="000000"/>
                <w:szCs w:val="22"/>
              </w:rPr>
              <w:t xml:space="preserve"> </w:t>
            </w:r>
            <w:r w:rsidR="000576AF" w:rsidRPr="000576AF">
              <w:rPr>
                <w:rFonts w:ascii="Gill Sans" w:hAnsi="Gill Sans" w:cs="Gill Sans"/>
                <w:color w:val="000000"/>
                <w:szCs w:val="22"/>
              </w:rPr>
              <w:t xml:space="preserve">2000; </w:t>
            </w:r>
            <w:proofErr w:type="spellStart"/>
            <w:r w:rsidR="000576AF" w:rsidRPr="000576AF">
              <w:rPr>
                <w:rFonts w:ascii="Gill Sans" w:hAnsi="Gill Sans" w:cs="Gill Sans"/>
                <w:color w:val="000000"/>
                <w:szCs w:val="22"/>
              </w:rPr>
              <w:t>Morais</w:t>
            </w:r>
            <w:proofErr w:type="spellEnd"/>
            <w:r w:rsidR="000576AF" w:rsidRPr="000576AF">
              <w:rPr>
                <w:rFonts w:ascii="Gill Sans" w:hAnsi="Gill Sans" w:cs="Gill Sans"/>
                <w:color w:val="000000"/>
                <w:szCs w:val="22"/>
              </w:rPr>
              <w:t>, Neves, and</w:t>
            </w:r>
            <w:r w:rsidR="00306B8F">
              <w:rPr>
                <w:rFonts w:ascii="Gill Sans" w:hAnsi="Gill Sans" w:cs="Gill Sans"/>
                <w:color w:val="000000"/>
                <w:szCs w:val="22"/>
              </w:rPr>
              <w:t xml:space="preserve"> </w:t>
            </w:r>
            <w:r w:rsidR="000576AF" w:rsidRPr="000576AF">
              <w:rPr>
                <w:rFonts w:ascii="Gill Sans" w:hAnsi="Gill Sans" w:cs="Gill Sans"/>
                <w:color w:val="000000"/>
                <w:szCs w:val="22"/>
              </w:rPr>
              <w:t>Pires</w:t>
            </w:r>
            <w:r w:rsidR="000576AF">
              <w:rPr>
                <w:rFonts w:ascii="Gill Sans" w:hAnsi="Gill Sans" w:cs="Gill Sans"/>
                <w:color w:val="000000"/>
                <w:szCs w:val="22"/>
              </w:rPr>
              <w:t xml:space="preserve"> </w:t>
            </w:r>
            <w:r w:rsidR="000576AF" w:rsidRPr="000576AF">
              <w:rPr>
                <w:rFonts w:ascii="Gill Sans" w:hAnsi="Gill Sans" w:cs="Gill Sans"/>
                <w:color w:val="000000"/>
                <w:szCs w:val="22"/>
              </w:rPr>
              <w:t xml:space="preserve">2004; Neves, </w:t>
            </w:r>
            <w:proofErr w:type="spellStart"/>
            <w:r w:rsidR="000576AF" w:rsidRPr="000576AF">
              <w:rPr>
                <w:rFonts w:ascii="Gill Sans" w:hAnsi="Gill Sans" w:cs="Gill Sans"/>
                <w:color w:val="000000"/>
                <w:szCs w:val="22"/>
              </w:rPr>
              <w:t>Morais</w:t>
            </w:r>
            <w:proofErr w:type="spellEnd"/>
            <w:r w:rsidR="000576AF" w:rsidRPr="000576AF">
              <w:rPr>
                <w:rFonts w:ascii="Gill Sans" w:hAnsi="Gill Sans" w:cs="Gill Sans"/>
                <w:color w:val="000000"/>
                <w:szCs w:val="22"/>
              </w:rPr>
              <w:t>, and Afonso</w:t>
            </w:r>
            <w:r w:rsidR="000576AF">
              <w:rPr>
                <w:rFonts w:ascii="Gill Sans" w:hAnsi="Gill Sans" w:cs="Gill Sans"/>
                <w:color w:val="000000"/>
                <w:szCs w:val="22"/>
              </w:rPr>
              <w:t xml:space="preserve"> </w:t>
            </w:r>
            <w:r w:rsidR="000576AF" w:rsidRPr="000576AF">
              <w:rPr>
                <w:rFonts w:ascii="Gill Sans" w:hAnsi="Gill Sans" w:cs="Gill Sans"/>
                <w:color w:val="000000"/>
                <w:szCs w:val="22"/>
              </w:rPr>
              <w:t>2004; Rose</w:t>
            </w:r>
            <w:r w:rsidR="000576AF">
              <w:rPr>
                <w:rFonts w:ascii="Gill Sans" w:hAnsi="Gill Sans" w:cs="Gill Sans"/>
                <w:color w:val="000000"/>
                <w:szCs w:val="22"/>
              </w:rPr>
              <w:t xml:space="preserve"> </w:t>
            </w:r>
            <w:r w:rsidR="000576AF" w:rsidRPr="000576AF">
              <w:rPr>
                <w:rFonts w:ascii="Gill Sans" w:hAnsi="Gill Sans" w:cs="Gill Sans"/>
                <w:color w:val="000000"/>
                <w:szCs w:val="22"/>
              </w:rPr>
              <w:t>2004)</w:t>
            </w:r>
            <w:r w:rsidR="000576AF">
              <w:rPr>
                <w:rFonts w:ascii="Gill Sans" w:hAnsi="Gill Sans" w:cs="Gill Sans"/>
                <w:color w:val="000000"/>
                <w:szCs w:val="22"/>
              </w:rPr>
              <w:t>.</w:t>
            </w:r>
          </w:p>
          <w:p w14:paraId="35427EC1" w14:textId="308B1DE2" w:rsidR="00076E76" w:rsidRPr="00AB4D96" w:rsidRDefault="00076E76" w:rsidP="00A17928">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00AB4D96">
              <w:rPr>
                <w:rFonts w:ascii="Gill Sans" w:hAnsi="Gill Sans" w:cs="Gill Sans"/>
                <w:color w:val="000000"/>
                <w:szCs w:val="22"/>
                <w:lang w:val="en-AU"/>
              </w:rPr>
              <w:t xml:space="preserve">Data obtained </w:t>
            </w:r>
            <w:r w:rsidR="00AB4D96" w:rsidRPr="00AB4D96">
              <w:rPr>
                <w:rFonts w:ascii="Gill Sans" w:hAnsi="Gill Sans" w:cs="Gill Sans"/>
                <w:color w:val="000000"/>
                <w:szCs w:val="22"/>
              </w:rPr>
              <w:t>in 2013/2014 from analysis of course documents (course and semester outlines, resource</w:t>
            </w:r>
            <w:r w:rsidR="00AB4D96">
              <w:rPr>
                <w:rFonts w:ascii="Gill Sans" w:hAnsi="Gill Sans" w:cs="Gill Sans"/>
                <w:color w:val="000000"/>
                <w:szCs w:val="22"/>
              </w:rPr>
              <w:t xml:space="preserve"> </w:t>
            </w:r>
            <w:r w:rsidR="00AB4D96" w:rsidRPr="00AB4D96">
              <w:rPr>
                <w:rFonts w:ascii="Gill Sans" w:hAnsi="Gill Sans" w:cs="Gill Sans"/>
                <w:color w:val="000000"/>
                <w:szCs w:val="22"/>
              </w:rPr>
              <w:t>materials, handouts (lecture, practical and tutorial), assessment tasks, rubrics, written</w:t>
            </w:r>
            <w:r w:rsidR="00AB4D96">
              <w:rPr>
                <w:rFonts w:ascii="Gill Sans" w:hAnsi="Gill Sans" w:cs="Gill Sans"/>
                <w:color w:val="000000"/>
                <w:szCs w:val="22"/>
              </w:rPr>
              <w:t xml:space="preserve"> </w:t>
            </w:r>
            <w:r w:rsidR="00AB4D96" w:rsidRPr="00AB4D96">
              <w:rPr>
                <w:rFonts w:ascii="Gill Sans" w:hAnsi="Gill Sans" w:cs="Gill Sans"/>
                <w:color w:val="000000"/>
                <w:szCs w:val="22"/>
              </w:rPr>
              <w:t>feedback, student evaluations, curriculum review report), semi-structured interviews of</w:t>
            </w:r>
            <w:r w:rsidR="00AB4D96">
              <w:rPr>
                <w:rFonts w:ascii="Gill Sans" w:hAnsi="Gill Sans" w:cs="Gill Sans"/>
                <w:color w:val="000000"/>
                <w:szCs w:val="22"/>
              </w:rPr>
              <w:t xml:space="preserve"> </w:t>
            </w:r>
            <w:r w:rsidR="00AB4D96" w:rsidRPr="00AB4D96">
              <w:rPr>
                <w:rFonts w:ascii="Gill Sans" w:hAnsi="Gill Sans" w:cs="Gill Sans"/>
                <w:color w:val="000000"/>
                <w:szCs w:val="22"/>
              </w:rPr>
              <w:t xml:space="preserve">teaching staff (5 of 6) and </w:t>
            </w:r>
            <w:proofErr w:type="spellStart"/>
            <w:r w:rsidR="00AB4D96" w:rsidRPr="00AB4D96">
              <w:rPr>
                <w:rFonts w:ascii="Gill Sans" w:hAnsi="Gill Sans" w:cs="Gill Sans"/>
                <w:color w:val="000000"/>
                <w:szCs w:val="22"/>
              </w:rPr>
              <w:t>BScF</w:t>
            </w:r>
            <w:proofErr w:type="spellEnd"/>
            <w:r w:rsidR="00AB4D96" w:rsidRPr="00AB4D96">
              <w:rPr>
                <w:rFonts w:ascii="Gill Sans" w:hAnsi="Gill Sans" w:cs="Gill Sans"/>
                <w:color w:val="000000"/>
                <w:szCs w:val="22"/>
              </w:rPr>
              <w:t xml:space="preserve"> students (17 volunteers of 49)</w:t>
            </w:r>
            <w:r w:rsidR="00AB4D96">
              <w:rPr>
                <w:rFonts w:ascii="Gill Sans" w:hAnsi="Gill Sans" w:cs="Gill Sans"/>
                <w:color w:val="000000"/>
                <w:szCs w:val="22"/>
              </w:rPr>
              <w:t xml:space="preserve"> and </w:t>
            </w:r>
            <w:r w:rsidR="00AB4D96" w:rsidRPr="00AB4D96">
              <w:rPr>
                <w:rFonts w:ascii="Gill Sans" w:hAnsi="Gill Sans" w:cs="Gill Sans"/>
                <w:color w:val="000000"/>
                <w:szCs w:val="22"/>
              </w:rPr>
              <w:t>an</w:t>
            </w:r>
            <w:r w:rsidR="00AB4D96">
              <w:rPr>
                <w:rFonts w:ascii="Gill Sans" w:hAnsi="Gill Sans" w:cs="Gill Sans"/>
                <w:color w:val="000000"/>
                <w:szCs w:val="22"/>
              </w:rPr>
              <w:t xml:space="preserve"> </w:t>
            </w:r>
            <w:r w:rsidR="00AB4D96" w:rsidRPr="00AB4D96">
              <w:rPr>
                <w:rFonts w:ascii="Gill Sans" w:hAnsi="Gill Sans" w:cs="Gill Sans"/>
                <w:color w:val="000000"/>
                <w:szCs w:val="22"/>
              </w:rPr>
              <w:t>‘external language of description’,</w:t>
            </w:r>
            <w:r w:rsidR="00AB4D96">
              <w:rPr>
                <w:rFonts w:ascii="Gill Sans" w:hAnsi="Gill Sans" w:cs="Gill Sans"/>
                <w:color w:val="000000"/>
                <w:szCs w:val="22"/>
              </w:rPr>
              <w:t xml:space="preserve"> </w:t>
            </w:r>
            <w:r w:rsidR="00AB4D96" w:rsidRPr="00AB4D96">
              <w:rPr>
                <w:rFonts w:ascii="Gill Sans" w:hAnsi="Gill Sans" w:cs="Gill Sans"/>
                <w:color w:val="000000"/>
                <w:szCs w:val="22"/>
              </w:rPr>
              <w:t>as</w:t>
            </w:r>
            <w:r w:rsidR="00AB4D96">
              <w:rPr>
                <w:rFonts w:ascii="Gill Sans" w:hAnsi="Gill Sans" w:cs="Gill Sans"/>
                <w:color w:val="000000"/>
                <w:szCs w:val="22"/>
              </w:rPr>
              <w:t xml:space="preserve"> </w:t>
            </w:r>
            <w:r w:rsidR="00AB4D96" w:rsidRPr="00AB4D96">
              <w:rPr>
                <w:rFonts w:ascii="Gill Sans" w:hAnsi="Gill Sans" w:cs="Gill Sans"/>
                <w:color w:val="000000"/>
                <w:szCs w:val="22"/>
              </w:rPr>
              <w:t>advocated by Bernstein (</w:t>
            </w:r>
            <w:r w:rsidR="00AB4D96">
              <w:rPr>
                <w:rFonts w:ascii="Gill Sans" w:hAnsi="Gill Sans" w:cs="Gill Sans"/>
                <w:color w:val="000000"/>
                <w:szCs w:val="22"/>
              </w:rPr>
              <w:t>2000, 133), was developed, which forms a dialec</w:t>
            </w:r>
            <w:r w:rsidR="00AB4D96" w:rsidRPr="00AB4D96">
              <w:rPr>
                <w:rFonts w:ascii="Gill Sans" w:hAnsi="Gill Sans" w:cs="Gill Sans"/>
                <w:color w:val="000000"/>
                <w:szCs w:val="22"/>
              </w:rPr>
              <w:t>tic bridge between the theoretical concepts of framing of pedagogic modalities and the</w:t>
            </w:r>
            <w:r w:rsidR="00AB4D96">
              <w:rPr>
                <w:rFonts w:ascii="Gill Sans" w:hAnsi="Gill Sans" w:cs="Gill Sans"/>
                <w:color w:val="000000"/>
                <w:szCs w:val="22"/>
              </w:rPr>
              <w:t xml:space="preserve"> </w:t>
            </w:r>
            <w:r w:rsidR="00AB4D96" w:rsidRPr="00AB4D96">
              <w:rPr>
                <w:rFonts w:ascii="Gill Sans" w:hAnsi="Gill Sans" w:cs="Gill Sans"/>
                <w:color w:val="000000"/>
                <w:szCs w:val="22"/>
              </w:rPr>
              <w:t>empirical data</w:t>
            </w:r>
            <w:r w:rsidR="00AB4D96">
              <w:rPr>
                <w:rFonts w:ascii="Gill Sans" w:hAnsi="Gill Sans" w:cs="Gill Sans"/>
                <w:color w:val="000000"/>
                <w:szCs w:val="22"/>
              </w:rPr>
              <w:t xml:space="preserve"> (911)</w:t>
            </w:r>
            <w:r w:rsidR="00AB4D96" w:rsidRPr="00AB4D96">
              <w:rPr>
                <w:rFonts w:ascii="Gill Sans" w:hAnsi="Gill Sans" w:cs="Gill Sans"/>
                <w:color w:val="000000"/>
                <w:szCs w:val="22"/>
              </w:rPr>
              <w:t>.</w:t>
            </w:r>
          </w:p>
          <w:p w14:paraId="3875FB6F" w14:textId="3CC00CE8" w:rsidR="00076E76" w:rsidRPr="004A5A64" w:rsidRDefault="00076E76" w:rsidP="007D498E">
            <w:pPr>
              <w:rPr>
                <w:rFonts w:ascii="Gill Sans" w:hAnsi="Gill Sans" w:cs="Gill Sans"/>
                <w:color w:val="000000"/>
                <w:szCs w:val="22"/>
                <w:lang w:val="en-AU"/>
              </w:rPr>
            </w:pPr>
            <w:r w:rsidRPr="00076E76">
              <w:rPr>
                <w:rFonts w:ascii="Gill Sans" w:hAnsi="Gill Sans" w:cs="Gill Sans"/>
                <w:b/>
                <w:color w:val="000000"/>
                <w:szCs w:val="22"/>
                <w:lang w:val="en-AU"/>
              </w:rPr>
              <w:t xml:space="preserve">Findings: </w:t>
            </w:r>
            <w:r w:rsidR="00FC178C">
              <w:rPr>
                <w:rFonts w:ascii="Gill Sans" w:hAnsi="Gill Sans" w:cs="Gill Sans"/>
                <w:color w:val="000000"/>
                <w:szCs w:val="22"/>
              </w:rPr>
              <w:t>B</w:t>
            </w:r>
            <w:r w:rsidR="00CB015D" w:rsidRPr="00CB015D">
              <w:rPr>
                <w:rFonts w:ascii="Gill Sans" w:hAnsi="Gill Sans" w:cs="Gill Sans"/>
                <w:color w:val="000000"/>
                <w:szCs w:val="22"/>
              </w:rPr>
              <w:t>eing both an appropriate science knower</w:t>
            </w:r>
            <w:r w:rsidR="00FC178C">
              <w:rPr>
                <w:rFonts w:ascii="Gill Sans" w:hAnsi="Gill Sans" w:cs="Gill Sans"/>
                <w:color w:val="000000"/>
                <w:szCs w:val="22"/>
              </w:rPr>
              <w:t xml:space="preserve"> </w:t>
            </w:r>
            <w:r w:rsidR="00CB015D" w:rsidRPr="00CB015D">
              <w:rPr>
                <w:rFonts w:ascii="Gill Sans" w:hAnsi="Gill Sans" w:cs="Gill Sans"/>
                <w:color w:val="000000"/>
                <w:szCs w:val="22"/>
              </w:rPr>
              <w:t>and</w:t>
            </w:r>
            <w:r w:rsidR="00FC178C">
              <w:rPr>
                <w:rFonts w:ascii="Gill Sans" w:hAnsi="Gill Sans" w:cs="Gill Sans"/>
                <w:color w:val="000000"/>
                <w:szCs w:val="22"/>
              </w:rPr>
              <w:t xml:space="preserve"> </w:t>
            </w:r>
            <w:r w:rsidR="00CB015D" w:rsidRPr="00CB015D">
              <w:rPr>
                <w:rFonts w:ascii="Gill Sans" w:hAnsi="Gill Sans" w:cs="Gill Sans"/>
                <w:color w:val="000000"/>
                <w:szCs w:val="22"/>
              </w:rPr>
              <w:t>learner is in fact</w:t>
            </w:r>
            <w:r w:rsidR="00FC178C">
              <w:rPr>
                <w:rFonts w:ascii="Gill Sans" w:hAnsi="Gill Sans" w:cs="Gill Sans"/>
                <w:color w:val="000000"/>
                <w:szCs w:val="22"/>
              </w:rPr>
              <w:t xml:space="preserve"> </w:t>
            </w:r>
            <w:r w:rsidR="00CB015D" w:rsidRPr="00CB015D">
              <w:rPr>
                <w:rFonts w:ascii="Gill Sans" w:hAnsi="Gill Sans" w:cs="Gill Sans"/>
                <w:color w:val="000000"/>
                <w:szCs w:val="22"/>
              </w:rPr>
              <w:t>key for accessing the powerful science knowledge for whic</w:t>
            </w:r>
            <w:r w:rsidR="00FC178C">
              <w:rPr>
                <w:rFonts w:ascii="Gill Sans" w:hAnsi="Gill Sans" w:cs="Gill Sans"/>
                <w:color w:val="000000"/>
                <w:szCs w:val="22"/>
              </w:rPr>
              <w:t>h middle-class students are gen</w:t>
            </w:r>
            <w:r w:rsidR="00CB015D" w:rsidRPr="00CB015D">
              <w:rPr>
                <w:rFonts w:ascii="Gill Sans" w:hAnsi="Gill Sans" w:cs="Gill Sans"/>
                <w:color w:val="000000"/>
                <w:szCs w:val="22"/>
              </w:rPr>
              <w:t xml:space="preserve">erally better </w:t>
            </w:r>
            <w:proofErr w:type="spellStart"/>
            <w:r w:rsidR="00CB015D" w:rsidRPr="00CB015D">
              <w:rPr>
                <w:rFonts w:ascii="Gill Sans" w:hAnsi="Gill Sans" w:cs="Gill Sans"/>
                <w:color w:val="000000"/>
                <w:szCs w:val="22"/>
              </w:rPr>
              <w:t>socialised</w:t>
            </w:r>
            <w:proofErr w:type="spellEnd"/>
            <w:r w:rsidR="00CB015D" w:rsidRPr="00CB015D">
              <w:rPr>
                <w:rFonts w:ascii="Gill Sans" w:hAnsi="Gill Sans" w:cs="Gill Sans"/>
                <w:color w:val="000000"/>
                <w:szCs w:val="22"/>
              </w:rPr>
              <w:t xml:space="preserve"> than working-class students</w:t>
            </w:r>
            <w:r w:rsidR="00FC178C">
              <w:rPr>
                <w:rFonts w:ascii="Gill Sans" w:hAnsi="Gill Sans" w:cs="Gill Sans"/>
                <w:color w:val="000000"/>
                <w:szCs w:val="22"/>
              </w:rPr>
              <w:t>.</w:t>
            </w:r>
            <w:r w:rsidR="00452E89">
              <w:rPr>
                <w:rFonts w:ascii="Gill Sans" w:hAnsi="Gill Sans" w:cs="Gill Sans"/>
                <w:color w:val="000000"/>
                <w:szCs w:val="22"/>
              </w:rPr>
              <w:t xml:space="preserve"> “S</w:t>
            </w:r>
            <w:r w:rsidR="00452E89" w:rsidRPr="00452E89">
              <w:rPr>
                <w:rFonts w:ascii="Gill Sans" w:hAnsi="Gill Sans" w:cs="Gill Sans"/>
                <w:color w:val="000000"/>
                <w:szCs w:val="22"/>
              </w:rPr>
              <w:t>tudents who</w:t>
            </w:r>
            <w:r w:rsidR="00452E89">
              <w:rPr>
                <w:rFonts w:ascii="Gill Sans" w:hAnsi="Gill Sans" w:cs="Gill Sans"/>
                <w:color w:val="000000"/>
                <w:szCs w:val="22"/>
              </w:rPr>
              <w:t xml:space="preserve"> </w:t>
            </w:r>
            <w:r w:rsidR="00452E89" w:rsidRPr="00452E89">
              <w:rPr>
                <w:rFonts w:ascii="Gill Sans" w:hAnsi="Gill Sans" w:cs="Gill Sans"/>
                <w:color w:val="000000"/>
                <w:szCs w:val="22"/>
              </w:rPr>
              <w:t>are permitted to proceed into mainstream have demonstrated some level of access in</w:t>
            </w:r>
            <w:r w:rsidR="00452E89">
              <w:rPr>
                <w:rFonts w:ascii="Gill Sans" w:hAnsi="Gill Sans" w:cs="Gill Sans"/>
                <w:color w:val="000000"/>
                <w:szCs w:val="22"/>
              </w:rPr>
              <w:t xml:space="preserve"> </w:t>
            </w:r>
            <w:r w:rsidR="00452E89" w:rsidRPr="00452E89">
              <w:rPr>
                <w:rFonts w:ascii="Gill Sans" w:hAnsi="Gill Sans" w:cs="Gill Sans"/>
                <w:color w:val="000000"/>
                <w:szCs w:val="22"/>
              </w:rPr>
              <w:t>the academic context.</w:t>
            </w:r>
            <w:r w:rsidR="00452E89">
              <w:rPr>
                <w:rFonts w:ascii="Gill Sans" w:hAnsi="Gill Sans" w:cs="Gill Sans"/>
                <w:color w:val="000000"/>
                <w:szCs w:val="22"/>
              </w:rPr>
              <w:t xml:space="preserve"> </w:t>
            </w:r>
            <w:r w:rsidR="00452E89" w:rsidRPr="00452E89">
              <w:rPr>
                <w:rFonts w:ascii="Gill Sans" w:hAnsi="Gill Sans" w:cs="Gill Sans"/>
                <w:color w:val="000000"/>
                <w:szCs w:val="22"/>
              </w:rPr>
              <w:t>Nonetheless, the transition to mainstream still proves difficult for many</w:t>
            </w:r>
            <w:r w:rsidR="00452E89">
              <w:rPr>
                <w:rFonts w:ascii="Gill Sans" w:hAnsi="Gill Sans" w:cs="Gill Sans"/>
                <w:color w:val="000000"/>
                <w:szCs w:val="22"/>
              </w:rPr>
              <w:t>” (920)</w:t>
            </w:r>
            <w:r w:rsidR="00452E89" w:rsidRPr="00452E89">
              <w:rPr>
                <w:rFonts w:ascii="Gill Sans" w:hAnsi="Gill Sans" w:cs="Gill Sans"/>
                <w:color w:val="000000"/>
                <w:szCs w:val="22"/>
              </w:rPr>
              <w:t>.</w:t>
            </w:r>
            <w:r w:rsidRPr="00076E76">
              <w:rPr>
                <w:rFonts w:ascii="Gill Sans" w:hAnsi="Gill Sans" w:cs="Gill Sans"/>
                <w:b/>
                <w:color w:val="000000"/>
                <w:szCs w:val="22"/>
                <w:lang w:val="en-AU"/>
              </w:rPr>
              <w:br/>
              <w:t>Core argument:</w:t>
            </w:r>
            <w:r w:rsidR="004A5A64">
              <w:rPr>
                <w:rFonts w:ascii="Gill Sans" w:hAnsi="Gill Sans" w:cs="Gill Sans"/>
                <w:b/>
                <w:color w:val="000000"/>
                <w:szCs w:val="22"/>
                <w:lang w:val="en-AU"/>
              </w:rPr>
              <w:t xml:space="preserve"> </w:t>
            </w:r>
            <w:r w:rsidR="004A5A64">
              <w:rPr>
                <w:rFonts w:ascii="Gill Sans" w:hAnsi="Gill Sans" w:cs="Gill Sans"/>
                <w:color w:val="000000"/>
                <w:szCs w:val="22"/>
                <w:lang w:val="en-AU"/>
              </w:rPr>
              <w:t>“</w:t>
            </w:r>
            <w:r w:rsidR="004A5A64" w:rsidRPr="004A5A64">
              <w:rPr>
                <w:rFonts w:ascii="Gill Sans" w:hAnsi="Gill Sans" w:cs="Gill Sans"/>
                <w:color w:val="000000"/>
                <w:szCs w:val="22"/>
              </w:rPr>
              <w:t>social justice perspective that</w:t>
            </w:r>
            <w:r w:rsidR="004A5A64">
              <w:rPr>
                <w:rFonts w:ascii="Gill Sans" w:hAnsi="Gill Sans" w:cs="Gill Sans"/>
                <w:color w:val="000000"/>
                <w:szCs w:val="22"/>
              </w:rPr>
              <w:t xml:space="preserve"> </w:t>
            </w:r>
            <w:r w:rsidR="004A5A64" w:rsidRPr="004A5A64">
              <w:rPr>
                <w:rFonts w:ascii="Gill Sans" w:hAnsi="Gill Sans" w:cs="Gill Sans"/>
                <w:color w:val="000000"/>
                <w:szCs w:val="22"/>
              </w:rPr>
              <w:t>holistic curriculum transformations that better enable epistemic</w:t>
            </w:r>
            <w:r w:rsidR="004A5A64">
              <w:rPr>
                <w:rFonts w:ascii="Gill Sans" w:hAnsi="Gill Sans" w:cs="Gill Sans"/>
                <w:color w:val="000000"/>
                <w:szCs w:val="22"/>
              </w:rPr>
              <w:t xml:space="preserve"> </w:t>
            </w:r>
            <w:r w:rsidR="004A5A64" w:rsidRPr="004A5A64">
              <w:rPr>
                <w:rFonts w:ascii="Gill Sans" w:hAnsi="Gill Sans" w:cs="Gill Sans"/>
                <w:color w:val="000000"/>
                <w:szCs w:val="22"/>
              </w:rPr>
              <w:t>transitions are an urgent imperative, and that consideration of</w:t>
            </w:r>
            <w:r w:rsidR="004A5A64">
              <w:rPr>
                <w:rFonts w:ascii="Gill Sans" w:hAnsi="Gill Sans" w:cs="Gill Sans"/>
                <w:color w:val="000000"/>
                <w:szCs w:val="22"/>
              </w:rPr>
              <w:t xml:space="preserve"> </w:t>
            </w:r>
            <w:r w:rsidR="004A5A64" w:rsidRPr="004A5A64">
              <w:rPr>
                <w:rFonts w:ascii="Gill Sans" w:hAnsi="Gill Sans" w:cs="Gill Sans"/>
                <w:color w:val="000000"/>
                <w:szCs w:val="22"/>
              </w:rPr>
              <w:t>differential framing of pedagogic modalities offer a close-up</w:t>
            </w:r>
            <w:r w:rsidR="004A5A64">
              <w:rPr>
                <w:rFonts w:ascii="Gill Sans" w:hAnsi="Gill Sans" w:cs="Gill Sans"/>
                <w:color w:val="000000"/>
                <w:szCs w:val="22"/>
              </w:rPr>
              <w:t xml:space="preserve"> </w:t>
            </w:r>
            <w:r w:rsidR="004A5A64" w:rsidRPr="004A5A64">
              <w:rPr>
                <w:rFonts w:ascii="Gill Sans" w:hAnsi="Gill Sans" w:cs="Gill Sans"/>
                <w:color w:val="000000"/>
                <w:szCs w:val="22"/>
              </w:rPr>
              <w:t xml:space="preserve">empirical means of </w:t>
            </w:r>
            <w:proofErr w:type="spellStart"/>
            <w:r w:rsidR="004A5A64" w:rsidRPr="004A5A64">
              <w:rPr>
                <w:rFonts w:ascii="Gill Sans" w:hAnsi="Gill Sans" w:cs="Gill Sans"/>
                <w:color w:val="000000"/>
                <w:szCs w:val="22"/>
              </w:rPr>
              <w:t>conceptualising</w:t>
            </w:r>
            <w:proofErr w:type="spellEnd"/>
            <w:r w:rsidR="004A5A64" w:rsidRPr="004A5A64">
              <w:rPr>
                <w:rFonts w:ascii="Gill Sans" w:hAnsi="Gill Sans" w:cs="Gill Sans"/>
                <w:color w:val="000000"/>
                <w:szCs w:val="22"/>
              </w:rPr>
              <w:t xml:space="preserve"> such reforms</w:t>
            </w:r>
            <w:r w:rsidR="004A5A64">
              <w:rPr>
                <w:rFonts w:ascii="Gill Sans" w:hAnsi="Gill Sans" w:cs="Gill Sans"/>
                <w:color w:val="000000"/>
                <w:szCs w:val="22"/>
              </w:rPr>
              <w:t>”</w:t>
            </w:r>
            <w:r w:rsidR="00642DAB">
              <w:rPr>
                <w:rFonts w:ascii="Gill Sans" w:hAnsi="Gill Sans" w:cs="Gill Sans"/>
                <w:color w:val="000000"/>
                <w:szCs w:val="22"/>
              </w:rPr>
              <w:t xml:space="preserve"> (901</w:t>
            </w:r>
            <w:r w:rsidR="004A5A64">
              <w:rPr>
                <w:rFonts w:ascii="Gill Sans" w:hAnsi="Gill Sans" w:cs="Gill Sans"/>
                <w:color w:val="000000"/>
                <w:szCs w:val="22"/>
              </w:rPr>
              <w:t>)</w:t>
            </w:r>
            <w:r w:rsidR="004A5A64" w:rsidRPr="004A5A64">
              <w:rPr>
                <w:rFonts w:ascii="Gill Sans" w:hAnsi="Gill Sans" w:cs="Gill Sans"/>
                <w:color w:val="000000"/>
                <w:szCs w:val="22"/>
              </w:rPr>
              <w:t>.</w:t>
            </w:r>
            <w:r w:rsidR="007D498E">
              <w:rPr>
                <w:rFonts w:ascii="Gill Sans" w:hAnsi="Gill Sans" w:cs="Gill Sans"/>
                <w:color w:val="000000"/>
                <w:szCs w:val="22"/>
              </w:rPr>
              <w:t xml:space="preserve"> D</w:t>
            </w:r>
            <w:r w:rsidR="004A42A4" w:rsidRPr="004A42A4">
              <w:rPr>
                <w:rFonts w:ascii="Gill Sans" w:hAnsi="Gill Sans" w:cs="Gill Sans"/>
                <w:color w:val="000000"/>
                <w:szCs w:val="22"/>
              </w:rPr>
              <w:t>ifferent modalities of pedagogic practices have the</w:t>
            </w:r>
            <w:r w:rsidR="007D498E">
              <w:rPr>
                <w:rFonts w:ascii="Gill Sans" w:hAnsi="Gill Sans" w:cs="Gill Sans"/>
                <w:color w:val="000000"/>
                <w:szCs w:val="22"/>
              </w:rPr>
              <w:t xml:space="preserve"> </w:t>
            </w:r>
            <w:r w:rsidR="004A42A4" w:rsidRPr="004A42A4">
              <w:rPr>
                <w:rFonts w:ascii="Gill Sans" w:hAnsi="Gill Sans" w:cs="Gill Sans"/>
                <w:color w:val="000000"/>
                <w:szCs w:val="22"/>
              </w:rPr>
              <w:t>potential to enable or constrain student access across transitions.</w:t>
            </w:r>
          </w:p>
        </w:tc>
      </w:tr>
      <w:tr w:rsidR="00076E76" w:rsidRPr="00076E76" w14:paraId="01889CA2" w14:textId="77777777" w:rsidTr="002E557C">
        <w:tc>
          <w:tcPr>
            <w:tcW w:w="5529" w:type="dxa"/>
          </w:tcPr>
          <w:p w14:paraId="5179B598" w14:textId="5DE771BC" w:rsidR="00076E76" w:rsidRPr="00076E76" w:rsidRDefault="0024389E" w:rsidP="006D3AF4">
            <w:pPr>
              <w:rPr>
                <w:rFonts w:ascii="Gill Sans" w:hAnsi="Gill Sans" w:cs="Gill Sans"/>
                <w:szCs w:val="22"/>
              </w:rPr>
            </w:pPr>
            <w:r>
              <w:rPr>
                <w:rFonts w:ascii="Gill Sans" w:hAnsi="Gill Sans" w:cs="Gill Sans"/>
                <w:szCs w:val="22"/>
              </w:rPr>
              <w:lastRenderedPageBreak/>
              <w:t>Evans, C. (2017</w:t>
            </w:r>
            <w:r w:rsidR="00076E76" w:rsidRPr="00076E76">
              <w:rPr>
                <w:rFonts w:ascii="Gill Sans" w:hAnsi="Gill Sans" w:cs="Gill Sans"/>
                <w:szCs w:val="22"/>
              </w:rPr>
              <w:t xml:space="preserve">). </w:t>
            </w:r>
            <w:hyperlink r:id="rId50" w:history="1">
              <w:r w:rsidR="00076E76" w:rsidRPr="0024389E">
                <w:rPr>
                  <w:rStyle w:val="Hyperlink"/>
                  <w:rFonts w:ascii="Gill Sans" w:hAnsi="Gill Sans" w:cs="Gill Sans"/>
                  <w:szCs w:val="22"/>
                </w:rPr>
                <w:t>Framing young people’s educational transitions: the role of local and contemporary economic contexts</w:t>
              </w:r>
            </w:hyperlink>
            <w:r w:rsidR="00076E76" w:rsidRPr="00076E76">
              <w:rPr>
                <w:rFonts w:ascii="Gill Sans" w:hAnsi="Gill Sans" w:cs="Gill Sans"/>
                <w:szCs w:val="22"/>
              </w:rPr>
              <w:t xml:space="preserve">, </w:t>
            </w:r>
            <w:r w:rsidR="00076E76" w:rsidRPr="00076E76">
              <w:rPr>
                <w:rFonts w:ascii="Gill Sans" w:hAnsi="Gill Sans" w:cs="Gill Sans"/>
                <w:i/>
                <w:szCs w:val="22"/>
              </w:rPr>
              <w:t xml:space="preserve">British Journal of Sociology of Education, </w:t>
            </w:r>
            <w:r>
              <w:rPr>
                <w:rFonts w:ascii="Gill Sans" w:hAnsi="Gill Sans" w:cs="Gill Sans"/>
                <w:szCs w:val="22"/>
              </w:rPr>
              <w:t>38(5), 656–670.</w:t>
            </w:r>
          </w:p>
          <w:p w14:paraId="453870F8" w14:textId="77777777" w:rsidR="00076E76" w:rsidRPr="00076E76" w:rsidRDefault="00076E76" w:rsidP="006D3AF4">
            <w:pPr>
              <w:rPr>
                <w:rFonts w:ascii="Gill Sans" w:hAnsi="Gill Sans" w:cs="Gill Sans"/>
                <w:szCs w:val="22"/>
              </w:rPr>
            </w:pPr>
          </w:p>
          <w:p w14:paraId="2152B163" w14:textId="77777777" w:rsidR="00076E76" w:rsidRPr="00076E76" w:rsidRDefault="00076E76" w:rsidP="006D3AF4">
            <w:pPr>
              <w:rPr>
                <w:rFonts w:ascii="Gill Sans" w:hAnsi="Gill Sans" w:cs="Gill Sans"/>
                <w:szCs w:val="22"/>
              </w:rPr>
            </w:pPr>
            <w:r w:rsidRPr="00076E76">
              <w:rPr>
                <w:rFonts w:ascii="Gill Sans" w:hAnsi="Gill Sans" w:cs="Gill Sans"/>
                <w:szCs w:val="22"/>
              </w:rPr>
              <w:t>UK</w:t>
            </w:r>
          </w:p>
          <w:p w14:paraId="5BD8C7B9" w14:textId="77777777" w:rsidR="00076E76" w:rsidRPr="00076E76" w:rsidRDefault="00076E76" w:rsidP="000F60CF">
            <w:pPr>
              <w:rPr>
                <w:rFonts w:ascii="Gill Sans" w:hAnsi="Gill Sans" w:cs="Gill Sans"/>
                <w:szCs w:val="22"/>
              </w:rPr>
            </w:pPr>
            <w:r w:rsidRPr="00076E76">
              <w:rPr>
                <w:rFonts w:ascii="Gill Sans" w:hAnsi="Gill Sans" w:cs="Gill Sans"/>
                <w:szCs w:val="22"/>
              </w:rPr>
              <w:t>Annotation by Sally Baker</w:t>
            </w:r>
          </w:p>
          <w:p w14:paraId="01459222" w14:textId="77777777" w:rsidR="00076E76" w:rsidRPr="00076E76" w:rsidRDefault="00076E76" w:rsidP="006D3AF4">
            <w:pPr>
              <w:rPr>
                <w:rFonts w:ascii="Gill Sans" w:hAnsi="Gill Sans" w:cs="Gill Sans"/>
                <w:szCs w:val="22"/>
              </w:rPr>
            </w:pPr>
          </w:p>
          <w:p w14:paraId="6503DC58" w14:textId="5244ECE9" w:rsidR="00076E76" w:rsidRPr="00076E76" w:rsidRDefault="00076E76" w:rsidP="00903D71">
            <w:pPr>
              <w:rPr>
                <w:rFonts w:ascii="Gill Sans" w:hAnsi="Gill Sans" w:cs="Gill Sans"/>
                <w:szCs w:val="22"/>
              </w:rPr>
            </w:pPr>
            <w:r w:rsidRPr="00076E76">
              <w:rPr>
                <w:rFonts w:ascii="Gill Sans" w:hAnsi="Gill Sans" w:cs="Gill Sans"/>
                <w:szCs w:val="22"/>
              </w:rPr>
              <w:t xml:space="preserve">Keywords: </w:t>
            </w:r>
            <w:r w:rsidRPr="00076E76">
              <w:rPr>
                <w:rFonts w:ascii="Gill Sans" w:hAnsi="Gill Sans" w:cs="Gill Sans"/>
                <w:i/>
                <w:szCs w:val="22"/>
              </w:rPr>
              <w:t>Transitions; locality; education; youth</w:t>
            </w:r>
          </w:p>
          <w:p w14:paraId="7C6BEDE4" w14:textId="77777777" w:rsidR="00076E76" w:rsidRPr="00076E76" w:rsidRDefault="00076E76" w:rsidP="006D3AF4">
            <w:pPr>
              <w:rPr>
                <w:rFonts w:ascii="Gill Sans" w:hAnsi="Gill Sans" w:cs="Gill Sans"/>
                <w:szCs w:val="22"/>
              </w:rPr>
            </w:pPr>
          </w:p>
          <w:p w14:paraId="49E50968" w14:textId="77777777" w:rsidR="00076E76" w:rsidRPr="00076E76" w:rsidRDefault="00076E76" w:rsidP="002E557C">
            <w:pPr>
              <w:rPr>
                <w:rFonts w:ascii="Gill Sans" w:hAnsi="Gill Sans" w:cs="Gill Sans"/>
                <w:szCs w:val="22"/>
              </w:rPr>
            </w:pPr>
          </w:p>
        </w:tc>
        <w:tc>
          <w:tcPr>
            <w:tcW w:w="10064" w:type="dxa"/>
          </w:tcPr>
          <w:p w14:paraId="5392363E" w14:textId="00413C9C" w:rsidR="00076E76" w:rsidRPr="00076E76" w:rsidRDefault="00076E76" w:rsidP="006D3AF4">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sidRPr="00076E76">
              <w:rPr>
                <w:rFonts w:ascii="Gill Sans" w:hAnsi="Gill Sans" w:cs="Gill Sans"/>
                <w:color w:val="000000"/>
                <w:szCs w:val="22"/>
                <w:lang w:val="en-AU"/>
              </w:rPr>
              <w:t>Set in context of WP in Wales, particularly social class inequalities impacting on transition from compulsory to post-compulsory education and the significance of locality. Draws from a project that examined young people’s educational decisions and transitions in Wales and impact of national economic landscapes and local employment opportunities. Author notes the reliance on theories of cultural reproduction (e.g. habitus and informational orientations/pathways/dispositions – Ball et al., 2002; Reay et al., 2001) and rationale choice/ action theory (</w:t>
            </w:r>
            <w:proofErr w:type="spellStart"/>
            <w:r w:rsidRPr="00076E76">
              <w:rPr>
                <w:rFonts w:ascii="Gill Sans" w:hAnsi="Gill Sans" w:cs="Gill Sans"/>
                <w:color w:val="000000"/>
                <w:szCs w:val="22"/>
                <w:lang w:val="en-AU"/>
              </w:rPr>
              <w:t>Boudon</w:t>
            </w:r>
            <w:proofErr w:type="spellEnd"/>
            <w:r w:rsidRPr="00076E76">
              <w:rPr>
                <w:rFonts w:ascii="Gill Sans" w:hAnsi="Gill Sans" w:cs="Gill Sans"/>
                <w:color w:val="000000"/>
                <w:szCs w:val="22"/>
                <w:lang w:val="en-AU"/>
              </w:rPr>
              <w:t>, 1974; Goldthorpe, 1996) to develop understandings of inequities in youth transitions. Notes two dominant (and contradictory) explanations for relationship between local employment opportunities and participation in education: 1) young people remain in education for human capital reasons (personal investment in own economic futures) and 2) local employment opportunities are so scarce that they have to remain in education.</w:t>
            </w:r>
          </w:p>
          <w:p w14:paraId="2B37D073" w14:textId="5BAA3C1C" w:rsidR="00076E76" w:rsidRPr="00076E76" w:rsidRDefault="00076E76" w:rsidP="00D40999">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sidRPr="00076E76">
              <w:rPr>
                <w:rFonts w:ascii="Gill Sans" w:hAnsi="Gill Sans" w:cs="Gill Sans"/>
                <w:color w:val="000000"/>
                <w:szCs w:val="22"/>
                <w:lang w:val="en-AU"/>
              </w:rPr>
              <w:t>To “</w:t>
            </w:r>
            <w:r w:rsidRPr="00076E76">
              <w:rPr>
                <w:rFonts w:ascii="Gill Sans" w:hAnsi="Gill Sans" w:cs="Gill Sans"/>
                <w:color w:val="000000"/>
                <w:szCs w:val="22"/>
              </w:rPr>
              <w:t xml:space="preserve">how young people’s decisions regarding participation in post-16 education and beyond are framed (i.e. often simultaneously facilitated and constrained) by the opportunities for employment in local contexts as </w:t>
            </w:r>
            <w:r w:rsidRPr="00076E76">
              <w:rPr>
                <w:rFonts w:ascii="Gill Sans" w:hAnsi="Gill Sans" w:cs="Gill Sans"/>
                <w:color w:val="000000"/>
                <w:szCs w:val="22"/>
              </w:rPr>
              <w:lastRenderedPageBreak/>
              <w:t>well as the constraints that characterise the broader national economic landscape in which young people reside” (p.2); to “explore, in some detail, how local opportunities as well as contemporary economic landscapes configure particular opportunities and constraints, which together dominate young people’s understandings about the relationship between education and employment and frame their educational decision-making” (p.3). To add to theoretical discussions of the nature of youth transitions and to help move beyond using locality as a proxy for social class</w:t>
            </w:r>
          </w:p>
          <w:p w14:paraId="1744A326" w14:textId="77777777" w:rsidR="00076E76" w:rsidRPr="00076E76" w:rsidRDefault="00076E76" w:rsidP="006D3AF4">
            <w:pPr>
              <w:rPr>
                <w:rFonts w:ascii="Gill Sans" w:hAnsi="Gill Sans" w:cs="Gill Sans"/>
                <w:b/>
                <w:color w:val="000000"/>
                <w:szCs w:val="22"/>
                <w:lang w:val="en-AU"/>
              </w:rPr>
            </w:pPr>
            <w:r w:rsidRPr="00076E76">
              <w:rPr>
                <w:rFonts w:ascii="Gill Sans" w:hAnsi="Gill Sans" w:cs="Gill Sans"/>
                <w:b/>
                <w:color w:val="000000"/>
                <w:szCs w:val="22"/>
                <w:lang w:val="en-AU"/>
              </w:rPr>
              <w:t>Theoretical frame:</w:t>
            </w:r>
          </w:p>
          <w:p w14:paraId="3F339457" w14:textId="14385DC8" w:rsidR="00076E76" w:rsidRPr="00076E76" w:rsidRDefault="00076E76" w:rsidP="00A812B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Qualitative study in two localities: Rhondda Valley and Newport (South Wales): “</w:t>
            </w:r>
            <w:r w:rsidRPr="00076E76">
              <w:rPr>
                <w:rFonts w:ascii="Gill Sans" w:hAnsi="Gill Sans" w:cs="Gill Sans"/>
                <w:color w:val="000000"/>
                <w:szCs w:val="22"/>
              </w:rPr>
              <w:t xml:space="preserve">whilst these two Welsh localities could be described as similarly working class, sharing industrial heritages associated with manual </w:t>
            </w:r>
            <w:proofErr w:type="spellStart"/>
            <w:r w:rsidRPr="00076E76">
              <w:rPr>
                <w:rFonts w:ascii="Gill Sans" w:hAnsi="Gill Sans" w:cs="Gill Sans"/>
                <w:color w:val="000000"/>
                <w:szCs w:val="22"/>
              </w:rPr>
              <w:t>labour</w:t>
            </w:r>
            <w:proofErr w:type="spellEnd"/>
            <w:r w:rsidRPr="00076E76">
              <w:rPr>
                <w:rFonts w:ascii="Gill Sans" w:hAnsi="Gill Sans" w:cs="Gill Sans"/>
                <w:color w:val="000000"/>
                <w:szCs w:val="22"/>
              </w:rPr>
              <w:t xml:space="preserve"> and experiencing similarly high levels of present-day unemployment, they are characterised by local nuances which as we shall see have crucial importance for the decision-making processes underpinning the transitions of these young people” (p.4). Research with 57 young local people</w:t>
            </w:r>
            <w:r w:rsidRPr="00076E76">
              <w:rPr>
                <w:rFonts w:ascii="Gill Sans" w:hAnsi="Gill Sans" w:cs="Gill Sans"/>
                <w:color w:val="000000"/>
                <w:szCs w:val="22"/>
                <w:lang w:val="en-AU"/>
              </w:rPr>
              <w:t xml:space="preserve"> aged 16-18 (31 from Rhondda Valley – 6 = middle class; 26 from Newport – minority = had parents with professional/ managerial jobs; 8 = minority ethnic/LBOTE). Majority of participants = GCE AS/A2 level exams. Substantial minority had not received 5 GCSE A-C grades. At time of research (2010-2011) = global financial crisis.</w:t>
            </w:r>
          </w:p>
          <w:p w14:paraId="431F48B3" w14:textId="77777777" w:rsidR="00076E76" w:rsidRPr="00076E76" w:rsidRDefault="00076E76" w:rsidP="00903D71">
            <w:pPr>
              <w:rPr>
                <w:rFonts w:ascii="Gill Sans" w:hAnsi="Gill Sans" w:cs="Gill Sans"/>
                <w:color w:val="000000"/>
                <w:szCs w:val="22"/>
              </w:rPr>
            </w:pPr>
            <w:r w:rsidRPr="00076E76">
              <w:rPr>
                <w:rFonts w:ascii="Gill Sans" w:hAnsi="Gill Sans" w:cs="Gill Sans"/>
                <w:b/>
                <w:color w:val="000000"/>
                <w:szCs w:val="22"/>
                <w:lang w:val="en-AU"/>
              </w:rPr>
              <w:t xml:space="preserve">Findings: </w:t>
            </w:r>
            <w:r w:rsidRPr="00076E76">
              <w:rPr>
                <w:rFonts w:ascii="Gill Sans" w:hAnsi="Gill Sans" w:cs="Gill Sans"/>
                <w:color w:val="000000"/>
                <w:szCs w:val="22"/>
                <w:lang w:val="en-AU"/>
              </w:rPr>
              <w:t>Data suggests that “</w:t>
            </w:r>
            <w:r w:rsidRPr="00076E76">
              <w:rPr>
                <w:rFonts w:ascii="Gill Sans" w:hAnsi="Gill Sans" w:cs="Gill Sans"/>
                <w:color w:val="000000"/>
                <w:szCs w:val="22"/>
              </w:rPr>
              <w:t>young people from similar social class backgrounds, but living in different localities, make very different sorts of transition from compulsory to post-compulsory education; in essence, they are either ‘pushed’ or they ‘jump’ into post-16 education” (abstract)</w:t>
            </w:r>
          </w:p>
          <w:p w14:paraId="46C83966" w14:textId="77777777" w:rsidR="00076E76" w:rsidRPr="00076E76" w:rsidRDefault="00076E76" w:rsidP="00712F6E">
            <w:pPr>
              <w:rPr>
                <w:rFonts w:ascii="Gill Sans" w:hAnsi="Gill Sans" w:cs="Gill Sans"/>
                <w:color w:val="000000"/>
                <w:szCs w:val="22"/>
              </w:rPr>
            </w:pPr>
            <w:r w:rsidRPr="00076E76">
              <w:rPr>
                <w:rFonts w:ascii="Gill Sans" w:hAnsi="Gill Sans" w:cs="Gill Sans"/>
                <w:color w:val="000000"/>
                <w:szCs w:val="22"/>
              </w:rPr>
              <w:t xml:space="preserve">Austerity = significant context and were important for both sets of students and limited job opportunities (responding to narratives of crisis and job scarcity: “Entering post-16 education and progression to HE was </w:t>
            </w:r>
            <w:proofErr w:type="spellStart"/>
            <w:r w:rsidRPr="00076E76">
              <w:rPr>
                <w:rFonts w:ascii="Gill Sans" w:hAnsi="Gill Sans" w:cs="Gill Sans"/>
                <w:color w:val="000000"/>
                <w:szCs w:val="22"/>
              </w:rPr>
              <w:t>rationalised</w:t>
            </w:r>
            <w:proofErr w:type="spellEnd"/>
            <w:r w:rsidRPr="00076E76">
              <w:rPr>
                <w:rFonts w:ascii="Gill Sans" w:hAnsi="Gill Sans" w:cs="Gill Sans"/>
                <w:color w:val="000000"/>
                <w:szCs w:val="22"/>
              </w:rPr>
              <w:t xml:space="preserve"> not so much in terms of a desire to invest in human capital, but as a means of avoiding unemployment” (p.5) – although the ‘discouraged worker’ narrative is not sufficient to capture the complexity. Discourse of widening participation indexes a linear transition from higher education to employment. Data suggests that students view HE as offering positional advantage.</w:t>
            </w:r>
          </w:p>
          <w:p w14:paraId="72A6BC09" w14:textId="6C210537" w:rsidR="00076E76" w:rsidRPr="00076E76" w:rsidRDefault="00076E76" w:rsidP="00E2473E">
            <w:pPr>
              <w:rPr>
                <w:rFonts w:ascii="Gill Sans" w:hAnsi="Gill Sans" w:cs="Gill Sans"/>
                <w:color w:val="000000"/>
                <w:szCs w:val="22"/>
              </w:rPr>
            </w:pPr>
            <w:r w:rsidRPr="00076E76">
              <w:rPr>
                <w:rFonts w:ascii="Gill Sans" w:hAnsi="Gill Sans" w:cs="Gill Sans"/>
                <w:color w:val="000000"/>
                <w:szCs w:val="22"/>
              </w:rPr>
              <w:t>From local perspective, students from the Rhondda Valley = significantly hindered by poverty, poor infrastructure and transport; Newport is more prosperous and better connected. Students from Rhondda Valley = viewed difficulties in finding employment and affording to work; their interpretations of lack of employment opportunities often reflected experiences within their own families. This was not the majority experience of students in Newport, who were much more likely to reflect on availability of local work opportunities</w:t>
            </w:r>
            <w:r w:rsidRPr="00076E76">
              <w:rPr>
                <w:rFonts w:ascii="Gill Sans" w:hAnsi="Gill Sans" w:cs="Gill Sans"/>
                <w:b/>
                <w:color w:val="000000"/>
                <w:szCs w:val="22"/>
                <w:lang w:val="en-AU"/>
              </w:rPr>
              <w:br/>
              <w:t xml:space="preserve">Core argument: </w:t>
            </w:r>
            <w:r w:rsidRPr="00076E76">
              <w:rPr>
                <w:rFonts w:ascii="Gill Sans" w:hAnsi="Gill Sans" w:cs="Gill Sans"/>
                <w:color w:val="000000"/>
                <w:szCs w:val="22"/>
                <w:lang w:val="en-AU"/>
              </w:rPr>
              <w:t xml:space="preserve">Looking more at locality and local opportunity structures and nuanced differences = </w:t>
            </w:r>
            <w:r w:rsidRPr="00076E76">
              <w:rPr>
                <w:rFonts w:ascii="Gill Sans" w:hAnsi="Gill Sans" w:cs="Gill Sans"/>
                <w:color w:val="000000"/>
                <w:szCs w:val="22"/>
                <w:lang w:val="en-AU"/>
              </w:rPr>
              <w:lastRenderedPageBreak/>
              <w:t>significant for understanding students’ transitions: “</w:t>
            </w:r>
            <w:r w:rsidRPr="00076E76">
              <w:rPr>
                <w:rFonts w:ascii="Gill Sans" w:hAnsi="Gill Sans" w:cs="Gill Sans"/>
                <w:color w:val="000000"/>
                <w:szCs w:val="22"/>
              </w:rPr>
              <w:t>spatial differences in the structure of opportunities in local contexts and young people’s interpretations of them were reflected in subtle differences in the nature of their transitions from school to sixth form” (p.8). Author makes a distinction between those who are pushed and those who jump: “Where young people are ‘pushed’, their transitions may be more tenuous, fragmented and convoluted, and they themselves possibly more vulnerable to drop out and non-completion in further education or HE than those who ‘jump’. This in turn might make their pathways towards their hoped-for destinations more fractured and fragmented” (p.11).</w:t>
            </w:r>
          </w:p>
        </w:tc>
      </w:tr>
      <w:tr w:rsidR="00076E76" w:rsidRPr="00076E76" w14:paraId="61EF6621" w14:textId="77777777" w:rsidTr="00AA20AD">
        <w:tc>
          <w:tcPr>
            <w:tcW w:w="5529" w:type="dxa"/>
            <w:shd w:val="clear" w:color="auto" w:fill="auto"/>
          </w:tcPr>
          <w:p w14:paraId="727DE590" w14:textId="1FF53095" w:rsidR="00076E76" w:rsidRPr="00076E76" w:rsidRDefault="00076E76" w:rsidP="006D3AF4">
            <w:pPr>
              <w:rPr>
                <w:rFonts w:ascii="Gill Sans" w:hAnsi="Gill Sans" w:cs="Gill Sans"/>
                <w:i/>
                <w:szCs w:val="22"/>
              </w:rPr>
            </w:pPr>
            <w:r w:rsidRPr="00076E76">
              <w:rPr>
                <w:rFonts w:ascii="Gill Sans" w:hAnsi="Gill Sans" w:cs="Gill Sans"/>
                <w:szCs w:val="22"/>
              </w:rPr>
              <w:lastRenderedPageBreak/>
              <w:t xml:space="preserve">Evans, S. (2016). </w:t>
            </w:r>
            <w:hyperlink r:id="rId51" w:history="1">
              <w:r w:rsidRPr="002F7CF7">
                <w:rPr>
                  <w:rStyle w:val="Hyperlink"/>
                  <w:rFonts w:ascii="Gill Sans" w:hAnsi="Gill Sans" w:cs="Gill Sans"/>
                  <w:szCs w:val="22"/>
                </w:rPr>
                <w:t>Making the transition to higher education in Hong Kong: a tale of two cohorts</w:t>
              </w:r>
            </w:hyperlink>
            <w:r w:rsidRPr="00076E76">
              <w:rPr>
                <w:rFonts w:ascii="Gill Sans" w:hAnsi="Gill Sans" w:cs="Gill Sans"/>
                <w:szCs w:val="22"/>
              </w:rPr>
              <w:t xml:space="preserve">, </w:t>
            </w:r>
            <w:r w:rsidRPr="00076E76">
              <w:rPr>
                <w:rFonts w:ascii="Gill Sans" w:hAnsi="Gill Sans" w:cs="Gill Sans"/>
                <w:i/>
                <w:szCs w:val="22"/>
              </w:rPr>
              <w:t xml:space="preserve">Journal of Further and Higher Education, </w:t>
            </w:r>
          </w:p>
          <w:p w14:paraId="62DCAF42" w14:textId="77777777" w:rsidR="00076E76" w:rsidRPr="00076E76" w:rsidRDefault="00076E76" w:rsidP="006D3AF4">
            <w:pPr>
              <w:rPr>
                <w:rFonts w:ascii="Gill Sans" w:hAnsi="Gill Sans" w:cs="Gill Sans"/>
                <w:i/>
                <w:szCs w:val="22"/>
              </w:rPr>
            </w:pPr>
          </w:p>
          <w:p w14:paraId="60D91AD1" w14:textId="77777777" w:rsidR="00076E76" w:rsidRDefault="00076E76" w:rsidP="006D3AF4">
            <w:pPr>
              <w:rPr>
                <w:rFonts w:ascii="Gill Sans" w:hAnsi="Gill Sans" w:cs="Gill Sans"/>
                <w:szCs w:val="22"/>
              </w:rPr>
            </w:pPr>
            <w:r w:rsidRPr="00076E76">
              <w:rPr>
                <w:rFonts w:ascii="Gill Sans" w:hAnsi="Gill Sans" w:cs="Gill Sans"/>
                <w:szCs w:val="22"/>
              </w:rPr>
              <w:t>HK</w:t>
            </w:r>
          </w:p>
          <w:p w14:paraId="5D58C988" w14:textId="77777777" w:rsidR="0025746A" w:rsidRDefault="0025746A" w:rsidP="006D3AF4">
            <w:pPr>
              <w:rPr>
                <w:rFonts w:ascii="Gill Sans" w:hAnsi="Gill Sans" w:cs="Gill Sans"/>
                <w:szCs w:val="22"/>
              </w:rPr>
            </w:pPr>
            <w:r>
              <w:rPr>
                <w:rFonts w:ascii="Gill Sans" w:hAnsi="Gill Sans" w:cs="Gill Sans"/>
                <w:szCs w:val="22"/>
              </w:rPr>
              <w:t xml:space="preserve">Annotation by </w:t>
            </w:r>
            <w:r w:rsidRPr="0025746A">
              <w:rPr>
                <w:rFonts w:ascii="Gill Sans" w:hAnsi="Gill Sans" w:cs="Gill Sans"/>
                <w:szCs w:val="22"/>
              </w:rPr>
              <w:t>Caitlyn McLoughlin</w:t>
            </w:r>
          </w:p>
          <w:p w14:paraId="32385D2B" w14:textId="77777777" w:rsidR="0025746A" w:rsidRDefault="0025746A" w:rsidP="006D3AF4">
            <w:pPr>
              <w:rPr>
                <w:rFonts w:ascii="Gill Sans" w:hAnsi="Gill Sans" w:cs="Gill Sans"/>
                <w:szCs w:val="22"/>
              </w:rPr>
            </w:pPr>
          </w:p>
          <w:p w14:paraId="2475A31A" w14:textId="2C9CB1F4" w:rsidR="0025746A" w:rsidRPr="0025746A" w:rsidRDefault="0025746A" w:rsidP="0025746A">
            <w:pPr>
              <w:rPr>
                <w:rFonts w:ascii="Gill Sans" w:hAnsi="Gill Sans" w:cs="Gill Sans"/>
                <w:szCs w:val="22"/>
              </w:rPr>
            </w:pPr>
            <w:r>
              <w:rPr>
                <w:rFonts w:ascii="Gill Sans" w:hAnsi="Gill Sans" w:cs="Gill Sans"/>
                <w:szCs w:val="22"/>
              </w:rPr>
              <w:t xml:space="preserve">Keywords: </w:t>
            </w:r>
            <w:r w:rsidRPr="0025746A">
              <w:rPr>
                <w:rFonts w:ascii="Gill Sans" w:hAnsi="Gill Sans" w:cs="Gill Sans"/>
                <w:bCs/>
                <w:i/>
                <w:szCs w:val="22"/>
              </w:rPr>
              <w:t>academic adj</w:t>
            </w:r>
            <w:r>
              <w:rPr>
                <w:rFonts w:ascii="Gill Sans" w:hAnsi="Gill Sans" w:cs="Gill Sans"/>
                <w:bCs/>
                <w:i/>
                <w:szCs w:val="22"/>
              </w:rPr>
              <w:t>ustment; first-year experience; H</w:t>
            </w:r>
            <w:r w:rsidRPr="0025746A">
              <w:rPr>
                <w:rFonts w:ascii="Gill Sans" w:hAnsi="Gill Sans" w:cs="Gill Sans"/>
                <w:bCs/>
                <w:i/>
                <w:szCs w:val="22"/>
              </w:rPr>
              <w:t>ong Kong; medium of instruction; school-to-university transition</w:t>
            </w:r>
          </w:p>
          <w:p w14:paraId="26BBD293" w14:textId="375B10A4" w:rsidR="0025746A" w:rsidRPr="00076E76" w:rsidRDefault="0025746A" w:rsidP="006D3AF4">
            <w:pPr>
              <w:rPr>
                <w:rFonts w:ascii="Gill Sans" w:hAnsi="Gill Sans" w:cs="Gill Sans"/>
                <w:szCs w:val="22"/>
              </w:rPr>
            </w:pPr>
          </w:p>
        </w:tc>
        <w:tc>
          <w:tcPr>
            <w:tcW w:w="10064" w:type="dxa"/>
          </w:tcPr>
          <w:p w14:paraId="74CEFBBA" w14:textId="5C000D52" w:rsidR="00076E76" w:rsidRPr="00542EDD" w:rsidRDefault="00076E76" w:rsidP="003A0FFC">
            <w:pPr>
              <w:rPr>
                <w:rFonts w:ascii="Gill Sans" w:hAnsi="Gill Sans" w:cs="Gill Sans"/>
                <w:color w:val="000000"/>
                <w:szCs w:val="22"/>
              </w:rPr>
            </w:pPr>
            <w:r w:rsidRPr="00076E76">
              <w:rPr>
                <w:rFonts w:ascii="Gill Sans" w:hAnsi="Gill Sans" w:cs="Gill Sans"/>
                <w:b/>
                <w:color w:val="000000"/>
                <w:szCs w:val="22"/>
                <w:lang w:val="en-AU"/>
              </w:rPr>
              <w:t xml:space="preserve">Context: </w:t>
            </w:r>
            <w:r w:rsidR="00A01585">
              <w:rPr>
                <w:rFonts w:ascii="Gill Sans" w:hAnsi="Gill Sans" w:cs="Gill Sans"/>
                <w:color w:val="000000"/>
                <w:szCs w:val="22"/>
                <w:lang w:val="en-AU"/>
              </w:rPr>
              <w:t>Academic and social challenges in transition from school to university</w:t>
            </w:r>
            <w:r w:rsidR="00542EDD">
              <w:rPr>
                <w:rFonts w:ascii="Gill Sans" w:hAnsi="Gill Sans" w:cs="Gill Sans"/>
                <w:color w:val="000000"/>
                <w:szCs w:val="22"/>
                <w:lang w:val="en-AU"/>
              </w:rPr>
              <w:t>; Anglophone research with goals</w:t>
            </w:r>
            <w:r w:rsidR="00A01585">
              <w:rPr>
                <w:rFonts w:ascii="Gill Sans" w:hAnsi="Gill Sans" w:cs="Gill Sans"/>
                <w:color w:val="000000"/>
                <w:szCs w:val="22"/>
                <w:lang w:val="en-AU"/>
              </w:rPr>
              <w:t xml:space="preserve"> </w:t>
            </w:r>
            <w:r w:rsidR="00542EDD" w:rsidRPr="00542EDD">
              <w:rPr>
                <w:rFonts w:ascii="Gill Sans" w:hAnsi="Gill Sans" w:cs="Gill Sans"/>
                <w:color w:val="000000"/>
                <w:szCs w:val="22"/>
              </w:rPr>
              <w:t>to identify and classify the various causes of student non-completion</w:t>
            </w:r>
            <w:r w:rsidR="005F3EEF">
              <w:rPr>
                <w:rFonts w:ascii="Gill Sans" w:hAnsi="Gill Sans" w:cs="Gill Sans"/>
                <w:color w:val="000000"/>
                <w:szCs w:val="22"/>
              </w:rPr>
              <w:t xml:space="preserve"> </w:t>
            </w:r>
            <w:r w:rsidR="00831887">
              <w:rPr>
                <w:rFonts w:ascii="Gill Sans" w:hAnsi="Gill Sans" w:cs="Gill Sans"/>
                <w:color w:val="000000"/>
                <w:szCs w:val="22"/>
              </w:rPr>
              <w:t>“</w:t>
            </w:r>
            <w:r w:rsidR="005F3EEF" w:rsidRPr="005F3EEF">
              <w:rPr>
                <w:rFonts w:ascii="Gill Sans" w:hAnsi="Gill Sans" w:cs="Gill Sans"/>
                <w:color w:val="000000"/>
                <w:szCs w:val="22"/>
              </w:rPr>
              <w:t>in consequence of the increasing size and diversity of university intakes and the diminishing scale of government funding in recent decades</w:t>
            </w:r>
            <w:r w:rsidR="00831887">
              <w:rPr>
                <w:rFonts w:ascii="Gill Sans" w:hAnsi="Gill Sans" w:cs="Gill Sans"/>
                <w:color w:val="000000"/>
                <w:szCs w:val="22"/>
              </w:rPr>
              <w:t xml:space="preserve"> </w:t>
            </w:r>
            <w:r w:rsidR="00831887" w:rsidRPr="00831887">
              <w:rPr>
                <w:rFonts w:ascii="Gill Sans" w:hAnsi="Gill Sans" w:cs="Gill Sans"/>
                <w:color w:val="000000"/>
                <w:szCs w:val="22"/>
              </w:rPr>
              <w:t>(Longden 2006; Leese 2010; Gale and Parker 2014)</w:t>
            </w:r>
            <w:r w:rsidR="00831887">
              <w:rPr>
                <w:rFonts w:ascii="Gill Sans" w:hAnsi="Gill Sans" w:cs="Gill Sans"/>
                <w:color w:val="000000"/>
                <w:szCs w:val="22"/>
              </w:rPr>
              <w:t>” (2).</w:t>
            </w:r>
            <w:r w:rsidR="00904DAF">
              <w:rPr>
                <w:rFonts w:ascii="Gill Sans" w:hAnsi="Gill Sans" w:cs="Gill Sans"/>
                <w:color w:val="000000"/>
                <w:szCs w:val="22"/>
              </w:rPr>
              <w:t xml:space="preserve"> </w:t>
            </w:r>
            <w:r w:rsidR="008F032B">
              <w:rPr>
                <w:rFonts w:ascii="Gill Sans" w:hAnsi="Gill Sans" w:cs="Gill Sans"/>
                <w:color w:val="000000"/>
                <w:szCs w:val="22"/>
              </w:rPr>
              <w:t>L</w:t>
            </w:r>
            <w:r w:rsidR="00904DAF">
              <w:rPr>
                <w:rFonts w:ascii="Gill Sans" w:hAnsi="Gill Sans" w:cs="Gill Sans"/>
                <w:color w:val="000000"/>
                <w:szCs w:val="22"/>
              </w:rPr>
              <w:t xml:space="preserve">ess </w:t>
            </w:r>
            <w:r w:rsidR="008F032B">
              <w:rPr>
                <w:rFonts w:ascii="Gill Sans" w:hAnsi="Gill Sans" w:cs="Gill Sans"/>
                <w:color w:val="000000"/>
                <w:szCs w:val="22"/>
              </w:rPr>
              <w:t>research</w:t>
            </w:r>
            <w:r w:rsidR="00904DAF">
              <w:rPr>
                <w:rFonts w:ascii="Gill Sans" w:hAnsi="Gill Sans" w:cs="Gill Sans"/>
                <w:color w:val="000000"/>
                <w:szCs w:val="22"/>
              </w:rPr>
              <w:t xml:space="preserve"> </w:t>
            </w:r>
            <w:r w:rsidR="008F032B">
              <w:rPr>
                <w:rFonts w:ascii="Gill Sans" w:hAnsi="Gill Sans" w:cs="Gill Sans"/>
                <w:color w:val="000000"/>
                <w:szCs w:val="22"/>
              </w:rPr>
              <w:t xml:space="preserve">address transition experiences outside of the US, the UK, and Australasia, which in addition to including the “Western” challenges of academic and social adjustments, also often include language transitions, as university instruction is usually in a language different from students’ native languages. </w:t>
            </w:r>
            <w:r w:rsidR="00CC739C">
              <w:rPr>
                <w:rFonts w:ascii="Gill Sans" w:hAnsi="Gill Sans" w:cs="Gill Sans"/>
                <w:color w:val="000000"/>
                <w:szCs w:val="22"/>
              </w:rPr>
              <w:t xml:space="preserve">While </w:t>
            </w:r>
            <w:r w:rsidR="00223DA7">
              <w:rPr>
                <w:rFonts w:ascii="Gill Sans" w:hAnsi="Gill Sans" w:cs="Gill Sans"/>
                <w:color w:val="000000"/>
                <w:szCs w:val="22"/>
              </w:rPr>
              <w:t>“</w:t>
            </w:r>
            <w:r w:rsidR="00CC739C" w:rsidRPr="00CC739C">
              <w:rPr>
                <w:rFonts w:ascii="Gill Sans" w:hAnsi="Gill Sans" w:cs="Gill Sans"/>
                <w:color w:val="000000"/>
                <w:szCs w:val="22"/>
              </w:rPr>
              <w:t>evidence suggests that Hong Kong students have traditionally risen to the challenges posed by English-medium university study (</w:t>
            </w:r>
            <w:proofErr w:type="spellStart"/>
            <w:r w:rsidR="00CC739C" w:rsidRPr="00CC739C">
              <w:rPr>
                <w:rFonts w:ascii="Gill Sans" w:hAnsi="Gill Sans" w:cs="Gill Sans"/>
                <w:color w:val="000000"/>
                <w:szCs w:val="22"/>
              </w:rPr>
              <w:t>Kember</w:t>
            </w:r>
            <w:proofErr w:type="spellEnd"/>
            <w:r w:rsidR="00CC739C" w:rsidRPr="00CC739C">
              <w:rPr>
                <w:rFonts w:ascii="Gill Sans" w:hAnsi="Gill Sans" w:cs="Gill Sans"/>
                <w:color w:val="000000"/>
                <w:szCs w:val="22"/>
              </w:rPr>
              <w:t>, Hong, and Ho 2012) in that non-completion has never been a critical concern for policy-makers (University Grants Committee 2010</w:t>
            </w:r>
            <w:r w:rsidR="00223DA7">
              <w:rPr>
                <w:rFonts w:ascii="Gill Sans" w:hAnsi="Gill Sans" w:cs="Gill Sans"/>
                <w:color w:val="000000"/>
                <w:szCs w:val="22"/>
              </w:rPr>
              <w:t>)…</w:t>
            </w:r>
            <w:r w:rsidR="00CC739C" w:rsidRPr="00CC739C">
              <w:rPr>
                <w:rFonts w:ascii="Gill Sans" w:hAnsi="Gill Sans" w:cs="Gill Sans"/>
                <w:color w:val="000000"/>
                <w:szCs w:val="22"/>
              </w:rPr>
              <w:t>students’ evident success in completing their degrees has at times been obscured by a discourse of dissatisfaction with their abilities emanating from the city’s influential business and professional communities (Evans and Green 2007) and by the findings of large- scale studies of their English-language skills, which indicate that many students experience considerable difficulties learning in a second language, particularly in their first term (Evans and Morrison 2011a)</w:t>
            </w:r>
            <w:r w:rsidR="000C69C7">
              <w:rPr>
                <w:rFonts w:ascii="Gill Sans" w:hAnsi="Gill Sans" w:cs="Gill Sans"/>
                <w:color w:val="000000"/>
                <w:szCs w:val="22"/>
              </w:rPr>
              <w:t>” (2)</w:t>
            </w:r>
            <w:r w:rsidR="00CC739C" w:rsidRPr="00CC739C">
              <w:rPr>
                <w:rFonts w:ascii="Gill Sans" w:hAnsi="Gill Sans" w:cs="Gill Sans"/>
                <w:color w:val="000000"/>
                <w:szCs w:val="22"/>
              </w:rPr>
              <w:t>.</w:t>
            </w:r>
            <w:r w:rsidR="00DA5740">
              <w:rPr>
                <w:rFonts w:ascii="Gill Sans" w:hAnsi="Gill Sans" w:cs="Gill Sans"/>
                <w:color w:val="000000"/>
                <w:szCs w:val="22"/>
              </w:rPr>
              <w:t xml:space="preserve"> Over the past 25 years, university attendance in Hong Kong has moved from elite to mass. </w:t>
            </w:r>
            <w:r w:rsidR="00F4717C">
              <w:rPr>
                <w:rFonts w:ascii="Gill Sans" w:hAnsi="Gill Sans" w:cs="Gill Sans"/>
                <w:color w:val="000000"/>
                <w:szCs w:val="22"/>
              </w:rPr>
              <w:t>In the 2012/13 school year, Hong Kong universities implemented a new system that aimed to “</w:t>
            </w:r>
            <w:r w:rsidR="00F4717C" w:rsidRPr="00F4717C">
              <w:rPr>
                <w:rFonts w:ascii="Gill Sans" w:hAnsi="Gill Sans" w:cs="Gill Sans"/>
                <w:color w:val="000000"/>
                <w:szCs w:val="22"/>
              </w:rPr>
              <w:t xml:space="preserve">reduce the pressure on students imposed by public examinations and thereby </w:t>
            </w:r>
            <w:r w:rsidR="008C1603">
              <w:rPr>
                <w:rFonts w:ascii="Gill Sans" w:hAnsi="Gill Sans" w:cs="Gill Sans"/>
                <w:color w:val="000000"/>
                <w:szCs w:val="22"/>
              </w:rPr>
              <w:t>(it was hoped) encourage teach</w:t>
            </w:r>
            <w:r w:rsidR="00F4717C" w:rsidRPr="00F4717C">
              <w:rPr>
                <w:rFonts w:ascii="Gill Sans" w:hAnsi="Gill Sans" w:cs="Gill Sans"/>
                <w:color w:val="000000"/>
                <w:szCs w:val="22"/>
              </w:rPr>
              <w:t>ers to adopt a more inquiry-oriented, learner-centred classroom approach rather than the test-oriented, knowledge-transmission style which had characterised the education system during the colonial era (Morris and Adamson 2010</w:t>
            </w:r>
            <w:r w:rsidR="00F4717C">
              <w:rPr>
                <w:rFonts w:ascii="Gill Sans" w:hAnsi="Gill Sans" w:cs="Gill Sans"/>
                <w:color w:val="000000"/>
                <w:szCs w:val="22"/>
              </w:rPr>
              <w:t>)</w:t>
            </w:r>
            <w:r w:rsidR="00C9753B">
              <w:rPr>
                <w:rFonts w:ascii="Gill Sans" w:hAnsi="Gill Sans" w:cs="Gill Sans"/>
                <w:color w:val="000000"/>
                <w:szCs w:val="22"/>
              </w:rPr>
              <w:t>…</w:t>
            </w:r>
            <w:r w:rsidR="00C9753B" w:rsidRPr="00C9753B">
              <w:rPr>
                <w:rFonts w:ascii="Times" w:hAnsi="Times" w:cs="Times"/>
                <w:sz w:val="26"/>
                <w:szCs w:val="26"/>
              </w:rPr>
              <w:t xml:space="preserve"> </w:t>
            </w:r>
            <w:r w:rsidR="00C9753B" w:rsidRPr="00C9753B">
              <w:rPr>
                <w:rFonts w:ascii="Gill Sans" w:hAnsi="Gill Sans" w:cs="Gill Sans"/>
                <w:color w:val="000000"/>
                <w:szCs w:val="22"/>
              </w:rPr>
              <w:t>The new generation of undergraduates are thus required to make the transition to university a year earlier than before and therefore with possibly more limited academic knowledge, study skills and English-language proficiency t</w:t>
            </w:r>
            <w:r w:rsidR="009C2CFE">
              <w:rPr>
                <w:rFonts w:ascii="Gill Sans" w:hAnsi="Gill Sans" w:cs="Gill Sans"/>
                <w:color w:val="000000"/>
                <w:szCs w:val="22"/>
              </w:rPr>
              <w:t>han graduates of the old system</w:t>
            </w:r>
            <w:r w:rsidR="00F4717C">
              <w:rPr>
                <w:rFonts w:ascii="Gill Sans" w:hAnsi="Gill Sans" w:cs="Gill Sans"/>
                <w:color w:val="000000"/>
                <w:szCs w:val="22"/>
              </w:rPr>
              <w:t>” (3).</w:t>
            </w:r>
            <w:r w:rsidR="001172E8">
              <w:rPr>
                <w:rFonts w:ascii="Gill Sans" w:hAnsi="Gill Sans" w:cs="Gill Sans"/>
                <w:color w:val="000000"/>
                <w:szCs w:val="22"/>
              </w:rPr>
              <w:t xml:space="preserve"> </w:t>
            </w:r>
          </w:p>
          <w:p w14:paraId="439BFEBD" w14:textId="2BA809C9" w:rsidR="00076E76" w:rsidRPr="0009052E" w:rsidRDefault="00076E76" w:rsidP="003A0FFC">
            <w:pPr>
              <w:rPr>
                <w:rFonts w:ascii="Gill Sans" w:hAnsi="Gill Sans" w:cs="Gill Sans"/>
                <w:b/>
                <w:color w:val="000000"/>
                <w:szCs w:val="22"/>
              </w:rPr>
            </w:pPr>
            <w:r w:rsidRPr="00076E76">
              <w:rPr>
                <w:rFonts w:ascii="Gill Sans" w:hAnsi="Gill Sans" w:cs="Gill Sans"/>
                <w:b/>
                <w:color w:val="000000"/>
                <w:szCs w:val="22"/>
                <w:lang w:val="en-AU"/>
              </w:rPr>
              <w:t xml:space="preserve">Aim: </w:t>
            </w:r>
            <w:r w:rsidR="0009052E">
              <w:rPr>
                <w:rFonts w:ascii="Gill Sans" w:hAnsi="Gill Sans" w:cs="Gill Sans"/>
                <w:color w:val="000000"/>
                <w:szCs w:val="22"/>
              </w:rPr>
              <w:t>T</w:t>
            </w:r>
            <w:r w:rsidR="0009052E" w:rsidRPr="0009052E">
              <w:rPr>
                <w:rFonts w:ascii="Gill Sans" w:hAnsi="Gill Sans" w:cs="Gill Sans"/>
                <w:color w:val="000000"/>
                <w:szCs w:val="22"/>
              </w:rPr>
              <w:t xml:space="preserve">o compare the perceptions and experiences of two </w:t>
            </w:r>
            <w:r w:rsidR="005F3EEF">
              <w:rPr>
                <w:rFonts w:ascii="Gill Sans" w:hAnsi="Gill Sans" w:cs="Gill Sans"/>
                <w:color w:val="000000"/>
                <w:szCs w:val="22"/>
              </w:rPr>
              <w:t xml:space="preserve">Cantonese-speaking </w:t>
            </w:r>
            <w:r w:rsidR="0009052E" w:rsidRPr="0009052E">
              <w:rPr>
                <w:rFonts w:ascii="Gill Sans" w:hAnsi="Gill Sans" w:cs="Gill Sans"/>
                <w:color w:val="000000"/>
                <w:szCs w:val="22"/>
              </w:rPr>
              <w:t>cohorts</w:t>
            </w:r>
            <w:r w:rsidR="0009052E">
              <w:rPr>
                <w:rFonts w:ascii="Gill Sans" w:hAnsi="Gill Sans" w:cs="Gill Sans"/>
                <w:color w:val="000000"/>
                <w:szCs w:val="22"/>
              </w:rPr>
              <w:t xml:space="preserve"> at a Hong Kong </w:t>
            </w:r>
            <w:r w:rsidR="005F3EEF">
              <w:rPr>
                <w:rFonts w:ascii="Gill Sans" w:hAnsi="Gill Sans" w:cs="Gill Sans"/>
                <w:color w:val="000000"/>
                <w:szCs w:val="22"/>
              </w:rPr>
              <w:t xml:space="preserve">English-medium </w:t>
            </w:r>
            <w:r w:rsidR="0009052E">
              <w:rPr>
                <w:rFonts w:ascii="Gill Sans" w:hAnsi="Gill Sans" w:cs="Gill Sans"/>
                <w:color w:val="000000"/>
                <w:szCs w:val="22"/>
              </w:rPr>
              <w:t>university (one cohort</w:t>
            </w:r>
            <w:r w:rsidR="008C1603">
              <w:rPr>
                <w:rFonts w:ascii="Gill Sans" w:hAnsi="Gill Sans" w:cs="Gill Sans"/>
                <w:color w:val="000000"/>
                <w:szCs w:val="22"/>
              </w:rPr>
              <w:t xml:space="preserve"> (3YC)</w:t>
            </w:r>
            <w:r w:rsidR="0009052E">
              <w:rPr>
                <w:rFonts w:ascii="Gill Sans" w:hAnsi="Gill Sans" w:cs="Gill Sans"/>
                <w:color w:val="000000"/>
                <w:szCs w:val="22"/>
              </w:rPr>
              <w:t xml:space="preserve"> enrolled in a system modeled on the British 3-year programme of initial disciplinary </w:t>
            </w:r>
            <w:proofErr w:type="spellStart"/>
            <w:r w:rsidR="0009052E">
              <w:rPr>
                <w:rFonts w:ascii="Gill Sans" w:hAnsi="Gill Sans" w:cs="Gill Sans"/>
                <w:color w:val="000000"/>
                <w:szCs w:val="22"/>
              </w:rPr>
              <w:t>specialisation</w:t>
            </w:r>
            <w:proofErr w:type="spellEnd"/>
            <w:r w:rsidR="0009052E">
              <w:rPr>
                <w:rFonts w:ascii="Gill Sans" w:hAnsi="Gill Sans" w:cs="Gill Sans"/>
                <w:color w:val="000000"/>
                <w:szCs w:val="22"/>
              </w:rPr>
              <w:t xml:space="preserve"> and one </w:t>
            </w:r>
            <w:r w:rsidR="008C1603">
              <w:rPr>
                <w:rFonts w:ascii="Gill Sans" w:hAnsi="Gill Sans" w:cs="Gill Sans"/>
                <w:color w:val="000000"/>
                <w:szCs w:val="22"/>
              </w:rPr>
              <w:t xml:space="preserve">(4YC) </w:t>
            </w:r>
            <w:r w:rsidR="0009052E">
              <w:rPr>
                <w:rFonts w:ascii="Gill Sans" w:hAnsi="Gill Sans" w:cs="Gill Sans"/>
                <w:color w:val="000000"/>
                <w:szCs w:val="22"/>
              </w:rPr>
              <w:t>modeled on the 4-year US system</w:t>
            </w:r>
            <w:r w:rsidR="00F81B0C">
              <w:rPr>
                <w:rFonts w:ascii="Gill Sans" w:hAnsi="Gill Sans" w:cs="Gill Sans"/>
                <w:color w:val="000000"/>
                <w:szCs w:val="22"/>
              </w:rPr>
              <w:t xml:space="preserve"> that includes an initial year</w:t>
            </w:r>
            <w:r w:rsidR="0009052E">
              <w:rPr>
                <w:rFonts w:ascii="Gill Sans" w:hAnsi="Gill Sans" w:cs="Gill Sans"/>
                <w:color w:val="000000"/>
                <w:szCs w:val="22"/>
              </w:rPr>
              <w:t xml:space="preserve"> of general education)</w:t>
            </w:r>
            <w:r w:rsidR="0009052E" w:rsidRPr="0009052E">
              <w:rPr>
                <w:rFonts w:ascii="Gill Sans" w:hAnsi="Gill Sans" w:cs="Gill Sans"/>
                <w:color w:val="000000"/>
                <w:szCs w:val="22"/>
              </w:rPr>
              <w:t xml:space="preserve"> on the challenging process of adjusting to the demands of university study</w:t>
            </w:r>
            <w:r w:rsidR="000A52C6">
              <w:rPr>
                <w:rFonts w:ascii="Gill Sans" w:hAnsi="Gill Sans" w:cs="Gill Sans"/>
                <w:color w:val="000000"/>
                <w:szCs w:val="22"/>
              </w:rPr>
              <w:t>.</w:t>
            </w:r>
          </w:p>
          <w:p w14:paraId="52886F5A" w14:textId="0619195A" w:rsidR="00076E76" w:rsidRPr="000024D7" w:rsidRDefault="00076E76" w:rsidP="003A0FFC">
            <w:pPr>
              <w:rPr>
                <w:rFonts w:ascii="Gill Sans" w:hAnsi="Gill Sans" w:cs="Gill Sans"/>
                <w:color w:val="000000"/>
                <w:szCs w:val="22"/>
              </w:rPr>
            </w:pPr>
            <w:r w:rsidRPr="00076E76">
              <w:rPr>
                <w:rFonts w:ascii="Gill Sans" w:hAnsi="Gill Sans" w:cs="Gill Sans"/>
                <w:b/>
                <w:color w:val="000000"/>
                <w:szCs w:val="22"/>
                <w:lang w:val="en-AU"/>
              </w:rPr>
              <w:lastRenderedPageBreak/>
              <w:t>Theoretical frame:</w:t>
            </w:r>
            <w:r w:rsidR="000024D7">
              <w:rPr>
                <w:rFonts w:ascii="Gill Sans" w:hAnsi="Gill Sans" w:cs="Gill Sans"/>
                <w:b/>
                <w:color w:val="000000"/>
                <w:szCs w:val="22"/>
                <w:lang w:val="en-AU"/>
              </w:rPr>
              <w:t xml:space="preserve"> </w:t>
            </w:r>
            <w:r w:rsidR="000024D7">
              <w:rPr>
                <w:rFonts w:ascii="Gill Sans" w:hAnsi="Gill Sans" w:cs="Gill Sans"/>
                <w:color w:val="000000"/>
                <w:szCs w:val="22"/>
                <w:lang w:val="en-AU"/>
              </w:rPr>
              <w:t>“</w:t>
            </w:r>
            <w:r w:rsidR="000024D7">
              <w:rPr>
                <w:rFonts w:ascii="Gill Sans" w:hAnsi="Gill Sans" w:cs="Gill Sans"/>
                <w:color w:val="000000"/>
                <w:szCs w:val="22"/>
              </w:rPr>
              <w:t>S</w:t>
            </w:r>
            <w:r w:rsidR="000024D7" w:rsidRPr="000024D7">
              <w:rPr>
                <w:rFonts w:ascii="Gill Sans" w:hAnsi="Gill Sans" w:cs="Gill Sans"/>
                <w:color w:val="000000"/>
                <w:szCs w:val="22"/>
              </w:rPr>
              <w:t xml:space="preserve">chool-to-university transition, namely, the influence of previous educational attainment and experiences on students’ performance in their freshmen year (McKenzie and Schweitzer 2001; </w:t>
            </w:r>
            <w:proofErr w:type="spellStart"/>
            <w:r w:rsidR="000024D7" w:rsidRPr="000024D7">
              <w:rPr>
                <w:rFonts w:ascii="Gill Sans" w:hAnsi="Gill Sans" w:cs="Gill Sans"/>
                <w:color w:val="000000"/>
                <w:szCs w:val="22"/>
              </w:rPr>
              <w:t>Wintre</w:t>
            </w:r>
            <w:proofErr w:type="spellEnd"/>
            <w:r w:rsidR="000024D7" w:rsidRPr="000024D7">
              <w:rPr>
                <w:rFonts w:ascii="Gill Sans" w:hAnsi="Gill Sans" w:cs="Gill Sans"/>
                <w:color w:val="000000"/>
                <w:szCs w:val="22"/>
              </w:rPr>
              <w:t xml:space="preserve"> et al. 2011)</w:t>
            </w:r>
            <w:r w:rsidR="000024D7">
              <w:rPr>
                <w:rFonts w:ascii="Gill Sans" w:hAnsi="Gill Sans" w:cs="Gill Sans"/>
                <w:color w:val="000000"/>
                <w:szCs w:val="22"/>
              </w:rPr>
              <w:t>…[which]</w:t>
            </w:r>
            <w:r w:rsidR="000024D7" w:rsidRPr="000024D7">
              <w:rPr>
                <w:rFonts w:ascii="Gill Sans" w:hAnsi="Gill Sans" w:cs="Gill Sans"/>
                <w:color w:val="000000"/>
                <w:szCs w:val="22"/>
              </w:rPr>
              <w:t xml:space="preserve"> encompasses studies of the influence of school background on university admission and progression (Birch and Miller 2007; Manley and Johnston 2014)</w:t>
            </w:r>
            <w:r w:rsidR="000024D7">
              <w:rPr>
                <w:rFonts w:ascii="Gill Sans" w:hAnsi="Gill Sans" w:cs="Gill Sans"/>
                <w:color w:val="000000"/>
                <w:szCs w:val="22"/>
              </w:rPr>
              <w:t xml:space="preserve">” (4). </w:t>
            </w:r>
          </w:p>
          <w:p w14:paraId="5724AF9A" w14:textId="0243F7F6" w:rsidR="00076E76" w:rsidRPr="003020C5" w:rsidRDefault="00076E76" w:rsidP="003A0FFC">
            <w:pPr>
              <w:rPr>
                <w:rFonts w:ascii="Gill Sans" w:hAnsi="Gill Sans" w:cs="Gill Sans"/>
                <w:color w:val="000000"/>
                <w:szCs w:val="22"/>
              </w:rPr>
            </w:pPr>
            <w:r w:rsidRPr="00076E76">
              <w:rPr>
                <w:rFonts w:ascii="Gill Sans" w:hAnsi="Gill Sans" w:cs="Gill Sans"/>
                <w:b/>
                <w:color w:val="000000"/>
                <w:szCs w:val="22"/>
                <w:lang w:val="en-AU"/>
              </w:rPr>
              <w:t xml:space="preserve">Methodology: </w:t>
            </w:r>
            <w:r w:rsidR="0021443C">
              <w:rPr>
                <w:rFonts w:ascii="Gill Sans" w:hAnsi="Gill Sans" w:cs="Gill Sans"/>
                <w:color w:val="000000"/>
                <w:szCs w:val="22"/>
                <w:lang w:val="en-AU"/>
              </w:rPr>
              <w:t>A questionnaire that the author frames as a “</w:t>
            </w:r>
            <w:r w:rsidR="003020C5" w:rsidRPr="003020C5">
              <w:rPr>
                <w:rFonts w:ascii="Gill Sans" w:hAnsi="Gill Sans" w:cs="Gill Sans"/>
                <w:color w:val="000000"/>
                <w:szCs w:val="22"/>
              </w:rPr>
              <w:t>‘curiosity-driven’ inquiry</w:t>
            </w:r>
            <w:r w:rsidR="0021443C">
              <w:rPr>
                <w:rFonts w:ascii="Gill Sans" w:hAnsi="Gill Sans" w:cs="Gill Sans"/>
                <w:color w:val="000000"/>
                <w:szCs w:val="22"/>
              </w:rPr>
              <w:t>”</w:t>
            </w:r>
            <w:r w:rsidR="000E6F25">
              <w:rPr>
                <w:rFonts w:ascii="Gill Sans" w:hAnsi="Gill Sans" w:cs="Gill Sans"/>
                <w:color w:val="000000"/>
                <w:szCs w:val="22"/>
              </w:rPr>
              <w:t xml:space="preserve"> (3); “</w:t>
            </w:r>
            <w:r w:rsidR="000E6F25" w:rsidRPr="000E6F25">
              <w:rPr>
                <w:rFonts w:ascii="Gill Sans" w:hAnsi="Gill Sans" w:cs="Gill Sans"/>
                <w:color w:val="000000"/>
                <w:szCs w:val="22"/>
              </w:rPr>
              <w:t>The survey was one strand of a mixed-methods investigation which sought to identify and understand the challenges experienced by Hong Kong students when making the transition to university and t</w:t>
            </w:r>
            <w:r w:rsidR="00DB600F">
              <w:rPr>
                <w:rFonts w:ascii="Gill Sans" w:hAnsi="Gill Sans" w:cs="Gill Sans"/>
                <w:color w:val="000000"/>
                <w:szCs w:val="22"/>
              </w:rPr>
              <w:t xml:space="preserve">o </w:t>
            </w:r>
            <w:proofErr w:type="spellStart"/>
            <w:r w:rsidR="00DB600F">
              <w:rPr>
                <w:rFonts w:ascii="Gill Sans" w:hAnsi="Gill Sans" w:cs="Gill Sans"/>
                <w:color w:val="000000"/>
                <w:szCs w:val="22"/>
              </w:rPr>
              <w:t>categorise</w:t>
            </w:r>
            <w:proofErr w:type="spellEnd"/>
            <w:r w:rsidR="00DB600F">
              <w:rPr>
                <w:rFonts w:ascii="Gill Sans" w:hAnsi="Gill Sans" w:cs="Gill Sans"/>
                <w:color w:val="000000"/>
                <w:szCs w:val="22"/>
              </w:rPr>
              <w:t xml:space="preserve"> the range of back</w:t>
            </w:r>
            <w:r w:rsidR="000E6F25" w:rsidRPr="000E6F25">
              <w:rPr>
                <w:rFonts w:ascii="Gill Sans" w:hAnsi="Gill Sans" w:cs="Gill Sans"/>
                <w:color w:val="000000"/>
                <w:szCs w:val="22"/>
              </w:rPr>
              <w:t xml:space="preserve">ground factors that may hasten or hamper their adjustment to life and study in an English-medium learning environment. The qualitative dimension of the investigation – an interview-based longitudinal study – </w:t>
            </w:r>
            <w:r w:rsidR="000E6F25">
              <w:rPr>
                <w:rFonts w:ascii="Gill Sans" w:hAnsi="Gill Sans" w:cs="Gill Sans"/>
                <w:color w:val="000000"/>
                <w:szCs w:val="22"/>
              </w:rPr>
              <w:t>is not reported in this article” (4).</w:t>
            </w:r>
          </w:p>
          <w:p w14:paraId="0E8A125E" w14:textId="46A80DA4" w:rsidR="00076E76" w:rsidRPr="0066638E" w:rsidRDefault="00076E76" w:rsidP="00DD0E13">
            <w:pPr>
              <w:rPr>
                <w:rFonts w:ascii="Gill Sans" w:hAnsi="Gill Sans" w:cs="Gill Sans"/>
                <w:color w:val="000000"/>
                <w:szCs w:val="22"/>
              </w:rPr>
            </w:pPr>
            <w:r w:rsidRPr="00076E76">
              <w:rPr>
                <w:rFonts w:ascii="Gill Sans" w:hAnsi="Gill Sans" w:cs="Gill Sans"/>
                <w:b/>
                <w:color w:val="000000"/>
                <w:szCs w:val="22"/>
                <w:lang w:val="en-AU"/>
              </w:rPr>
              <w:t xml:space="preserve">Findings: </w:t>
            </w:r>
            <w:r w:rsidR="00982B4D">
              <w:rPr>
                <w:rFonts w:ascii="Gill Sans" w:hAnsi="Gill Sans" w:cs="Gill Sans"/>
                <w:color w:val="000000"/>
                <w:szCs w:val="22"/>
                <w:lang w:val="en-AU"/>
              </w:rPr>
              <w:t>3YC</w:t>
            </w:r>
            <w:r w:rsidR="0004343D">
              <w:rPr>
                <w:rFonts w:ascii="Gill Sans" w:hAnsi="Gill Sans" w:cs="Gill Sans"/>
                <w:color w:val="000000"/>
                <w:szCs w:val="22"/>
                <w:lang w:val="en-AU"/>
              </w:rPr>
              <w:t xml:space="preserve"> students found transition less </w:t>
            </w:r>
            <w:r w:rsidR="00982B4D">
              <w:rPr>
                <w:rFonts w:ascii="Gill Sans" w:hAnsi="Gill Sans" w:cs="Gill Sans"/>
                <w:color w:val="000000"/>
                <w:szCs w:val="22"/>
                <w:lang w:val="en-AU"/>
              </w:rPr>
              <w:t>problematic than 4YC students</w:t>
            </w:r>
            <w:r w:rsidR="00C30072">
              <w:rPr>
                <w:rFonts w:ascii="Gill Sans" w:hAnsi="Gill Sans" w:cs="Gill Sans"/>
                <w:color w:val="000000"/>
                <w:szCs w:val="22"/>
                <w:lang w:val="en-AU"/>
              </w:rPr>
              <w:t>, but overall, all students reported satisfactory transition</w:t>
            </w:r>
            <w:r w:rsidR="0004343D">
              <w:rPr>
                <w:rFonts w:ascii="Gill Sans" w:hAnsi="Gill Sans" w:cs="Gill Sans"/>
                <w:color w:val="000000"/>
                <w:szCs w:val="22"/>
                <w:lang w:val="en-AU"/>
              </w:rPr>
              <w:t xml:space="preserve">. Notable differences in adjustment mostly </w:t>
            </w:r>
            <w:r w:rsidR="00DD0E13">
              <w:rPr>
                <w:rFonts w:ascii="Gill Sans" w:hAnsi="Gill Sans" w:cs="Gill Sans"/>
                <w:color w:val="000000"/>
                <w:szCs w:val="22"/>
                <w:lang w:val="en-AU"/>
              </w:rPr>
              <w:t>involved</w:t>
            </w:r>
            <w:r w:rsidR="0004343D">
              <w:rPr>
                <w:rFonts w:ascii="Gill Sans" w:hAnsi="Gill Sans" w:cs="Gill Sans"/>
                <w:color w:val="000000"/>
                <w:szCs w:val="22"/>
                <w:lang w:val="en-AU"/>
              </w:rPr>
              <w:t xml:space="preserve"> students transitioning from Chinese-medium schools to the English-medium universities. </w:t>
            </w:r>
            <w:r w:rsidR="0066638E">
              <w:rPr>
                <w:rFonts w:ascii="Gill Sans" w:hAnsi="Gill Sans" w:cs="Gill Sans"/>
                <w:color w:val="000000"/>
                <w:szCs w:val="22"/>
                <w:lang w:val="en-AU"/>
              </w:rPr>
              <w:t xml:space="preserve">Data also </w:t>
            </w:r>
            <w:r w:rsidR="0066638E">
              <w:rPr>
                <w:rFonts w:ascii="Gill Sans" w:hAnsi="Gill Sans" w:cs="Gill Sans"/>
                <w:color w:val="000000"/>
                <w:szCs w:val="22"/>
              </w:rPr>
              <w:t>suggested</w:t>
            </w:r>
            <w:r w:rsidR="0066638E" w:rsidRPr="0066638E">
              <w:rPr>
                <w:rFonts w:ascii="Gill Sans" w:hAnsi="Gill Sans" w:cs="Gill Sans"/>
                <w:color w:val="000000"/>
                <w:szCs w:val="22"/>
              </w:rPr>
              <w:t xml:space="preserve"> </w:t>
            </w:r>
            <w:r w:rsidR="0066638E">
              <w:rPr>
                <w:rFonts w:ascii="Gill Sans" w:hAnsi="Gill Sans" w:cs="Gill Sans"/>
                <w:color w:val="000000"/>
                <w:szCs w:val="22"/>
              </w:rPr>
              <w:t>“</w:t>
            </w:r>
            <w:r w:rsidR="0066638E" w:rsidRPr="0066638E">
              <w:rPr>
                <w:rFonts w:ascii="Gill Sans" w:hAnsi="Gill Sans" w:cs="Gill Sans"/>
                <w:color w:val="000000"/>
                <w:szCs w:val="22"/>
              </w:rPr>
              <w:t>that the greater d</w:t>
            </w:r>
            <w:r w:rsidR="0066638E">
              <w:rPr>
                <w:rFonts w:ascii="Gill Sans" w:hAnsi="Gill Sans" w:cs="Gill Sans"/>
                <w:color w:val="000000"/>
                <w:szCs w:val="22"/>
              </w:rPr>
              <w:t>epth and duration of the tradi</w:t>
            </w:r>
            <w:r w:rsidR="0066638E" w:rsidRPr="0066638E">
              <w:rPr>
                <w:rFonts w:ascii="Gill Sans" w:hAnsi="Gill Sans" w:cs="Gill Sans"/>
                <w:color w:val="000000"/>
                <w:szCs w:val="22"/>
              </w:rPr>
              <w:t>tional senior-secondary curriculum (years 10–13), which included two public examinations, may have provided a more secure basis for English-medium university study than the HKDSE programme (years 10–12)</w:t>
            </w:r>
            <w:r w:rsidR="0066638E">
              <w:rPr>
                <w:rFonts w:ascii="Gill Sans" w:hAnsi="Gill Sans" w:cs="Gill Sans"/>
                <w:color w:val="000000"/>
                <w:szCs w:val="22"/>
              </w:rPr>
              <w:t>” (10) and students particularly struggled with understanding and incorporating specialist language and terminology into their writing.</w:t>
            </w:r>
            <w:r w:rsidRPr="00076E76">
              <w:rPr>
                <w:rFonts w:ascii="Gill Sans" w:hAnsi="Gill Sans" w:cs="Gill Sans"/>
                <w:b/>
                <w:color w:val="000000"/>
                <w:szCs w:val="22"/>
                <w:lang w:val="en-AU"/>
              </w:rPr>
              <w:br/>
              <w:t>Core argument:</w:t>
            </w:r>
            <w:r w:rsidR="00053B07">
              <w:rPr>
                <w:rFonts w:ascii="Gill Sans" w:hAnsi="Gill Sans" w:cs="Gill Sans"/>
                <w:b/>
                <w:color w:val="000000"/>
                <w:szCs w:val="22"/>
                <w:lang w:val="en-AU"/>
              </w:rPr>
              <w:t xml:space="preserve"> </w:t>
            </w:r>
            <w:r w:rsidR="00053B07" w:rsidRPr="00913205">
              <w:rPr>
                <w:rFonts w:ascii="Gill Sans" w:hAnsi="Gill Sans" w:cs="Gill Sans"/>
                <w:color w:val="000000"/>
                <w:szCs w:val="22"/>
                <w:lang w:val="en-AU"/>
              </w:rPr>
              <w:t>N/A</w:t>
            </w:r>
          </w:p>
        </w:tc>
      </w:tr>
      <w:tr w:rsidR="00076E76" w:rsidRPr="00076E76" w14:paraId="16BCDCBC" w14:textId="77777777" w:rsidTr="00FA0A8C">
        <w:tc>
          <w:tcPr>
            <w:tcW w:w="5529" w:type="dxa"/>
            <w:shd w:val="clear" w:color="auto" w:fill="auto"/>
          </w:tcPr>
          <w:p w14:paraId="0182B88A" w14:textId="5CF6DD95" w:rsidR="00076E76" w:rsidRDefault="00076E76" w:rsidP="00F53834">
            <w:pPr>
              <w:rPr>
                <w:rFonts w:ascii="Gill Sans" w:hAnsi="Gill Sans" w:cs="Gill Sans"/>
                <w:szCs w:val="22"/>
              </w:rPr>
            </w:pPr>
            <w:r w:rsidRPr="00076E76">
              <w:rPr>
                <w:rFonts w:ascii="Gill Sans" w:hAnsi="Gill Sans" w:cs="Gill Sans"/>
                <w:szCs w:val="22"/>
              </w:rPr>
              <w:lastRenderedPageBreak/>
              <w:t xml:space="preserve">Farrell, O., Brunton, J. &amp; </w:t>
            </w:r>
            <w:proofErr w:type="spellStart"/>
            <w:r w:rsidRPr="00076E76">
              <w:rPr>
                <w:rFonts w:ascii="Gill Sans" w:hAnsi="Gill Sans" w:cs="Gill Sans"/>
                <w:szCs w:val="22"/>
              </w:rPr>
              <w:t>Trevaskis</w:t>
            </w:r>
            <w:proofErr w:type="spellEnd"/>
            <w:r w:rsidRPr="00076E76">
              <w:rPr>
                <w:rFonts w:ascii="Gill Sans" w:hAnsi="Gill Sans" w:cs="Gill Sans"/>
                <w:szCs w:val="22"/>
              </w:rPr>
              <w:t>, S. (2019).</w:t>
            </w:r>
            <w:r w:rsidR="00F53834" w:rsidRPr="00F53834">
              <w:rPr>
                <w:rFonts w:ascii="Gill Sans" w:hAnsi="Gill Sans" w:cs="Gill Sans"/>
                <w:szCs w:val="22"/>
              </w:rPr>
              <w:t xml:space="preserve"> </w:t>
            </w:r>
            <w:hyperlink r:id="rId52" w:history="1">
              <w:r w:rsidR="00F53834" w:rsidRPr="0065379D">
                <w:rPr>
                  <w:rStyle w:val="Hyperlink"/>
                  <w:rFonts w:ascii="Gill Sans" w:hAnsi="Gill Sans" w:cs="Gill Sans"/>
                  <w:szCs w:val="22"/>
                </w:rPr>
                <w:t xml:space="preserve">‘If I had missed </w:t>
              </w:r>
              <w:proofErr w:type="gramStart"/>
              <w:r w:rsidR="00F53834" w:rsidRPr="0065379D">
                <w:rPr>
                  <w:rStyle w:val="Hyperlink"/>
                  <w:rFonts w:ascii="Gill Sans" w:hAnsi="Gill Sans" w:cs="Gill Sans"/>
                  <w:szCs w:val="22"/>
                </w:rPr>
                <w:t>it</w:t>
              </w:r>
              <w:proofErr w:type="gramEnd"/>
              <w:r w:rsidR="00F53834" w:rsidRPr="0065379D">
                <w:rPr>
                  <w:rStyle w:val="Hyperlink"/>
                  <w:rFonts w:ascii="Gill Sans" w:hAnsi="Gill Sans" w:cs="Gill Sans"/>
                  <w:szCs w:val="22"/>
                </w:rPr>
                <w:t xml:space="preserve"> I would have been the lost little sheep’: Exploring student narratives on orientation to first year</w:t>
              </w:r>
            </w:hyperlink>
            <w:r w:rsidR="00F53834" w:rsidRPr="00F53834">
              <w:rPr>
                <w:rFonts w:ascii="Gill Sans" w:hAnsi="Gill Sans" w:cs="Gill Sans"/>
                <w:szCs w:val="22"/>
              </w:rPr>
              <w:t>,</w:t>
            </w:r>
            <w:r w:rsidR="00F53834">
              <w:rPr>
                <w:rFonts w:ascii="Gill Sans" w:hAnsi="Gill Sans" w:cs="Gill Sans"/>
                <w:szCs w:val="22"/>
              </w:rPr>
              <w:t xml:space="preserve"> </w:t>
            </w:r>
            <w:r w:rsidR="00F53834" w:rsidRPr="00F53834">
              <w:rPr>
                <w:rFonts w:ascii="Gill Sans" w:hAnsi="Gill Sans" w:cs="Gill Sans"/>
                <w:i/>
                <w:szCs w:val="22"/>
              </w:rPr>
              <w:t>Journal of Further and Higher Education</w:t>
            </w:r>
            <w:r w:rsidR="00F53834" w:rsidRPr="00F53834">
              <w:rPr>
                <w:rFonts w:ascii="Gill Sans" w:hAnsi="Gill Sans" w:cs="Gill Sans"/>
                <w:szCs w:val="22"/>
              </w:rPr>
              <w:t>, DOI: 10.1080/0309877X.2019.1614543</w:t>
            </w:r>
          </w:p>
          <w:p w14:paraId="0EEE3903" w14:textId="77777777" w:rsidR="00F53834" w:rsidRDefault="00F53834" w:rsidP="00F53834">
            <w:pPr>
              <w:rPr>
                <w:rFonts w:ascii="Gill Sans" w:hAnsi="Gill Sans" w:cs="Gill Sans"/>
                <w:szCs w:val="22"/>
              </w:rPr>
            </w:pPr>
          </w:p>
          <w:p w14:paraId="640DE861" w14:textId="77777777" w:rsidR="00F53834" w:rsidRDefault="00F53834" w:rsidP="00F53834">
            <w:pPr>
              <w:rPr>
                <w:rFonts w:ascii="Gill Sans" w:hAnsi="Gill Sans" w:cs="Gill Sans"/>
                <w:szCs w:val="22"/>
              </w:rPr>
            </w:pPr>
            <w:r>
              <w:rPr>
                <w:rFonts w:ascii="Gill Sans" w:hAnsi="Gill Sans" w:cs="Gill Sans"/>
                <w:szCs w:val="22"/>
              </w:rPr>
              <w:t>IRE</w:t>
            </w:r>
          </w:p>
          <w:p w14:paraId="70C0F635" w14:textId="77777777" w:rsidR="00F53834" w:rsidRDefault="00F53834" w:rsidP="00F53834">
            <w:pPr>
              <w:rPr>
                <w:rFonts w:ascii="Gill Sans" w:hAnsi="Gill Sans" w:cs="Gill Sans"/>
                <w:szCs w:val="22"/>
              </w:rPr>
            </w:pPr>
          </w:p>
          <w:p w14:paraId="5D0C8BBC" w14:textId="2381297C" w:rsidR="00F53834" w:rsidRPr="00076E76" w:rsidRDefault="00F53834" w:rsidP="008408C4">
            <w:pPr>
              <w:rPr>
                <w:rFonts w:ascii="Gill Sans" w:hAnsi="Gill Sans" w:cs="Gill Sans"/>
                <w:szCs w:val="22"/>
              </w:rPr>
            </w:pPr>
            <w:r>
              <w:rPr>
                <w:rFonts w:ascii="Gill Sans" w:hAnsi="Gill Sans" w:cs="Gill Sans"/>
                <w:szCs w:val="22"/>
              </w:rPr>
              <w:t xml:space="preserve">Keywords: </w:t>
            </w:r>
            <w:r w:rsidRPr="008408C4">
              <w:rPr>
                <w:rFonts w:ascii="Gill Sans" w:hAnsi="Gill Sans" w:cs="Gill Sans"/>
                <w:i/>
                <w:szCs w:val="22"/>
              </w:rPr>
              <w:t>Student success; transition;</w:t>
            </w:r>
            <w:r w:rsidR="008408C4" w:rsidRPr="008408C4">
              <w:rPr>
                <w:rFonts w:ascii="Gill Sans" w:hAnsi="Gill Sans" w:cs="Gill Sans"/>
                <w:i/>
                <w:szCs w:val="22"/>
              </w:rPr>
              <w:t xml:space="preserve"> </w:t>
            </w:r>
            <w:r w:rsidRPr="008408C4">
              <w:rPr>
                <w:rFonts w:ascii="Gill Sans" w:hAnsi="Gill Sans" w:cs="Gill Sans"/>
                <w:i/>
                <w:szCs w:val="22"/>
              </w:rPr>
              <w:t>induction; higher education;</w:t>
            </w:r>
            <w:r w:rsidR="008408C4" w:rsidRPr="008408C4">
              <w:rPr>
                <w:rFonts w:ascii="Gill Sans" w:hAnsi="Gill Sans" w:cs="Gill Sans"/>
                <w:i/>
                <w:szCs w:val="22"/>
              </w:rPr>
              <w:t xml:space="preserve"> </w:t>
            </w:r>
            <w:r w:rsidRPr="008408C4">
              <w:rPr>
                <w:rFonts w:ascii="Gill Sans" w:hAnsi="Gill Sans" w:cs="Gill Sans"/>
                <w:i/>
                <w:szCs w:val="22"/>
              </w:rPr>
              <w:t>orientation; retention</w:t>
            </w:r>
          </w:p>
        </w:tc>
        <w:tc>
          <w:tcPr>
            <w:tcW w:w="10064" w:type="dxa"/>
          </w:tcPr>
          <w:p w14:paraId="6648D596" w14:textId="47683352" w:rsidR="009572D0" w:rsidRPr="005D40D3" w:rsidRDefault="009572D0" w:rsidP="009572D0">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sidR="005D40D3">
              <w:rPr>
                <w:rFonts w:ascii="Gill Sans" w:hAnsi="Gill Sans" w:cs="Gill Sans"/>
                <w:color w:val="000000"/>
                <w:szCs w:val="22"/>
                <w:lang w:val="en-AU"/>
              </w:rPr>
              <w:t>Transition intervention in a private higher education institution in Ireland; set against context of retention/ attrition</w:t>
            </w:r>
            <w:r w:rsidR="00D35574">
              <w:rPr>
                <w:rFonts w:ascii="Gill Sans" w:hAnsi="Gill Sans" w:cs="Gill Sans"/>
                <w:color w:val="000000"/>
                <w:szCs w:val="22"/>
                <w:lang w:val="en-AU"/>
              </w:rPr>
              <w:t>: authors cite HEA (2018) figure of 27% drop off in progression from Year 1 to Year 2 in Irish HE.</w:t>
            </w:r>
            <w:r w:rsidR="004A2401">
              <w:rPr>
                <w:rFonts w:ascii="Gill Sans" w:hAnsi="Gill Sans" w:cs="Gill Sans"/>
                <w:color w:val="000000"/>
                <w:szCs w:val="22"/>
                <w:lang w:val="en-AU"/>
              </w:rPr>
              <w:t xml:space="preserve"> Authors claim first year students’ narratives is a gap in the literature</w:t>
            </w:r>
            <w:r w:rsidR="0059348B">
              <w:rPr>
                <w:rFonts w:ascii="Gill Sans" w:hAnsi="Gill Sans" w:cs="Gill Sans"/>
                <w:color w:val="000000"/>
                <w:szCs w:val="22"/>
                <w:lang w:val="en-AU"/>
              </w:rPr>
              <w:t>. Description of intervention (with component parts supported by reference to literature – see p.4)</w:t>
            </w:r>
          </w:p>
          <w:p w14:paraId="1336B93B" w14:textId="58B498DE" w:rsidR="009572D0" w:rsidRDefault="009572D0" w:rsidP="009572D0">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sidR="0092135C">
              <w:rPr>
                <w:rFonts w:ascii="Gill Sans" w:hAnsi="Gill Sans" w:cs="Gill Sans"/>
                <w:color w:val="000000"/>
                <w:szCs w:val="22"/>
                <w:lang w:val="en-AU"/>
              </w:rPr>
              <w:t>To describe students’ narratives about participating in an orientation program</w:t>
            </w:r>
            <w:r w:rsidR="00E23BE5">
              <w:rPr>
                <w:rFonts w:ascii="Gill Sans" w:hAnsi="Gill Sans" w:cs="Gill Sans"/>
                <w:color w:val="000000"/>
                <w:szCs w:val="22"/>
                <w:lang w:val="en-AU"/>
              </w:rPr>
              <w:t xml:space="preserve"> (‘new on-entry’) in School of Arts</w:t>
            </w:r>
            <w:r w:rsidR="0059348B">
              <w:rPr>
                <w:rFonts w:ascii="Gill Sans" w:hAnsi="Gill Sans" w:cs="Gill Sans"/>
                <w:color w:val="000000"/>
                <w:szCs w:val="22"/>
                <w:lang w:val="en-AU"/>
              </w:rPr>
              <w:t>; to respond to this RQ:</w:t>
            </w:r>
          </w:p>
          <w:p w14:paraId="3CA754DD" w14:textId="5C31FD87" w:rsidR="0059348B" w:rsidRPr="0092135C" w:rsidRDefault="0059348B" w:rsidP="0059348B">
            <w:pPr>
              <w:rPr>
                <w:rFonts w:ascii="Gill Sans" w:hAnsi="Gill Sans" w:cs="Gill Sans"/>
                <w:color w:val="000000"/>
                <w:szCs w:val="22"/>
                <w:lang w:val="en-AU"/>
              </w:rPr>
            </w:pPr>
            <w:r>
              <w:rPr>
                <w:rFonts w:ascii="Gill Sans" w:hAnsi="Gill Sans" w:cs="Gill Sans"/>
                <w:color w:val="000000"/>
                <w:szCs w:val="22"/>
              </w:rPr>
              <w:t>“</w:t>
            </w:r>
            <w:r w:rsidRPr="0059348B">
              <w:rPr>
                <w:rFonts w:ascii="Gill Sans" w:hAnsi="Gill Sans" w:cs="Gill Sans"/>
                <w:color w:val="000000"/>
                <w:szCs w:val="22"/>
              </w:rPr>
              <w:t>How does an orientation intervention impact on student narratives of transition into higher</w:t>
            </w:r>
            <w:r>
              <w:rPr>
                <w:rFonts w:ascii="Gill Sans" w:hAnsi="Gill Sans" w:cs="Gill Sans"/>
                <w:color w:val="000000"/>
                <w:szCs w:val="22"/>
              </w:rPr>
              <w:t xml:space="preserve"> </w:t>
            </w:r>
            <w:r w:rsidRPr="0059348B">
              <w:rPr>
                <w:rFonts w:ascii="Gill Sans" w:hAnsi="Gill Sans" w:cs="Gill Sans"/>
                <w:color w:val="000000"/>
                <w:szCs w:val="22"/>
              </w:rPr>
              <w:t>education?</w:t>
            </w:r>
            <w:r>
              <w:rPr>
                <w:rFonts w:ascii="Gill Sans" w:hAnsi="Gill Sans" w:cs="Gill Sans"/>
                <w:color w:val="000000"/>
                <w:szCs w:val="22"/>
              </w:rPr>
              <w:t>” (p.4)</w:t>
            </w:r>
          </w:p>
          <w:p w14:paraId="29612FEE" w14:textId="00EE945F" w:rsidR="009572D0" w:rsidRPr="0059348B" w:rsidRDefault="009572D0" w:rsidP="009572D0">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0059348B">
              <w:rPr>
                <w:rFonts w:ascii="Gill Sans" w:hAnsi="Gill Sans" w:cs="Gill Sans"/>
                <w:color w:val="000000"/>
                <w:szCs w:val="22"/>
                <w:lang w:val="en-AU"/>
              </w:rPr>
              <w:t xml:space="preserve">Qualitative; post-orientation </w:t>
            </w:r>
            <w:r w:rsidR="0055418A">
              <w:rPr>
                <w:rFonts w:ascii="Gill Sans" w:hAnsi="Gill Sans" w:cs="Gill Sans"/>
                <w:color w:val="000000"/>
                <w:szCs w:val="22"/>
                <w:lang w:val="en-AU"/>
              </w:rPr>
              <w:t xml:space="preserve">structured </w:t>
            </w:r>
            <w:r w:rsidR="0059348B">
              <w:rPr>
                <w:rFonts w:ascii="Gill Sans" w:hAnsi="Gill Sans" w:cs="Gill Sans"/>
                <w:color w:val="000000"/>
                <w:szCs w:val="22"/>
                <w:lang w:val="en-AU"/>
              </w:rPr>
              <w:t>interviews with students (n=8; 6f, 2m)</w:t>
            </w:r>
          </w:p>
          <w:p w14:paraId="3ECC59EB" w14:textId="77777777" w:rsidR="0055418A" w:rsidRDefault="009572D0" w:rsidP="009572D0">
            <w:pPr>
              <w:rPr>
                <w:rFonts w:ascii="Gill Sans" w:hAnsi="Gill Sans" w:cs="Gill Sans"/>
                <w:b/>
                <w:color w:val="000000"/>
                <w:szCs w:val="22"/>
                <w:lang w:val="en-AU"/>
              </w:rPr>
            </w:pPr>
            <w:r w:rsidRPr="00076E76">
              <w:rPr>
                <w:rFonts w:ascii="Gill Sans" w:hAnsi="Gill Sans" w:cs="Gill Sans"/>
                <w:b/>
                <w:color w:val="000000"/>
                <w:szCs w:val="22"/>
                <w:lang w:val="en-AU"/>
              </w:rPr>
              <w:t xml:space="preserve">Findings: </w:t>
            </w:r>
          </w:p>
          <w:p w14:paraId="7FC439F0" w14:textId="77777777" w:rsidR="005560CA" w:rsidRDefault="0055418A" w:rsidP="009572D0">
            <w:pPr>
              <w:rPr>
                <w:rFonts w:ascii="Gill Sans" w:hAnsi="Gill Sans" w:cs="Gill Sans"/>
                <w:b/>
                <w:color w:val="000000"/>
                <w:szCs w:val="22"/>
                <w:lang w:val="en-AU"/>
              </w:rPr>
            </w:pPr>
            <w:r>
              <w:rPr>
                <w:rFonts w:ascii="Gill Sans" w:hAnsi="Gill Sans" w:cs="Gill Sans"/>
                <w:b/>
                <w:noProof/>
                <w:color w:val="000000"/>
                <w:szCs w:val="22"/>
              </w:rPr>
              <w:lastRenderedPageBreak/>
              <w:drawing>
                <wp:inline distT="0" distB="0" distL="0" distR="0" wp14:anchorId="576BD3FB" wp14:editId="17F096F2">
                  <wp:extent cx="2358243" cy="2603500"/>
                  <wp:effectExtent l="0" t="0" r="444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58243" cy="2603500"/>
                          </a:xfrm>
                          <a:prstGeom prst="rect">
                            <a:avLst/>
                          </a:prstGeom>
                          <a:noFill/>
                          <a:ln>
                            <a:noFill/>
                          </a:ln>
                        </pic:spPr>
                      </pic:pic>
                    </a:graphicData>
                  </a:graphic>
                </wp:inline>
              </w:drawing>
            </w:r>
            <w:r w:rsidRPr="0055418A">
              <w:rPr>
                <w:rFonts w:ascii="Gill Sans" w:hAnsi="Gill Sans" w:cs="Gill Sans"/>
                <w:color w:val="000000"/>
                <w:szCs w:val="22"/>
                <w:lang w:val="en-AU"/>
              </w:rPr>
              <w:t>p.5</w:t>
            </w:r>
          </w:p>
          <w:p w14:paraId="455987D5" w14:textId="33E3CC3B" w:rsidR="00FA0A8C" w:rsidRPr="00FA0A8C" w:rsidRDefault="005560CA" w:rsidP="00FA0A8C">
            <w:pPr>
              <w:rPr>
                <w:rFonts w:ascii="Gill Sans" w:hAnsi="Gill Sans" w:cs="Gill Sans"/>
                <w:color w:val="000000"/>
                <w:szCs w:val="22"/>
                <w:lang w:val="en-AU"/>
              </w:rPr>
            </w:pPr>
            <w:r>
              <w:rPr>
                <w:rFonts w:ascii="Gill Sans" w:hAnsi="Gill Sans" w:cs="Gill Sans"/>
                <w:color w:val="000000"/>
                <w:szCs w:val="22"/>
                <w:lang w:val="en-AU"/>
              </w:rPr>
              <w:t>Findings discussed around: academic anxieties (</w:t>
            </w:r>
            <w:proofErr w:type="spellStart"/>
            <w:r>
              <w:rPr>
                <w:rFonts w:ascii="Gill Sans" w:hAnsi="Gill Sans" w:cs="Gill Sans"/>
                <w:color w:val="000000"/>
                <w:szCs w:val="22"/>
                <w:lang w:val="en-AU"/>
              </w:rPr>
              <w:t>orientiation</w:t>
            </w:r>
            <w:proofErr w:type="spellEnd"/>
            <w:r>
              <w:rPr>
                <w:rFonts w:ascii="Gill Sans" w:hAnsi="Gill Sans" w:cs="Gill Sans"/>
                <w:color w:val="000000"/>
                <w:szCs w:val="22"/>
                <w:lang w:val="en-AU"/>
              </w:rPr>
              <w:t xml:space="preserve"> program did not remove academic concerns), expectations of higher education (particularly with reference to a perceived ‘ideal student’</w:t>
            </w:r>
            <w:r w:rsidR="003A083A">
              <w:rPr>
                <w:rFonts w:ascii="Gill Sans" w:hAnsi="Gill Sans" w:cs="Gill Sans"/>
                <w:color w:val="000000"/>
                <w:szCs w:val="22"/>
                <w:lang w:val="en-AU"/>
              </w:rPr>
              <w:t>), impact of studying on students’ lives, finding their way, fitting in and making friends, transitions from school</w:t>
            </w:r>
            <w:r w:rsidR="009572D0" w:rsidRPr="00076E76">
              <w:rPr>
                <w:rFonts w:ascii="Gill Sans" w:hAnsi="Gill Sans" w:cs="Gill Sans"/>
                <w:b/>
                <w:color w:val="000000"/>
                <w:szCs w:val="22"/>
                <w:lang w:val="en-AU"/>
              </w:rPr>
              <w:br/>
              <w:t>Core argument:</w:t>
            </w:r>
            <w:r w:rsidR="00FA0A8C">
              <w:rPr>
                <w:rFonts w:ascii="Gill Sans" w:hAnsi="Gill Sans" w:cs="Gill Sans"/>
                <w:b/>
                <w:color w:val="000000"/>
                <w:szCs w:val="22"/>
                <w:lang w:val="en-AU"/>
              </w:rPr>
              <w:t xml:space="preserve"> </w:t>
            </w:r>
            <w:r w:rsidR="00FA0A8C">
              <w:rPr>
                <w:rFonts w:ascii="Gill Sans" w:hAnsi="Gill Sans" w:cs="Gill Sans"/>
                <w:color w:val="000000"/>
                <w:szCs w:val="22"/>
                <w:lang w:val="en-AU"/>
              </w:rPr>
              <w:t>On-entry activities such as the one described can support students’ transitions.</w:t>
            </w:r>
          </w:p>
        </w:tc>
      </w:tr>
      <w:tr w:rsidR="00076E76" w:rsidRPr="00076E76" w14:paraId="5DA0D259" w14:textId="77777777" w:rsidTr="002E557C">
        <w:tc>
          <w:tcPr>
            <w:tcW w:w="5529" w:type="dxa"/>
          </w:tcPr>
          <w:p w14:paraId="2521E652" w14:textId="6013B67F" w:rsidR="00076E76" w:rsidRPr="00076E76" w:rsidRDefault="00076E76" w:rsidP="00EE0635">
            <w:pPr>
              <w:rPr>
                <w:rFonts w:ascii="Gill Sans" w:hAnsi="Gill Sans" w:cs="Gill Sans"/>
                <w:szCs w:val="22"/>
              </w:rPr>
            </w:pPr>
            <w:r w:rsidRPr="00076E76">
              <w:rPr>
                <w:rFonts w:ascii="Gill Sans" w:hAnsi="Gill Sans" w:cs="Gill Sans"/>
                <w:szCs w:val="22"/>
              </w:rPr>
              <w:lastRenderedPageBreak/>
              <w:t xml:space="preserve">Field, J. (2010). </w:t>
            </w:r>
            <w:hyperlink r:id="rId54" w:history="1">
              <w:r w:rsidRPr="00DC219B">
                <w:rPr>
                  <w:rStyle w:val="Hyperlink"/>
                  <w:rFonts w:ascii="Gill Sans" w:hAnsi="Gill Sans" w:cs="Gill Sans"/>
                  <w:szCs w:val="22"/>
                </w:rPr>
                <w:t>Preface.</w:t>
              </w:r>
            </w:hyperlink>
            <w:r w:rsidRPr="00076E76">
              <w:rPr>
                <w:rFonts w:ascii="Gill Sans" w:hAnsi="Gill Sans" w:cs="Gill Sans"/>
                <w:szCs w:val="22"/>
              </w:rPr>
              <w:t xml:space="preserve"> In Eccleston, K.; G. </w:t>
            </w:r>
            <w:proofErr w:type="spellStart"/>
            <w:r w:rsidRPr="00076E76">
              <w:rPr>
                <w:rFonts w:ascii="Gill Sans" w:hAnsi="Gill Sans" w:cs="Gill Sans"/>
                <w:szCs w:val="22"/>
              </w:rPr>
              <w:t>Biesta</w:t>
            </w:r>
            <w:proofErr w:type="spellEnd"/>
            <w:r w:rsidRPr="00076E76">
              <w:rPr>
                <w:rFonts w:ascii="Gill Sans" w:hAnsi="Gill Sans" w:cs="Gill Sans"/>
                <w:szCs w:val="22"/>
              </w:rPr>
              <w:t xml:space="preserve"> &amp; M. Hughes (</w:t>
            </w:r>
            <w:r w:rsidRPr="00AA20AD">
              <w:rPr>
                <w:rFonts w:ascii="Gill Sans" w:hAnsi="Gill Sans" w:cs="Gill Sans"/>
                <w:szCs w:val="22"/>
              </w:rPr>
              <w:t xml:space="preserve">Eds.) </w:t>
            </w:r>
            <w:r w:rsidRPr="00AA20AD">
              <w:rPr>
                <w:rFonts w:ascii="Gill Sans" w:hAnsi="Gill Sans" w:cs="Gill Sans"/>
                <w:i/>
                <w:szCs w:val="22"/>
              </w:rPr>
              <w:t xml:space="preserve">Transitions and Learning through the </w:t>
            </w:r>
            <w:proofErr w:type="spellStart"/>
            <w:r w:rsidRPr="00AA20AD">
              <w:rPr>
                <w:rFonts w:ascii="Gill Sans" w:hAnsi="Gill Sans" w:cs="Gill Sans"/>
                <w:i/>
                <w:szCs w:val="22"/>
              </w:rPr>
              <w:t>Lifecourse</w:t>
            </w:r>
            <w:proofErr w:type="spellEnd"/>
            <w:r w:rsidRPr="00AA20AD">
              <w:rPr>
                <w:rFonts w:ascii="Gill Sans" w:hAnsi="Gill Sans" w:cs="Gill Sans"/>
                <w:i/>
                <w:szCs w:val="22"/>
              </w:rPr>
              <w:t xml:space="preserve">, </w:t>
            </w:r>
            <w:proofErr w:type="spellStart"/>
            <w:proofErr w:type="gramStart"/>
            <w:r w:rsidR="00F7728D" w:rsidRPr="00AA20AD">
              <w:rPr>
                <w:rFonts w:ascii="Gill Sans" w:hAnsi="Gill Sans" w:cs="Gill Sans"/>
                <w:szCs w:val="22"/>
              </w:rPr>
              <w:t>pp.xvii</w:t>
            </w:r>
            <w:proofErr w:type="spellEnd"/>
            <w:proofErr w:type="gramEnd"/>
            <w:r w:rsidR="00F7728D" w:rsidRPr="00AA20AD">
              <w:rPr>
                <w:rFonts w:ascii="Gill Sans" w:hAnsi="Gill Sans" w:cs="Gill Sans"/>
                <w:szCs w:val="22"/>
              </w:rPr>
              <w:t>–</w:t>
            </w:r>
            <w:r w:rsidRPr="00AA20AD">
              <w:rPr>
                <w:rFonts w:ascii="Gill Sans" w:hAnsi="Gill Sans" w:cs="Gill Sans"/>
                <w:szCs w:val="22"/>
              </w:rPr>
              <w:t>xxiv</w:t>
            </w:r>
            <w:r w:rsidRPr="00AA20AD">
              <w:rPr>
                <w:rFonts w:ascii="Gill Sans" w:hAnsi="Gill Sans" w:cs="Gill Sans"/>
                <w:i/>
                <w:szCs w:val="22"/>
              </w:rPr>
              <w:t xml:space="preserve">. </w:t>
            </w:r>
            <w:r w:rsidRPr="00AA20AD">
              <w:rPr>
                <w:rFonts w:ascii="Gill Sans" w:hAnsi="Gill Sans" w:cs="Gill Sans"/>
                <w:szCs w:val="22"/>
              </w:rPr>
              <w:t>Routledge: Abingdon.</w:t>
            </w:r>
          </w:p>
          <w:p w14:paraId="208DA9FD" w14:textId="77777777" w:rsidR="00076E76" w:rsidRPr="00076E76" w:rsidRDefault="00076E76" w:rsidP="00EE0635">
            <w:pPr>
              <w:rPr>
                <w:rFonts w:ascii="Gill Sans" w:hAnsi="Gill Sans" w:cs="Gill Sans"/>
                <w:szCs w:val="22"/>
              </w:rPr>
            </w:pPr>
          </w:p>
          <w:p w14:paraId="75BF0C59" w14:textId="77777777" w:rsidR="00076E76" w:rsidRPr="00076E76" w:rsidRDefault="00076E76" w:rsidP="00EE0635">
            <w:pPr>
              <w:rPr>
                <w:rFonts w:ascii="Gill Sans" w:hAnsi="Gill Sans" w:cs="Gill Sans"/>
                <w:szCs w:val="22"/>
              </w:rPr>
            </w:pPr>
            <w:r w:rsidRPr="00076E76">
              <w:rPr>
                <w:rFonts w:ascii="Gill Sans" w:hAnsi="Gill Sans" w:cs="Gill Sans"/>
                <w:szCs w:val="22"/>
              </w:rPr>
              <w:t>UK</w:t>
            </w:r>
          </w:p>
          <w:p w14:paraId="6AB5F626" w14:textId="4F028723" w:rsidR="00076E76" w:rsidRPr="00076E76" w:rsidRDefault="00076E76" w:rsidP="00EE0635">
            <w:pPr>
              <w:rPr>
                <w:rFonts w:ascii="Gill Sans" w:hAnsi="Gill Sans" w:cs="Gill Sans"/>
                <w:szCs w:val="22"/>
              </w:rPr>
            </w:pPr>
            <w:r w:rsidRPr="00076E76">
              <w:rPr>
                <w:rFonts w:ascii="Gill Sans" w:hAnsi="Gill Sans" w:cs="Gill Sans"/>
                <w:szCs w:val="22"/>
              </w:rPr>
              <w:t>Annotation by Sally Baker</w:t>
            </w:r>
          </w:p>
        </w:tc>
        <w:tc>
          <w:tcPr>
            <w:tcW w:w="10064" w:type="dxa"/>
          </w:tcPr>
          <w:p w14:paraId="71F12344" w14:textId="77777777" w:rsidR="00076E76" w:rsidRPr="00076E76" w:rsidRDefault="00076E76" w:rsidP="00D3737C">
            <w:pPr>
              <w:rPr>
                <w:rFonts w:ascii="Gill Sans" w:hAnsi="Gill Sans" w:cs="Gill Sans"/>
                <w:color w:val="000000"/>
                <w:szCs w:val="22"/>
                <w:lang w:val="en-AU"/>
              </w:rPr>
            </w:pPr>
            <w:r w:rsidRPr="00076E76">
              <w:rPr>
                <w:rFonts w:ascii="Gill Sans" w:hAnsi="Gill Sans" w:cs="Gill Sans"/>
                <w:color w:val="000000"/>
                <w:szCs w:val="22"/>
                <w:lang w:val="en-AU"/>
              </w:rPr>
              <w:t>“Transitions are widely held to be fundamental features of social life” (</w:t>
            </w:r>
            <w:proofErr w:type="spellStart"/>
            <w:r w:rsidRPr="00076E76">
              <w:rPr>
                <w:rFonts w:ascii="Gill Sans" w:hAnsi="Gill Sans" w:cs="Gill Sans"/>
                <w:color w:val="000000"/>
                <w:szCs w:val="22"/>
                <w:lang w:val="en-AU"/>
              </w:rPr>
              <w:t>p.xvii</w:t>
            </w:r>
            <w:proofErr w:type="spellEnd"/>
            <w:r w:rsidRPr="00076E76">
              <w:rPr>
                <w:rFonts w:ascii="Gill Sans" w:hAnsi="Gill Sans" w:cs="Gill Sans"/>
                <w:color w:val="000000"/>
                <w:szCs w:val="22"/>
                <w:lang w:val="en-AU"/>
              </w:rPr>
              <w:t>) – theorising about transition = hallmark of contemporary social thinking (see Bauman, Giddens et al.) As a result, research into transitions = growing.</w:t>
            </w:r>
          </w:p>
          <w:p w14:paraId="57211DAB" w14:textId="77777777" w:rsidR="00076E76" w:rsidRPr="00076E76" w:rsidRDefault="00076E76" w:rsidP="00625D16">
            <w:pPr>
              <w:rPr>
                <w:rFonts w:ascii="Gill Sans" w:hAnsi="Gill Sans" w:cs="Gill Sans"/>
                <w:color w:val="000000"/>
                <w:szCs w:val="22"/>
                <w:lang w:val="en-AU"/>
              </w:rPr>
            </w:pPr>
            <w:r w:rsidRPr="00076E76">
              <w:rPr>
                <w:rFonts w:ascii="Gill Sans" w:hAnsi="Gill Sans" w:cs="Gill Sans"/>
                <w:color w:val="000000"/>
                <w:szCs w:val="22"/>
                <w:lang w:val="en-AU"/>
              </w:rPr>
              <w:t xml:space="preserve">Individualisation and the </w:t>
            </w:r>
            <w:proofErr w:type="spellStart"/>
            <w:r w:rsidRPr="00076E76">
              <w:rPr>
                <w:rFonts w:ascii="Gill Sans" w:hAnsi="Gill Sans" w:cs="Gill Sans"/>
                <w:color w:val="000000"/>
                <w:szCs w:val="22"/>
                <w:lang w:val="en-AU"/>
              </w:rPr>
              <w:t>lifecourse</w:t>
            </w:r>
            <w:proofErr w:type="spellEnd"/>
            <w:r w:rsidRPr="00076E76">
              <w:rPr>
                <w:rFonts w:ascii="Gill Sans" w:hAnsi="Gill Sans" w:cs="Gill Sans"/>
                <w:color w:val="000000"/>
                <w:szCs w:val="22"/>
                <w:lang w:val="en-AU"/>
              </w:rPr>
              <w:t xml:space="preserve"> – “in Western countries, individuals’ </w:t>
            </w:r>
            <w:proofErr w:type="spellStart"/>
            <w:r w:rsidRPr="00076E76">
              <w:rPr>
                <w:rFonts w:ascii="Gill Sans" w:hAnsi="Gill Sans" w:cs="Gill Sans"/>
                <w:color w:val="000000"/>
                <w:szCs w:val="22"/>
                <w:lang w:val="en-AU"/>
              </w:rPr>
              <w:t>lifecourses</w:t>
            </w:r>
            <w:proofErr w:type="spellEnd"/>
            <w:r w:rsidRPr="00076E76">
              <w:rPr>
                <w:rFonts w:ascii="Gill Sans" w:hAnsi="Gill Sans" w:cs="Gill Sans"/>
                <w:color w:val="000000"/>
                <w:szCs w:val="22"/>
                <w:lang w:val="en-AU"/>
              </w:rPr>
              <w:t xml:space="preserve"> are characterised by increasing variety and range of transition routes” (</w:t>
            </w:r>
            <w:proofErr w:type="spellStart"/>
            <w:proofErr w:type="gramStart"/>
            <w:r w:rsidRPr="00076E76">
              <w:rPr>
                <w:rFonts w:ascii="Gill Sans" w:hAnsi="Gill Sans" w:cs="Gill Sans"/>
                <w:color w:val="000000"/>
                <w:szCs w:val="22"/>
                <w:lang w:val="en-AU"/>
              </w:rPr>
              <w:t>p.xviii</w:t>
            </w:r>
            <w:proofErr w:type="spellEnd"/>
            <w:proofErr w:type="gramEnd"/>
            <w:r w:rsidRPr="00076E76">
              <w:rPr>
                <w:rFonts w:ascii="Gill Sans" w:hAnsi="Gill Sans" w:cs="Gill Sans"/>
                <w:color w:val="000000"/>
                <w:szCs w:val="22"/>
                <w:lang w:val="en-AU"/>
              </w:rPr>
              <w:t>); however there is a paradox as “individual transition pathways have collective consequences” (</w:t>
            </w:r>
            <w:proofErr w:type="spellStart"/>
            <w:r w:rsidRPr="00076E76">
              <w:rPr>
                <w:rFonts w:ascii="Gill Sans" w:hAnsi="Gill Sans" w:cs="Gill Sans"/>
                <w:color w:val="000000"/>
                <w:szCs w:val="22"/>
                <w:lang w:val="en-AU"/>
              </w:rPr>
              <w:t>p.xviii</w:t>
            </w:r>
            <w:proofErr w:type="spellEnd"/>
            <w:r w:rsidRPr="00076E76">
              <w:rPr>
                <w:rFonts w:ascii="Gill Sans" w:hAnsi="Gill Sans" w:cs="Gill Sans"/>
                <w:color w:val="000000"/>
                <w:szCs w:val="22"/>
                <w:lang w:val="en-AU"/>
              </w:rPr>
              <w:t>). Neoliberalism and choice = sustained (despite the obvious failings of individualism) because “People seem to value the existence of at least the potential for change, embracing the idea that who they are right now, what they are doing right now, is not how things always have been and always will be. Their future self is possibly an incomplete project…” (</w:t>
            </w:r>
            <w:proofErr w:type="spellStart"/>
            <w:r w:rsidRPr="00076E76">
              <w:rPr>
                <w:rFonts w:ascii="Gill Sans" w:hAnsi="Gill Sans" w:cs="Gill Sans"/>
                <w:color w:val="000000"/>
                <w:szCs w:val="22"/>
                <w:lang w:val="en-AU"/>
              </w:rPr>
              <w:t>p.xix</w:t>
            </w:r>
            <w:proofErr w:type="spellEnd"/>
            <w:r w:rsidRPr="00076E76">
              <w:rPr>
                <w:rFonts w:ascii="Gill Sans" w:hAnsi="Gill Sans" w:cs="Gill Sans"/>
                <w:color w:val="000000"/>
                <w:szCs w:val="22"/>
                <w:lang w:val="en-AU"/>
              </w:rPr>
              <w:t>)</w:t>
            </w:r>
          </w:p>
          <w:p w14:paraId="4DAC2AAB" w14:textId="66EBE343" w:rsidR="00076E76" w:rsidRPr="00076E76" w:rsidRDefault="00076E76" w:rsidP="00625D16">
            <w:pPr>
              <w:rPr>
                <w:rFonts w:ascii="Gill Sans" w:hAnsi="Gill Sans" w:cs="Gill Sans"/>
                <w:color w:val="000000"/>
                <w:szCs w:val="22"/>
                <w:lang w:val="en-AU"/>
              </w:rPr>
            </w:pPr>
            <w:r w:rsidRPr="00076E76">
              <w:rPr>
                <w:rFonts w:ascii="Gill Sans" w:hAnsi="Gill Sans" w:cs="Gill Sans"/>
                <w:color w:val="000000"/>
                <w:szCs w:val="22"/>
                <w:lang w:val="en-AU"/>
              </w:rPr>
              <w:t>“In so far as transitions are seen as troubling, they are usually treated as personal troubles requiring individual responses” (</w:t>
            </w:r>
            <w:proofErr w:type="spellStart"/>
            <w:r w:rsidRPr="00076E76">
              <w:rPr>
                <w:rFonts w:ascii="Gill Sans" w:hAnsi="Gill Sans" w:cs="Gill Sans"/>
                <w:color w:val="000000"/>
                <w:szCs w:val="22"/>
                <w:lang w:val="en-AU"/>
              </w:rPr>
              <w:t>p.xxi</w:t>
            </w:r>
            <w:proofErr w:type="spellEnd"/>
            <w:r w:rsidRPr="00076E76">
              <w:rPr>
                <w:rFonts w:ascii="Gill Sans" w:hAnsi="Gill Sans" w:cs="Gill Sans"/>
                <w:color w:val="000000"/>
                <w:szCs w:val="22"/>
                <w:lang w:val="en-AU"/>
              </w:rPr>
              <w:t>). “The collective dimension to transitions, and to the experience of transitions, has often been neglected in the literature” (</w:t>
            </w:r>
            <w:proofErr w:type="spellStart"/>
            <w:r w:rsidRPr="00076E76">
              <w:rPr>
                <w:rFonts w:ascii="Gill Sans" w:hAnsi="Gill Sans" w:cs="Gill Sans"/>
                <w:color w:val="000000"/>
                <w:szCs w:val="22"/>
                <w:lang w:val="en-AU"/>
              </w:rPr>
              <w:t>p.xxii</w:t>
            </w:r>
            <w:proofErr w:type="spellEnd"/>
            <w:r w:rsidRPr="00076E76">
              <w:rPr>
                <w:rFonts w:ascii="Gill Sans" w:hAnsi="Gill Sans" w:cs="Gill Sans"/>
                <w:color w:val="000000"/>
                <w:szCs w:val="22"/>
                <w:lang w:val="en-AU"/>
              </w:rPr>
              <w:t>).</w:t>
            </w:r>
          </w:p>
          <w:p w14:paraId="027A812C" w14:textId="77777777" w:rsidR="00076E76" w:rsidRPr="00076E76" w:rsidRDefault="00076E76" w:rsidP="00625D16">
            <w:pPr>
              <w:rPr>
                <w:rFonts w:ascii="Gill Sans" w:hAnsi="Gill Sans" w:cs="Gill Sans"/>
                <w:color w:val="000000"/>
                <w:szCs w:val="22"/>
                <w:lang w:val="en-AU"/>
              </w:rPr>
            </w:pPr>
            <w:r w:rsidRPr="00076E76">
              <w:rPr>
                <w:rFonts w:ascii="Gill Sans" w:hAnsi="Gill Sans" w:cs="Gill Sans"/>
                <w:color w:val="000000"/>
                <w:szCs w:val="22"/>
                <w:lang w:val="en-AU"/>
              </w:rPr>
              <w:lastRenderedPageBreak/>
              <w:t>Linearity: “The idea of transition does not necessarily imply unilinear change, but that is how it has predominantly been studied” (</w:t>
            </w:r>
            <w:proofErr w:type="spellStart"/>
            <w:r w:rsidRPr="00076E76">
              <w:rPr>
                <w:rFonts w:ascii="Gill Sans" w:hAnsi="Gill Sans" w:cs="Gill Sans"/>
                <w:color w:val="000000"/>
                <w:szCs w:val="22"/>
                <w:lang w:val="en-AU"/>
              </w:rPr>
              <w:t>p.xix</w:t>
            </w:r>
            <w:proofErr w:type="spellEnd"/>
            <w:r w:rsidRPr="00076E76">
              <w:rPr>
                <w:rFonts w:ascii="Gill Sans" w:hAnsi="Gill Sans" w:cs="Gill Sans"/>
                <w:color w:val="000000"/>
                <w:szCs w:val="22"/>
                <w:lang w:val="en-AU"/>
              </w:rPr>
              <w:t>). Late modernity = characterised by non-linearity.</w:t>
            </w:r>
          </w:p>
          <w:p w14:paraId="30BA23D1" w14:textId="77777777" w:rsidR="00076E76" w:rsidRPr="00076E76" w:rsidRDefault="00076E76" w:rsidP="00625D16">
            <w:pPr>
              <w:rPr>
                <w:rFonts w:ascii="Gill Sans" w:hAnsi="Gill Sans" w:cs="Gill Sans"/>
                <w:color w:val="000000"/>
                <w:szCs w:val="22"/>
                <w:lang w:val="en-AU"/>
              </w:rPr>
            </w:pPr>
          </w:p>
          <w:p w14:paraId="61B0FB2D" w14:textId="1EC9F2DF" w:rsidR="00076E76" w:rsidRPr="00076E76" w:rsidRDefault="00076E76" w:rsidP="00625D16">
            <w:pPr>
              <w:rPr>
                <w:rFonts w:ascii="Gill Sans" w:hAnsi="Gill Sans" w:cs="Gill Sans"/>
                <w:color w:val="000000"/>
                <w:szCs w:val="22"/>
                <w:lang w:val="en-AU"/>
              </w:rPr>
            </w:pPr>
            <w:r w:rsidRPr="00076E76">
              <w:rPr>
                <w:rFonts w:ascii="Gill Sans" w:hAnsi="Gill Sans" w:cs="Gill Sans"/>
                <w:color w:val="000000"/>
                <w:szCs w:val="22"/>
                <w:lang w:val="en-AU"/>
              </w:rPr>
              <w:t>Transition = multilevel, multifaceted and multidirectional.</w:t>
            </w:r>
          </w:p>
        </w:tc>
      </w:tr>
      <w:tr w:rsidR="00076E76" w:rsidRPr="00076E76" w14:paraId="124E6D62" w14:textId="77777777" w:rsidTr="002E557C">
        <w:tc>
          <w:tcPr>
            <w:tcW w:w="5529" w:type="dxa"/>
          </w:tcPr>
          <w:p w14:paraId="4CE7A3BF" w14:textId="4C3316AC" w:rsidR="00076E76" w:rsidRPr="00076E76" w:rsidRDefault="00076E76" w:rsidP="00EE0635">
            <w:pPr>
              <w:rPr>
                <w:rFonts w:ascii="Gill Sans" w:hAnsi="Gill Sans" w:cs="Gill Sans"/>
                <w:szCs w:val="22"/>
              </w:rPr>
            </w:pPr>
            <w:r w:rsidRPr="00076E76">
              <w:rPr>
                <w:rFonts w:ascii="Gill Sans" w:hAnsi="Gill Sans" w:cs="Gill Sans"/>
                <w:szCs w:val="22"/>
              </w:rPr>
              <w:lastRenderedPageBreak/>
              <w:t xml:space="preserve">Field, J. (2012). </w:t>
            </w:r>
            <w:hyperlink r:id="rId55" w:history="1">
              <w:r w:rsidRPr="0070407D">
                <w:rPr>
                  <w:rStyle w:val="Hyperlink"/>
                  <w:rFonts w:ascii="Gill Sans" w:hAnsi="Gill Sans" w:cs="Gill Sans"/>
                  <w:szCs w:val="22"/>
                </w:rPr>
                <w:t>Transitions in Lifelong Learning: Public Issues, Private Troubles, Liminal Identities</w:t>
              </w:r>
            </w:hyperlink>
            <w:r w:rsidRPr="00076E76">
              <w:rPr>
                <w:rFonts w:ascii="Gill Sans" w:hAnsi="Gill Sans" w:cs="Gill Sans"/>
                <w:szCs w:val="22"/>
              </w:rPr>
              <w:t xml:space="preserve">, </w:t>
            </w:r>
            <w:r w:rsidRPr="00076E76">
              <w:rPr>
                <w:rFonts w:ascii="Gill Sans" w:hAnsi="Gill Sans" w:cs="Gill Sans"/>
                <w:i/>
                <w:szCs w:val="22"/>
              </w:rPr>
              <w:t xml:space="preserve">Studies for the Learning Society, </w:t>
            </w:r>
            <w:r w:rsidR="00F7728D">
              <w:rPr>
                <w:rFonts w:ascii="Gill Sans" w:hAnsi="Gill Sans" w:cs="Gill Sans"/>
                <w:szCs w:val="22"/>
              </w:rPr>
              <w:t>(2-3), 4–</w:t>
            </w:r>
            <w:r w:rsidRPr="00076E76">
              <w:rPr>
                <w:rFonts w:ascii="Gill Sans" w:hAnsi="Gill Sans" w:cs="Gill Sans"/>
                <w:szCs w:val="22"/>
              </w:rPr>
              <w:t>11. ISSN 1736-7107.</w:t>
            </w:r>
          </w:p>
          <w:p w14:paraId="2640B0FD" w14:textId="77777777" w:rsidR="00076E76" w:rsidRPr="00076E76" w:rsidRDefault="00076E76" w:rsidP="00EE0635">
            <w:pPr>
              <w:rPr>
                <w:rFonts w:ascii="Gill Sans" w:hAnsi="Gill Sans" w:cs="Gill Sans"/>
                <w:szCs w:val="22"/>
              </w:rPr>
            </w:pPr>
          </w:p>
          <w:p w14:paraId="1AD2B1F4" w14:textId="77777777" w:rsidR="00076E76" w:rsidRPr="00076E76" w:rsidRDefault="00076E76" w:rsidP="00EE0635">
            <w:pPr>
              <w:rPr>
                <w:rFonts w:ascii="Gill Sans" w:hAnsi="Gill Sans" w:cs="Gill Sans"/>
                <w:szCs w:val="22"/>
              </w:rPr>
            </w:pPr>
            <w:r w:rsidRPr="00076E76">
              <w:rPr>
                <w:rFonts w:ascii="Gill Sans" w:hAnsi="Gill Sans" w:cs="Gill Sans"/>
                <w:szCs w:val="22"/>
              </w:rPr>
              <w:t>UK</w:t>
            </w:r>
          </w:p>
          <w:p w14:paraId="2672E205" w14:textId="2F072A60" w:rsidR="00076E76" w:rsidRPr="00076E76" w:rsidRDefault="00076E76" w:rsidP="00EE0635">
            <w:pPr>
              <w:rPr>
                <w:rFonts w:ascii="Gill Sans" w:hAnsi="Gill Sans" w:cs="Gill Sans"/>
                <w:szCs w:val="22"/>
              </w:rPr>
            </w:pPr>
            <w:r w:rsidRPr="00076E76">
              <w:rPr>
                <w:rFonts w:ascii="Gill Sans" w:hAnsi="Gill Sans" w:cs="Gill Sans"/>
                <w:szCs w:val="22"/>
              </w:rPr>
              <w:t>Annotation by Sally Baker</w:t>
            </w:r>
          </w:p>
          <w:p w14:paraId="799E813F" w14:textId="77777777" w:rsidR="00076E76" w:rsidRPr="00076E76" w:rsidRDefault="00076E76" w:rsidP="00EE0635">
            <w:pPr>
              <w:rPr>
                <w:rFonts w:ascii="Gill Sans" w:hAnsi="Gill Sans" w:cs="Gill Sans"/>
                <w:szCs w:val="22"/>
              </w:rPr>
            </w:pPr>
          </w:p>
          <w:p w14:paraId="35F2F3FE" w14:textId="20583BCD" w:rsidR="00076E76" w:rsidRPr="00076E76" w:rsidRDefault="00076E76" w:rsidP="00F7728D">
            <w:pPr>
              <w:rPr>
                <w:rFonts w:ascii="Gill Sans" w:hAnsi="Gill Sans" w:cs="Gill Sans"/>
                <w:szCs w:val="22"/>
              </w:rPr>
            </w:pPr>
            <w:r w:rsidRPr="00076E76">
              <w:rPr>
                <w:rFonts w:ascii="Gill Sans" w:hAnsi="Gill Sans" w:cs="Gill Sans"/>
                <w:szCs w:val="22"/>
              </w:rPr>
              <w:t xml:space="preserve">Keywords: </w:t>
            </w:r>
            <w:r w:rsidRPr="00076E76">
              <w:rPr>
                <w:rFonts w:ascii="Gill Sans" w:hAnsi="Gill Sans" w:cs="Gill Sans"/>
                <w:i/>
                <w:szCs w:val="22"/>
              </w:rPr>
              <w:t>lifelong learning, educational transitions,</w:t>
            </w:r>
            <w:r w:rsidR="00F7728D">
              <w:rPr>
                <w:rFonts w:ascii="Gill Sans" w:hAnsi="Gill Sans" w:cs="Gill Sans"/>
                <w:i/>
                <w:szCs w:val="22"/>
              </w:rPr>
              <w:t xml:space="preserve"> </w:t>
            </w:r>
            <w:r w:rsidRPr="00076E76">
              <w:rPr>
                <w:rFonts w:ascii="Gill Sans" w:hAnsi="Gill Sans" w:cs="Gill Sans"/>
                <w:i/>
                <w:szCs w:val="22"/>
              </w:rPr>
              <w:t>liminal identities</w:t>
            </w:r>
          </w:p>
        </w:tc>
        <w:tc>
          <w:tcPr>
            <w:tcW w:w="10064" w:type="dxa"/>
          </w:tcPr>
          <w:p w14:paraId="4A047D6D" w14:textId="55817ED5" w:rsidR="00076E76" w:rsidRPr="00076E76" w:rsidRDefault="00076E76" w:rsidP="00D3737C">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sidRPr="00076E76">
              <w:rPr>
                <w:rFonts w:ascii="Gill Sans" w:hAnsi="Gill Sans" w:cs="Gill Sans"/>
                <w:color w:val="000000"/>
                <w:szCs w:val="22"/>
                <w:lang w:val="en-AU"/>
              </w:rPr>
              <w:t>[Post] modern society/ late modernity requires individuals to become comfortable with discomfort/ instability/ risk and to be adaptable and flexible. Broad ideas of transition are increasingly considered by policy makers, but are also increasingly individualised and therapeutic (see Ecclestone): “</w:t>
            </w:r>
            <w:r w:rsidRPr="00076E76">
              <w:rPr>
                <w:rFonts w:ascii="Gill Sans" w:hAnsi="Gill Sans" w:cs="Gill Sans"/>
                <w:color w:val="000000"/>
                <w:szCs w:val="22"/>
              </w:rPr>
              <w:t xml:space="preserve">because transitions are predominantly conceived of as linear and uni-directional, support must be targeted at those who ‘fail’ to comply with these normative expectations, and who are therefore treated as vulnerable and disengaged (Ecclestone 2010), see p.6. Increased diversification of student body/ increased uptake of lifelong learning = results in transitions being more detached from specific ages/ stages of life (see work on standard v. elective biography from </w:t>
            </w:r>
            <w:proofErr w:type="spellStart"/>
            <w:r w:rsidRPr="00076E76">
              <w:rPr>
                <w:rFonts w:ascii="Gill Sans" w:hAnsi="Gill Sans" w:cs="Gill Sans"/>
                <w:color w:val="000000"/>
                <w:szCs w:val="22"/>
              </w:rPr>
              <w:t>Glastra</w:t>
            </w:r>
            <w:proofErr w:type="spellEnd"/>
            <w:r w:rsidRPr="00076E76">
              <w:rPr>
                <w:rFonts w:ascii="Gill Sans" w:hAnsi="Gill Sans" w:cs="Gill Sans"/>
                <w:color w:val="000000"/>
                <w:szCs w:val="22"/>
              </w:rPr>
              <w:t xml:space="preserve">, Hake &amp; </w:t>
            </w:r>
            <w:proofErr w:type="spellStart"/>
            <w:r w:rsidRPr="00076E76">
              <w:rPr>
                <w:rFonts w:ascii="Gill Sans" w:hAnsi="Gill Sans" w:cs="Gill Sans"/>
                <w:color w:val="000000"/>
                <w:szCs w:val="22"/>
              </w:rPr>
              <w:t>Schedler</w:t>
            </w:r>
            <w:proofErr w:type="spellEnd"/>
            <w:r w:rsidRPr="00076E76">
              <w:rPr>
                <w:rFonts w:ascii="Gill Sans" w:hAnsi="Gill Sans" w:cs="Gill Sans"/>
                <w:color w:val="000000"/>
                <w:szCs w:val="22"/>
              </w:rPr>
              <w:t>, 2004). Resultingly, transition= common area of research</w:t>
            </w:r>
          </w:p>
          <w:p w14:paraId="294C9272" w14:textId="370C33B2" w:rsidR="00076E76" w:rsidRPr="00076E76" w:rsidRDefault="00076E76" w:rsidP="00346C3A">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sidRPr="00076E76">
              <w:rPr>
                <w:rFonts w:ascii="Gill Sans" w:hAnsi="Gill Sans" w:cs="Gill Sans"/>
                <w:color w:val="000000"/>
                <w:szCs w:val="22"/>
                <w:lang w:val="en-AU"/>
              </w:rPr>
              <w:t>To recontextualise significance of transitions in adult learning; to consider how adult/ lifelong learning = absorbed into ‘policy mainstream’; to consider issues of identity within this context; to propose idea of liminal identity</w:t>
            </w:r>
          </w:p>
          <w:p w14:paraId="799ADCB4" w14:textId="1C8576C8" w:rsidR="00076E76" w:rsidRPr="00076E76" w:rsidRDefault="00076E76" w:rsidP="00AA2783">
            <w:pPr>
              <w:rPr>
                <w:rFonts w:ascii="Gill Sans" w:hAnsi="Gill Sans" w:cs="Gill Sans"/>
                <w:color w:val="000000"/>
                <w:szCs w:val="22"/>
                <w:lang w:val="en-AU"/>
              </w:rPr>
            </w:pPr>
            <w:r w:rsidRPr="00076E76">
              <w:rPr>
                <w:rFonts w:ascii="Gill Sans" w:hAnsi="Gill Sans" w:cs="Gill Sans"/>
                <w:b/>
                <w:color w:val="000000"/>
                <w:szCs w:val="22"/>
                <w:lang w:val="en-AU"/>
              </w:rPr>
              <w:t xml:space="preserve">Theoretical frame: </w:t>
            </w:r>
            <w:r w:rsidRPr="00076E76">
              <w:rPr>
                <w:rFonts w:ascii="Gill Sans" w:hAnsi="Gill Sans" w:cs="Gill Sans"/>
                <w:color w:val="000000"/>
                <w:szCs w:val="22"/>
                <w:lang w:val="en-AU"/>
              </w:rPr>
              <w:t>‘Transitional space’ (Winnicott, 1953) = liminality as ‘</w:t>
            </w:r>
            <w:proofErr w:type="spellStart"/>
            <w:r w:rsidRPr="00076E76">
              <w:rPr>
                <w:rFonts w:ascii="Gill Sans" w:hAnsi="Gill Sans" w:cs="Gill Sans"/>
                <w:color w:val="000000"/>
                <w:szCs w:val="22"/>
                <w:lang w:val="en-AU"/>
              </w:rPr>
              <w:t>interstructural</w:t>
            </w:r>
            <w:proofErr w:type="spellEnd"/>
            <w:r w:rsidRPr="00076E76">
              <w:rPr>
                <w:rFonts w:ascii="Gill Sans" w:hAnsi="Gill Sans" w:cs="Gill Sans"/>
                <w:color w:val="000000"/>
                <w:szCs w:val="22"/>
                <w:lang w:val="en-AU"/>
              </w:rPr>
              <w:t xml:space="preserve"> position’ (Turner, 1987)/ space to experiment with new identities; habitus (Bourdieu/ </w:t>
            </w:r>
            <w:proofErr w:type="spellStart"/>
            <w:r w:rsidRPr="00076E76">
              <w:rPr>
                <w:rFonts w:ascii="Gill Sans" w:hAnsi="Gill Sans" w:cs="Gill Sans"/>
                <w:color w:val="000000"/>
                <w:szCs w:val="22"/>
                <w:lang w:val="en-AU"/>
              </w:rPr>
              <w:t>Biesta</w:t>
            </w:r>
            <w:proofErr w:type="spellEnd"/>
            <w:r w:rsidRPr="00076E76">
              <w:rPr>
                <w:rFonts w:ascii="Gill Sans" w:hAnsi="Gill Sans" w:cs="Gill Sans"/>
                <w:color w:val="000000"/>
                <w:szCs w:val="22"/>
                <w:lang w:val="en-AU"/>
              </w:rPr>
              <w:t xml:space="preserve"> et al., 2011). Definition offered: </w:t>
            </w:r>
            <w:r w:rsidRPr="00076E76">
              <w:rPr>
                <w:rFonts w:ascii="Gill Sans" w:hAnsi="Gill Sans" w:cs="Gill Sans"/>
                <w:i/>
                <w:color w:val="000000"/>
                <w:szCs w:val="22"/>
              </w:rPr>
              <w:t xml:space="preserve">the ways in which people understand themselves as a ‘learning </w:t>
            </w:r>
            <w:proofErr w:type="gramStart"/>
            <w:r w:rsidRPr="00076E76">
              <w:rPr>
                <w:rFonts w:ascii="Gill Sans" w:hAnsi="Gill Sans" w:cs="Gill Sans"/>
                <w:i/>
                <w:color w:val="000000"/>
                <w:szCs w:val="22"/>
              </w:rPr>
              <w:t>self ’</w:t>
            </w:r>
            <w:proofErr w:type="gramEnd"/>
            <w:r w:rsidRPr="00076E76">
              <w:rPr>
                <w:rFonts w:ascii="Gill Sans" w:hAnsi="Gill Sans" w:cs="Gill Sans"/>
                <w:i/>
                <w:color w:val="000000"/>
                <w:szCs w:val="22"/>
              </w:rPr>
              <w:t>, the ways in which they experience and interact with the social milieu of the university, and also the significance of these subjective identities and social milieu for their learning</w:t>
            </w:r>
            <w:r w:rsidRPr="00076E76">
              <w:rPr>
                <w:rFonts w:ascii="Gill Sans" w:hAnsi="Gill Sans" w:cs="Gill Sans"/>
                <w:color w:val="000000"/>
                <w:szCs w:val="22"/>
              </w:rPr>
              <w:t xml:space="preserve"> (p.8; italics in original).</w:t>
            </w:r>
          </w:p>
          <w:p w14:paraId="4511D58F" w14:textId="1694FBDF" w:rsidR="00076E76" w:rsidRPr="00076E76" w:rsidRDefault="00076E76" w:rsidP="00346C3A">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Author argues that in adult learning, qualitative/biographical methods and approaches = most common (youth studies = broadly more ethnographic or = large scale projects measuring inequalities = more likely to be longitudinal surveys)</w:t>
            </w:r>
          </w:p>
          <w:p w14:paraId="770EC3D5" w14:textId="09C6A51C" w:rsidR="00076E76" w:rsidRPr="00076E76" w:rsidRDefault="00076E76" w:rsidP="00AA03FF">
            <w:pPr>
              <w:rPr>
                <w:rFonts w:ascii="Gill Sans" w:hAnsi="Gill Sans" w:cs="Gill Sans"/>
                <w:color w:val="000000"/>
                <w:szCs w:val="22"/>
              </w:rPr>
            </w:pPr>
            <w:r w:rsidRPr="00076E76">
              <w:rPr>
                <w:rFonts w:ascii="Gill Sans" w:hAnsi="Gill Sans" w:cs="Gill Sans"/>
                <w:color w:val="000000"/>
                <w:szCs w:val="22"/>
                <w:lang w:val="en-AU"/>
              </w:rPr>
              <w:t>“</w:t>
            </w:r>
            <w:r w:rsidRPr="00076E76">
              <w:rPr>
                <w:rFonts w:ascii="Gill Sans" w:hAnsi="Gill Sans" w:cs="Gill Sans"/>
                <w:color w:val="000000"/>
                <w:szCs w:val="22"/>
              </w:rPr>
              <w:t>The ‘biographical turn’ also allows us to engage with a broad conception of learning, one which does not restrict the meaning of learning to institutional definitions, but which includes the cognitive and reflexive dimensions of learning as much as the emotional, embodied, pre-reflexive and non-cognitive aspects of everyday learning processes and practices” (p.7) – leading to growth in ‘biographical learning’.</w:t>
            </w:r>
          </w:p>
          <w:p w14:paraId="6C8F5ABF" w14:textId="679972F8" w:rsidR="00076E76" w:rsidRPr="00076E76" w:rsidRDefault="00076E76" w:rsidP="00247726">
            <w:pPr>
              <w:rPr>
                <w:rFonts w:ascii="Gill Sans" w:hAnsi="Gill Sans" w:cs="Gill Sans"/>
                <w:color w:val="000000"/>
                <w:szCs w:val="22"/>
                <w:lang w:val="en-AU"/>
              </w:rPr>
            </w:pPr>
            <w:r w:rsidRPr="00076E76">
              <w:rPr>
                <w:rFonts w:ascii="Gill Sans" w:hAnsi="Gill Sans" w:cs="Gill Sans"/>
                <w:color w:val="000000"/>
                <w:szCs w:val="22"/>
              </w:rPr>
              <w:t>Author draws on RANLHE project (European study of retention/ access: HE), in particular the Scottish part of the project that looked at “the structural, cultural and personal interplay of learning and agency in non-traditional students’ lives” (p.8).</w:t>
            </w:r>
          </w:p>
          <w:p w14:paraId="69CE1F32" w14:textId="77777777" w:rsidR="00076E76" w:rsidRPr="00076E76" w:rsidRDefault="00076E76" w:rsidP="00346C3A">
            <w:pPr>
              <w:rPr>
                <w:rFonts w:ascii="Gill Sans" w:hAnsi="Gill Sans" w:cs="Gill Sans"/>
                <w:b/>
                <w:color w:val="000000"/>
                <w:szCs w:val="22"/>
                <w:lang w:val="en-AU"/>
              </w:rPr>
            </w:pPr>
            <w:r w:rsidRPr="00076E76">
              <w:rPr>
                <w:rFonts w:ascii="Gill Sans" w:hAnsi="Gill Sans" w:cs="Gill Sans"/>
                <w:b/>
                <w:color w:val="000000"/>
                <w:szCs w:val="22"/>
                <w:lang w:val="en-AU"/>
              </w:rPr>
              <w:t xml:space="preserve">Findings: </w:t>
            </w:r>
          </w:p>
          <w:p w14:paraId="2C09DAA5" w14:textId="77777777" w:rsidR="00076E76" w:rsidRPr="00076E76" w:rsidRDefault="00076E76" w:rsidP="00346C3A">
            <w:pPr>
              <w:rPr>
                <w:rFonts w:ascii="Gill Sans" w:hAnsi="Gill Sans" w:cs="Gill Sans"/>
                <w:color w:val="000000"/>
                <w:szCs w:val="22"/>
                <w:lang w:val="en-AU"/>
              </w:rPr>
            </w:pPr>
            <w:r w:rsidRPr="00076E76">
              <w:rPr>
                <w:rFonts w:ascii="Gill Sans" w:hAnsi="Gill Sans" w:cs="Gill Sans"/>
                <w:color w:val="000000"/>
                <w:szCs w:val="22"/>
                <w:lang w:val="en-AU"/>
              </w:rPr>
              <w:lastRenderedPageBreak/>
              <w:t>Culture shock</w:t>
            </w:r>
          </w:p>
          <w:p w14:paraId="769592B2" w14:textId="77777777" w:rsidR="00076E76" w:rsidRPr="00076E76" w:rsidRDefault="00076E76" w:rsidP="00346C3A">
            <w:pPr>
              <w:rPr>
                <w:rFonts w:ascii="Gill Sans" w:hAnsi="Gill Sans" w:cs="Gill Sans"/>
                <w:color w:val="000000"/>
                <w:szCs w:val="22"/>
                <w:lang w:val="en-AU"/>
              </w:rPr>
            </w:pPr>
            <w:r w:rsidRPr="00076E76">
              <w:rPr>
                <w:rFonts w:ascii="Gill Sans" w:hAnsi="Gill Sans" w:cs="Gill Sans"/>
                <w:color w:val="000000"/>
                <w:szCs w:val="22"/>
                <w:lang w:val="en-AU"/>
              </w:rPr>
              <w:t>Physical disorientation</w:t>
            </w:r>
          </w:p>
          <w:p w14:paraId="6489F4FD" w14:textId="77777777" w:rsidR="00076E76" w:rsidRPr="00076E76" w:rsidRDefault="00076E76" w:rsidP="00346C3A">
            <w:pPr>
              <w:rPr>
                <w:rFonts w:ascii="Gill Sans" w:hAnsi="Gill Sans" w:cs="Gill Sans"/>
                <w:color w:val="000000"/>
                <w:szCs w:val="22"/>
                <w:lang w:val="en-AU"/>
              </w:rPr>
            </w:pPr>
            <w:r w:rsidRPr="00076E76">
              <w:rPr>
                <w:rFonts w:ascii="Gill Sans" w:hAnsi="Gill Sans" w:cs="Gill Sans"/>
                <w:color w:val="000000"/>
                <w:szCs w:val="22"/>
                <w:lang w:val="en-AU"/>
              </w:rPr>
              <w:t>Feeling conspicuous</w:t>
            </w:r>
          </w:p>
          <w:p w14:paraId="4D8194B3" w14:textId="77777777" w:rsidR="00076E76" w:rsidRPr="00076E76" w:rsidRDefault="00076E76" w:rsidP="00346C3A">
            <w:pPr>
              <w:rPr>
                <w:rFonts w:ascii="Gill Sans" w:hAnsi="Gill Sans" w:cs="Gill Sans"/>
                <w:color w:val="000000"/>
                <w:szCs w:val="22"/>
                <w:lang w:val="en-AU"/>
              </w:rPr>
            </w:pPr>
            <w:r w:rsidRPr="00076E76">
              <w:rPr>
                <w:rFonts w:ascii="Gill Sans" w:hAnsi="Gill Sans" w:cs="Gill Sans"/>
                <w:color w:val="000000"/>
                <w:szCs w:val="22"/>
                <w:lang w:val="en-AU"/>
              </w:rPr>
              <w:t>Emancipatory possibilities of HE</w:t>
            </w:r>
          </w:p>
          <w:p w14:paraId="7950CF15" w14:textId="77777777" w:rsidR="00076E76" w:rsidRPr="00076E76" w:rsidRDefault="00076E76" w:rsidP="00346C3A">
            <w:pPr>
              <w:rPr>
                <w:rFonts w:ascii="Gill Sans" w:hAnsi="Gill Sans" w:cs="Gill Sans"/>
                <w:color w:val="000000"/>
                <w:szCs w:val="22"/>
                <w:lang w:val="en-AU"/>
              </w:rPr>
            </w:pPr>
            <w:r w:rsidRPr="00076E76">
              <w:rPr>
                <w:rFonts w:ascii="Gill Sans" w:hAnsi="Gill Sans" w:cs="Gill Sans"/>
                <w:color w:val="000000"/>
                <w:szCs w:val="22"/>
                <w:lang w:val="en-AU"/>
              </w:rPr>
              <w:t>‘Proving yourself’</w:t>
            </w:r>
          </w:p>
          <w:p w14:paraId="0226FF48" w14:textId="77777777" w:rsidR="00076E76" w:rsidRPr="00076E76" w:rsidRDefault="00076E76" w:rsidP="00346C3A">
            <w:pPr>
              <w:rPr>
                <w:rFonts w:ascii="Gill Sans" w:hAnsi="Gill Sans" w:cs="Gill Sans"/>
                <w:color w:val="000000"/>
                <w:szCs w:val="22"/>
                <w:lang w:val="en-AU"/>
              </w:rPr>
            </w:pPr>
            <w:r w:rsidRPr="00076E76">
              <w:rPr>
                <w:rFonts w:ascii="Gill Sans" w:hAnsi="Gill Sans" w:cs="Gill Sans"/>
                <w:color w:val="000000"/>
                <w:szCs w:val="22"/>
                <w:lang w:val="en-AU"/>
              </w:rPr>
              <w:t>Disconnections with other selves (e.g. professional self as nurse on p.9)</w:t>
            </w:r>
            <w:r w:rsidRPr="00076E76">
              <w:rPr>
                <w:rFonts w:ascii="Gill Sans" w:hAnsi="Gill Sans" w:cs="Gill Sans"/>
                <w:b/>
                <w:color w:val="000000"/>
                <w:szCs w:val="22"/>
                <w:lang w:val="en-AU"/>
              </w:rPr>
              <w:br/>
              <w:t xml:space="preserve">Core argument: </w:t>
            </w:r>
            <w:r w:rsidRPr="00076E76">
              <w:rPr>
                <w:rFonts w:ascii="Gill Sans" w:hAnsi="Gill Sans" w:cs="Gill Sans"/>
                <w:color w:val="000000"/>
                <w:szCs w:val="22"/>
                <w:lang w:val="en-AU"/>
              </w:rPr>
              <w:t>Transitions = social and biographical</w:t>
            </w:r>
          </w:p>
          <w:p w14:paraId="1E3BCD2F" w14:textId="77777777" w:rsidR="00076E76" w:rsidRPr="00076E76" w:rsidRDefault="00076E76" w:rsidP="00346C3A">
            <w:pPr>
              <w:rPr>
                <w:rFonts w:ascii="Gill Sans" w:hAnsi="Gill Sans" w:cs="Gill Sans"/>
                <w:color w:val="000000"/>
                <w:szCs w:val="22"/>
                <w:lang w:val="en-AU"/>
              </w:rPr>
            </w:pPr>
            <w:r w:rsidRPr="00076E76">
              <w:rPr>
                <w:rFonts w:ascii="Gill Sans" w:hAnsi="Gill Sans" w:cs="Gill Sans"/>
                <w:color w:val="000000"/>
                <w:szCs w:val="22"/>
                <w:lang w:val="en-AU"/>
              </w:rPr>
              <w:t>University = form of transitional space</w:t>
            </w:r>
          </w:p>
          <w:p w14:paraId="448736CF" w14:textId="042B24E9" w:rsidR="00076E76" w:rsidRPr="00076E76" w:rsidRDefault="00076E76" w:rsidP="00F740B7">
            <w:pPr>
              <w:rPr>
                <w:rFonts w:ascii="Gill Sans" w:hAnsi="Gill Sans" w:cs="Gill Sans"/>
                <w:color w:val="000000"/>
                <w:szCs w:val="22"/>
                <w:lang w:val="en-AU"/>
              </w:rPr>
            </w:pPr>
            <w:r w:rsidRPr="00076E76">
              <w:rPr>
                <w:rFonts w:ascii="Gill Sans" w:hAnsi="Gill Sans" w:cs="Gill Sans"/>
                <w:color w:val="000000"/>
                <w:szCs w:val="22"/>
                <w:lang w:val="en-AU"/>
              </w:rPr>
              <w:t>Challenges classical version of liminality = notion of ‘end point’: “</w:t>
            </w:r>
            <w:r w:rsidRPr="00076E76">
              <w:rPr>
                <w:rFonts w:ascii="Gill Sans" w:hAnsi="Gill Sans" w:cs="Gill Sans"/>
                <w:color w:val="000000"/>
                <w:szCs w:val="22"/>
              </w:rPr>
              <w:t xml:space="preserve">Given that such linear and unidirectional transitions are less and less the norm, there are important questions for practice arising from the normative assumptions that are embedded in many institutional practices and structures – and arguably in the underlying cultural ethos that </w:t>
            </w:r>
            <w:proofErr w:type="spellStart"/>
            <w:r w:rsidRPr="00076E76">
              <w:rPr>
                <w:rFonts w:ascii="Gill Sans" w:hAnsi="Gill Sans" w:cs="Gill Sans"/>
                <w:color w:val="000000"/>
                <w:szCs w:val="22"/>
              </w:rPr>
              <w:t>characterises</w:t>
            </w:r>
            <w:proofErr w:type="spellEnd"/>
            <w:r w:rsidRPr="00076E76">
              <w:rPr>
                <w:rFonts w:ascii="Gill Sans" w:hAnsi="Gill Sans" w:cs="Gill Sans"/>
                <w:color w:val="000000"/>
                <w:szCs w:val="22"/>
              </w:rPr>
              <w:t xml:space="preserve"> many educational institutions” (p.10).</w:t>
            </w:r>
          </w:p>
        </w:tc>
      </w:tr>
      <w:tr w:rsidR="00076E76" w:rsidRPr="00076E76" w14:paraId="311A5DE9" w14:textId="77777777" w:rsidTr="00AA20AD">
        <w:tc>
          <w:tcPr>
            <w:tcW w:w="5529" w:type="dxa"/>
            <w:shd w:val="clear" w:color="auto" w:fill="auto"/>
          </w:tcPr>
          <w:p w14:paraId="1F7EDD74" w14:textId="62775360" w:rsidR="00076E76" w:rsidRPr="00076E76" w:rsidRDefault="00076E76" w:rsidP="00EE0635">
            <w:pPr>
              <w:rPr>
                <w:rFonts w:ascii="Gill Sans" w:hAnsi="Gill Sans" w:cs="Gill Sans"/>
                <w:szCs w:val="22"/>
              </w:rPr>
            </w:pPr>
            <w:r w:rsidRPr="00076E76">
              <w:rPr>
                <w:rFonts w:ascii="Gill Sans" w:hAnsi="Gill Sans" w:cs="Gill Sans"/>
                <w:szCs w:val="22"/>
              </w:rPr>
              <w:lastRenderedPageBreak/>
              <w:t xml:space="preserve">Fisher, R., J. Cavanagh, and A. Bowles. (2011). </w:t>
            </w:r>
            <w:hyperlink r:id="rId56" w:history="1">
              <w:r w:rsidRPr="002F7CF7">
                <w:rPr>
                  <w:rStyle w:val="Hyperlink"/>
                  <w:rFonts w:ascii="Gill Sans" w:hAnsi="Gill Sans" w:cs="Gill Sans"/>
                  <w:szCs w:val="22"/>
                </w:rPr>
                <w:t>Assisting Transition to University: Using Assessment as a Formative Learning Tool</w:t>
              </w:r>
            </w:hyperlink>
            <w:r w:rsidRPr="00076E76">
              <w:rPr>
                <w:rFonts w:ascii="Gill Sans" w:hAnsi="Gill Sans" w:cs="Gill Sans"/>
                <w:szCs w:val="22"/>
              </w:rPr>
              <w:t xml:space="preserve">, </w:t>
            </w:r>
            <w:r w:rsidRPr="00076E76">
              <w:rPr>
                <w:rFonts w:ascii="Gill Sans" w:hAnsi="Gill Sans" w:cs="Gill Sans"/>
                <w:i/>
                <w:szCs w:val="22"/>
              </w:rPr>
              <w:t xml:space="preserve">Assessment &amp; Evaluation in Higher Education, </w:t>
            </w:r>
            <w:r w:rsidR="00F7728D">
              <w:rPr>
                <w:rFonts w:ascii="Gill Sans" w:hAnsi="Gill Sans" w:cs="Gill Sans"/>
                <w:szCs w:val="22"/>
              </w:rPr>
              <w:t>36(2),</w:t>
            </w:r>
            <w:r w:rsidRPr="00076E76">
              <w:rPr>
                <w:rFonts w:ascii="Gill Sans" w:hAnsi="Gill Sans" w:cs="Gill Sans"/>
                <w:szCs w:val="22"/>
              </w:rPr>
              <w:t xml:space="preserve"> 225–237.</w:t>
            </w:r>
          </w:p>
          <w:p w14:paraId="6102632F" w14:textId="77777777" w:rsidR="00076E76" w:rsidRPr="00076E76" w:rsidRDefault="00076E76" w:rsidP="00EE0635">
            <w:pPr>
              <w:rPr>
                <w:rFonts w:ascii="Gill Sans" w:hAnsi="Gill Sans" w:cs="Gill Sans"/>
                <w:szCs w:val="22"/>
              </w:rPr>
            </w:pPr>
          </w:p>
          <w:p w14:paraId="33A3FD2F" w14:textId="77777777" w:rsidR="00076E76" w:rsidRDefault="00912F5D" w:rsidP="00EE0635">
            <w:pPr>
              <w:rPr>
                <w:rFonts w:ascii="Gill Sans" w:hAnsi="Gill Sans" w:cs="Gill Sans"/>
                <w:szCs w:val="22"/>
              </w:rPr>
            </w:pPr>
            <w:r>
              <w:rPr>
                <w:rFonts w:ascii="Gill Sans" w:hAnsi="Gill Sans" w:cs="Gill Sans"/>
                <w:szCs w:val="22"/>
              </w:rPr>
              <w:t>AUS</w:t>
            </w:r>
          </w:p>
          <w:p w14:paraId="4067A024" w14:textId="48726EF7" w:rsidR="00912F5D" w:rsidRDefault="00912F5D" w:rsidP="00EE0635">
            <w:pPr>
              <w:rPr>
                <w:rFonts w:ascii="Gill Sans" w:hAnsi="Gill Sans" w:cs="Gill Sans"/>
                <w:szCs w:val="22"/>
              </w:rPr>
            </w:pPr>
            <w:r>
              <w:rPr>
                <w:rFonts w:ascii="Gill Sans" w:hAnsi="Gill Sans" w:cs="Gill Sans"/>
                <w:szCs w:val="22"/>
              </w:rPr>
              <w:t xml:space="preserve">Annotation by </w:t>
            </w:r>
            <w:r w:rsidRPr="00912F5D">
              <w:rPr>
                <w:rFonts w:ascii="Gill Sans" w:hAnsi="Gill Sans" w:cs="Gill Sans"/>
                <w:szCs w:val="22"/>
              </w:rPr>
              <w:t>Caitlyn McLoughlin</w:t>
            </w:r>
          </w:p>
          <w:p w14:paraId="6917CABA" w14:textId="77777777" w:rsidR="00912F5D" w:rsidRDefault="00912F5D" w:rsidP="00EE0635">
            <w:pPr>
              <w:rPr>
                <w:rFonts w:ascii="Gill Sans" w:hAnsi="Gill Sans" w:cs="Gill Sans"/>
                <w:szCs w:val="22"/>
              </w:rPr>
            </w:pPr>
          </w:p>
          <w:p w14:paraId="35177587" w14:textId="77777777" w:rsidR="00912F5D" w:rsidRPr="00912F5D" w:rsidRDefault="00912F5D" w:rsidP="00912F5D">
            <w:pPr>
              <w:rPr>
                <w:rFonts w:ascii="Gill Sans" w:hAnsi="Gill Sans" w:cs="Gill Sans"/>
                <w:i/>
                <w:szCs w:val="22"/>
              </w:rPr>
            </w:pPr>
            <w:r w:rsidRPr="00912F5D">
              <w:rPr>
                <w:rFonts w:ascii="Gill Sans" w:hAnsi="Gill Sans" w:cs="Gill Sans"/>
                <w:bCs/>
                <w:szCs w:val="22"/>
              </w:rPr>
              <w:t xml:space="preserve">Keywords: </w:t>
            </w:r>
            <w:r w:rsidRPr="00912F5D">
              <w:rPr>
                <w:rFonts w:ascii="Gill Sans" w:hAnsi="Gill Sans" w:cs="Gill Sans"/>
                <w:i/>
                <w:szCs w:val="22"/>
              </w:rPr>
              <w:t>formative assessment; summative assessment; draft assessment; learning; transition</w:t>
            </w:r>
          </w:p>
          <w:p w14:paraId="50C928F8" w14:textId="77777777" w:rsidR="00912F5D" w:rsidRPr="00076E76" w:rsidRDefault="00912F5D" w:rsidP="00EE0635">
            <w:pPr>
              <w:rPr>
                <w:rFonts w:ascii="Gill Sans" w:hAnsi="Gill Sans" w:cs="Gill Sans"/>
                <w:szCs w:val="22"/>
              </w:rPr>
            </w:pPr>
          </w:p>
          <w:p w14:paraId="48B9D306" w14:textId="6F4D0EA9" w:rsidR="00076E76" w:rsidRPr="00076E76" w:rsidRDefault="00076E76" w:rsidP="00EE0635">
            <w:pPr>
              <w:rPr>
                <w:rFonts w:ascii="Gill Sans" w:hAnsi="Gill Sans" w:cs="Gill Sans"/>
                <w:b/>
                <w:szCs w:val="22"/>
              </w:rPr>
            </w:pPr>
          </w:p>
        </w:tc>
        <w:tc>
          <w:tcPr>
            <w:tcW w:w="10064" w:type="dxa"/>
          </w:tcPr>
          <w:p w14:paraId="1E57FD89" w14:textId="64B86C18" w:rsidR="00076E76" w:rsidRPr="00AD3852" w:rsidRDefault="00076E76" w:rsidP="009510D5">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sidR="00AD3852">
              <w:rPr>
                <w:rFonts w:ascii="Gill Sans" w:hAnsi="Gill Sans" w:cs="Gill Sans"/>
                <w:color w:val="000000"/>
                <w:szCs w:val="22"/>
                <w:lang w:val="en-AU"/>
              </w:rPr>
              <w:t xml:space="preserve">Transition to first-year university studies can be stressful for students and is generally when the risk is highest for students discontinuing study. </w:t>
            </w:r>
            <w:r w:rsidR="00350324">
              <w:rPr>
                <w:rFonts w:ascii="Gill Sans" w:hAnsi="Gill Sans" w:cs="Gill Sans"/>
                <w:color w:val="000000"/>
                <w:szCs w:val="22"/>
                <w:lang w:val="en-AU"/>
              </w:rPr>
              <w:t>Early intervention</w:t>
            </w:r>
            <w:r w:rsidR="00DC19FA">
              <w:rPr>
                <w:rFonts w:ascii="Gill Sans" w:hAnsi="Gill Sans" w:cs="Gill Sans"/>
                <w:color w:val="000000"/>
                <w:szCs w:val="22"/>
                <w:lang w:val="en-AU"/>
              </w:rPr>
              <w:t xml:space="preserve"> – particularly by enabling student participation in learning –</w:t>
            </w:r>
            <w:r w:rsidR="00350324">
              <w:rPr>
                <w:rFonts w:ascii="Gill Sans" w:hAnsi="Gill Sans" w:cs="Gill Sans"/>
                <w:color w:val="000000"/>
                <w:szCs w:val="22"/>
                <w:lang w:val="en-AU"/>
              </w:rPr>
              <w:t xml:space="preserve"> from facul</w:t>
            </w:r>
            <w:r w:rsidR="0065791B">
              <w:rPr>
                <w:rFonts w:ascii="Gill Sans" w:hAnsi="Gill Sans" w:cs="Gill Sans"/>
                <w:color w:val="000000"/>
                <w:szCs w:val="22"/>
                <w:lang w:val="en-AU"/>
              </w:rPr>
              <w:t xml:space="preserve">ty and staff has been shown to greatly improve student experience and likelihood of remaining at uni. </w:t>
            </w:r>
            <w:r w:rsidR="00AD3852">
              <w:rPr>
                <w:rFonts w:ascii="Gill Sans" w:hAnsi="Gill Sans" w:cs="Gill Sans"/>
                <w:color w:val="000000"/>
                <w:szCs w:val="22"/>
                <w:lang w:val="en-AU"/>
              </w:rPr>
              <w:t xml:space="preserve"> </w:t>
            </w:r>
          </w:p>
          <w:p w14:paraId="30A63209" w14:textId="04E5BB3B" w:rsidR="00076E76" w:rsidRPr="00DC19FA" w:rsidRDefault="00076E76" w:rsidP="009510D5">
            <w:pPr>
              <w:rPr>
                <w:rFonts w:ascii="Gill Sans" w:hAnsi="Gill Sans" w:cs="Gill Sans"/>
                <w:color w:val="000000"/>
                <w:szCs w:val="22"/>
              </w:rPr>
            </w:pPr>
            <w:r w:rsidRPr="00076E76">
              <w:rPr>
                <w:rFonts w:ascii="Gill Sans" w:hAnsi="Gill Sans" w:cs="Gill Sans"/>
                <w:b/>
                <w:color w:val="000000"/>
                <w:szCs w:val="22"/>
                <w:lang w:val="en-AU"/>
              </w:rPr>
              <w:t xml:space="preserve">Aim: </w:t>
            </w:r>
            <w:r w:rsidR="00DC19FA">
              <w:rPr>
                <w:rFonts w:ascii="Gill Sans" w:hAnsi="Gill Sans" w:cs="Gill Sans"/>
                <w:color w:val="000000"/>
                <w:szCs w:val="22"/>
                <w:lang w:val="en-AU"/>
              </w:rPr>
              <w:t>To “</w:t>
            </w:r>
            <w:r w:rsidR="00DC19FA">
              <w:rPr>
                <w:rFonts w:ascii="Gill Sans" w:hAnsi="Gill Sans" w:cs="Gill Sans"/>
                <w:color w:val="000000"/>
                <w:szCs w:val="22"/>
              </w:rPr>
              <w:t>present</w:t>
            </w:r>
            <w:r w:rsidR="00DC19FA" w:rsidRPr="00DC19FA">
              <w:rPr>
                <w:rFonts w:ascii="Gill Sans" w:hAnsi="Gill Sans" w:cs="Gill Sans"/>
                <w:color w:val="000000"/>
                <w:szCs w:val="22"/>
              </w:rPr>
              <w:t xml:space="preserve"> an approach that is designed to address issues of transition to university through the lens of engagement and formative assessment</w:t>
            </w:r>
            <w:r w:rsidR="00DC19FA">
              <w:rPr>
                <w:rFonts w:ascii="Gill Sans" w:hAnsi="Gill Sans" w:cs="Gill Sans"/>
                <w:color w:val="000000"/>
                <w:szCs w:val="22"/>
              </w:rPr>
              <w:t>” (225)</w:t>
            </w:r>
            <w:r w:rsidR="00DC19FA" w:rsidRPr="00DC19FA">
              <w:rPr>
                <w:rFonts w:ascii="Gill Sans" w:hAnsi="Gill Sans" w:cs="Gill Sans"/>
                <w:color w:val="000000"/>
                <w:szCs w:val="22"/>
              </w:rPr>
              <w:t>.</w:t>
            </w:r>
          </w:p>
          <w:p w14:paraId="72DA3EC3" w14:textId="5B8BDD35" w:rsidR="00076E76" w:rsidRPr="00076E76" w:rsidRDefault="00076E76" w:rsidP="009510D5">
            <w:pPr>
              <w:rPr>
                <w:rFonts w:ascii="Gill Sans" w:hAnsi="Gill Sans" w:cs="Gill Sans"/>
                <w:b/>
                <w:color w:val="000000"/>
                <w:szCs w:val="22"/>
                <w:lang w:val="en-AU"/>
              </w:rPr>
            </w:pPr>
            <w:r w:rsidRPr="00076E76">
              <w:rPr>
                <w:rFonts w:ascii="Gill Sans" w:hAnsi="Gill Sans" w:cs="Gill Sans"/>
                <w:b/>
                <w:color w:val="000000"/>
                <w:szCs w:val="22"/>
                <w:lang w:val="en-AU"/>
              </w:rPr>
              <w:t>Theoretical frame:</w:t>
            </w:r>
            <w:r w:rsidR="00543567">
              <w:rPr>
                <w:rFonts w:ascii="Gill Sans" w:hAnsi="Gill Sans" w:cs="Gill Sans"/>
                <w:b/>
                <w:color w:val="000000"/>
                <w:szCs w:val="22"/>
                <w:lang w:val="en-AU"/>
              </w:rPr>
              <w:t xml:space="preserve"> N/A</w:t>
            </w:r>
          </w:p>
          <w:p w14:paraId="39A6A139" w14:textId="6470F9F5" w:rsidR="00076E76" w:rsidRPr="00C91587" w:rsidRDefault="00076E76" w:rsidP="009510D5">
            <w:pPr>
              <w:rPr>
                <w:rFonts w:ascii="Gill Sans" w:hAnsi="Gill Sans" w:cs="Gill Sans"/>
                <w:color w:val="000000"/>
                <w:szCs w:val="22"/>
              </w:rPr>
            </w:pPr>
            <w:r w:rsidRPr="00076E76">
              <w:rPr>
                <w:rFonts w:ascii="Gill Sans" w:hAnsi="Gill Sans" w:cs="Gill Sans"/>
                <w:b/>
                <w:color w:val="000000"/>
                <w:szCs w:val="22"/>
                <w:lang w:val="en-AU"/>
              </w:rPr>
              <w:t xml:space="preserve">Methodology: </w:t>
            </w:r>
            <w:r w:rsidR="00C91587">
              <w:rPr>
                <w:rFonts w:ascii="Gill Sans" w:hAnsi="Gill Sans" w:cs="Gill Sans"/>
                <w:color w:val="000000"/>
                <w:szCs w:val="22"/>
              </w:rPr>
              <w:t>M</w:t>
            </w:r>
            <w:r w:rsidR="00C91587" w:rsidRPr="00C91587">
              <w:rPr>
                <w:rFonts w:ascii="Gill Sans" w:hAnsi="Gill Sans" w:cs="Gill Sans"/>
                <w:color w:val="000000"/>
                <w:szCs w:val="22"/>
              </w:rPr>
              <w:t>ulti-method approach of qualitative and quantitative data collection and analysis</w:t>
            </w:r>
            <w:r w:rsidR="00CA0E4A">
              <w:rPr>
                <w:rFonts w:ascii="Gill Sans" w:hAnsi="Gill Sans" w:cs="Gill Sans"/>
                <w:color w:val="000000"/>
                <w:szCs w:val="22"/>
              </w:rPr>
              <w:t xml:space="preserve"> undertaken as a case study. </w:t>
            </w:r>
          </w:p>
          <w:p w14:paraId="1BE16632" w14:textId="7B36B7AC" w:rsidR="00076E76" w:rsidRPr="0000647D" w:rsidRDefault="00076E76" w:rsidP="0055719C">
            <w:pPr>
              <w:rPr>
                <w:rFonts w:ascii="Gill Sans" w:hAnsi="Gill Sans" w:cs="Gill Sans"/>
                <w:color w:val="000000"/>
                <w:szCs w:val="22"/>
              </w:rPr>
            </w:pPr>
            <w:r w:rsidRPr="00076E76">
              <w:rPr>
                <w:rFonts w:ascii="Gill Sans" w:hAnsi="Gill Sans" w:cs="Gill Sans"/>
                <w:b/>
                <w:color w:val="000000"/>
                <w:szCs w:val="22"/>
                <w:lang w:val="en-AU"/>
              </w:rPr>
              <w:t>Findings:</w:t>
            </w:r>
            <w:r w:rsidR="003C17DD">
              <w:rPr>
                <w:rFonts w:ascii="Gill Sans" w:hAnsi="Gill Sans" w:cs="Gill Sans"/>
                <w:b/>
                <w:color w:val="000000"/>
                <w:szCs w:val="22"/>
                <w:lang w:val="en-AU"/>
              </w:rPr>
              <w:t xml:space="preserve"> </w:t>
            </w:r>
            <w:r w:rsidR="003C17DD">
              <w:rPr>
                <w:rFonts w:ascii="Gill Sans" w:hAnsi="Gill Sans" w:cs="Gill Sans"/>
                <w:color w:val="000000"/>
                <w:szCs w:val="22"/>
              </w:rPr>
              <w:t>S</w:t>
            </w:r>
            <w:r w:rsidR="003C17DD" w:rsidRPr="003C17DD">
              <w:rPr>
                <w:rFonts w:ascii="Gill Sans" w:hAnsi="Gill Sans" w:cs="Gill Sans"/>
                <w:color w:val="000000"/>
                <w:szCs w:val="22"/>
              </w:rPr>
              <w:t>tudents</w:t>
            </w:r>
            <w:r w:rsidR="003C17DD">
              <w:rPr>
                <w:rFonts w:ascii="Gill Sans" w:hAnsi="Gill Sans" w:cs="Gill Sans"/>
                <w:color w:val="000000"/>
                <w:szCs w:val="22"/>
              </w:rPr>
              <w:t xml:space="preserve"> who participated</w:t>
            </w:r>
            <w:r w:rsidR="003C17DD" w:rsidRPr="003C17DD">
              <w:rPr>
                <w:rFonts w:ascii="Gill Sans" w:hAnsi="Gill Sans" w:cs="Gill Sans"/>
                <w:color w:val="000000"/>
                <w:szCs w:val="22"/>
              </w:rPr>
              <w:t xml:space="preserve"> in the intervention achieved higher marks and grades </w:t>
            </w:r>
            <w:r w:rsidR="00817804">
              <w:rPr>
                <w:rFonts w:ascii="Gill Sans" w:hAnsi="Gill Sans" w:cs="Gill Sans"/>
                <w:color w:val="000000"/>
                <w:szCs w:val="22"/>
              </w:rPr>
              <w:t xml:space="preserve">(7.1% higher) </w:t>
            </w:r>
            <w:r w:rsidR="003C17DD" w:rsidRPr="003C17DD">
              <w:rPr>
                <w:rFonts w:ascii="Gill Sans" w:hAnsi="Gill Sans" w:cs="Gill Sans"/>
                <w:color w:val="000000"/>
                <w:szCs w:val="22"/>
              </w:rPr>
              <w:t>than non-participating students in the</w:t>
            </w:r>
            <w:r w:rsidR="003C17DD">
              <w:rPr>
                <w:rFonts w:ascii="Gill Sans" w:hAnsi="Gill Sans" w:cs="Gill Sans"/>
                <w:color w:val="000000"/>
                <w:szCs w:val="22"/>
              </w:rPr>
              <w:t xml:space="preserve"> first subject where the inter</w:t>
            </w:r>
            <w:r w:rsidR="003C17DD" w:rsidRPr="003C17DD">
              <w:rPr>
                <w:rFonts w:ascii="Gill Sans" w:hAnsi="Gill Sans" w:cs="Gill Sans"/>
                <w:color w:val="000000"/>
                <w:szCs w:val="22"/>
              </w:rPr>
              <w:t>vention was offered.</w:t>
            </w:r>
            <w:r w:rsidR="0055719C">
              <w:rPr>
                <w:rFonts w:ascii="Gill Sans" w:hAnsi="Gill Sans" w:cs="Gill Sans"/>
                <w:color w:val="000000"/>
                <w:szCs w:val="22"/>
              </w:rPr>
              <w:t xml:space="preserve"> </w:t>
            </w:r>
            <w:r w:rsidR="0055719C" w:rsidRPr="0055719C">
              <w:rPr>
                <w:rFonts w:ascii="Gill Sans" w:hAnsi="Gill Sans" w:cs="Gill Sans"/>
                <w:color w:val="000000"/>
                <w:szCs w:val="22"/>
              </w:rPr>
              <w:t xml:space="preserve">Three main themes </w:t>
            </w:r>
            <w:r w:rsidR="0055719C">
              <w:rPr>
                <w:rFonts w:ascii="Gill Sans" w:hAnsi="Gill Sans" w:cs="Gill Sans"/>
                <w:color w:val="000000"/>
                <w:szCs w:val="22"/>
              </w:rPr>
              <w:t xml:space="preserve">from the qualitative research </w:t>
            </w:r>
            <w:r w:rsidR="0055719C" w:rsidRPr="0055719C">
              <w:rPr>
                <w:rFonts w:ascii="Gill Sans" w:hAnsi="Gill Sans" w:cs="Gill Sans"/>
                <w:color w:val="000000"/>
                <w:szCs w:val="22"/>
              </w:rPr>
              <w:t>designated as: (1) improving marks, (2) enabling understanding, and (3) utility of the intervention in transition</w:t>
            </w:r>
            <w:r w:rsidR="001C66BF">
              <w:rPr>
                <w:rFonts w:ascii="Gill Sans" w:hAnsi="Gill Sans" w:cs="Gill Sans"/>
                <w:color w:val="000000"/>
                <w:szCs w:val="22"/>
              </w:rPr>
              <w:t>.</w:t>
            </w:r>
            <w:r w:rsidRPr="00076E76">
              <w:rPr>
                <w:rFonts w:ascii="Gill Sans" w:hAnsi="Gill Sans" w:cs="Gill Sans"/>
                <w:b/>
                <w:color w:val="000000"/>
                <w:szCs w:val="22"/>
                <w:lang w:val="en-AU"/>
              </w:rPr>
              <w:t xml:space="preserve"> </w:t>
            </w:r>
            <w:r w:rsidRPr="00076E76">
              <w:rPr>
                <w:rFonts w:ascii="Gill Sans" w:hAnsi="Gill Sans" w:cs="Gill Sans"/>
                <w:b/>
                <w:color w:val="000000"/>
                <w:szCs w:val="22"/>
                <w:lang w:val="en-AU"/>
              </w:rPr>
              <w:br/>
              <w:t>Core argument:</w:t>
            </w:r>
            <w:r w:rsidR="0000647D">
              <w:rPr>
                <w:rFonts w:ascii="Gill Sans" w:hAnsi="Gill Sans" w:cs="Gill Sans"/>
                <w:b/>
                <w:color w:val="000000"/>
                <w:szCs w:val="22"/>
                <w:lang w:val="en-AU"/>
              </w:rPr>
              <w:t xml:space="preserve"> </w:t>
            </w:r>
            <w:r w:rsidR="0000647D">
              <w:rPr>
                <w:rFonts w:ascii="Gill Sans" w:hAnsi="Gill Sans" w:cs="Gill Sans"/>
                <w:color w:val="000000"/>
                <w:szCs w:val="22"/>
              </w:rPr>
              <w:t>I</w:t>
            </w:r>
            <w:r w:rsidR="0000647D" w:rsidRPr="00C91587">
              <w:rPr>
                <w:rFonts w:ascii="Gill Sans" w:hAnsi="Gill Sans" w:cs="Gill Sans"/>
                <w:color w:val="000000"/>
                <w:szCs w:val="22"/>
              </w:rPr>
              <w:t>ntervention facilitates significantly higher marks in assessments and grades, while assisting student learning overall</w:t>
            </w:r>
            <w:r w:rsidR="0000647D">
              <w:rPr>
                <w:rFonts w:ascii="Gill Sans" w:hAnsi="Gill Sans" w:cs="Gill Sans"/>
                <w:color w:val="000000"/>
                <w:szCs w:val="22"/>
              </w:rPr>
              <w:t>.</w:t>
            </w:r>
          </w:p>
        </w:tc>
      </w:tr>
      <w:tr w:rsidR="00076E76" w:rsidRPr="00076E76" w14:paraId="48E1DBB3" w14:textId="77777777" w:rsidTr="002E557C">
        <w:tc>
          <w:tcPr>
            <w:tcW w:w="5529" w:type="dxa"/>
          </w:tcPr>
          <w:p w14:paraId="7D33AB52" w14:textId="783BD565" w:rsidR="00076E76" w:rsidRPr="00076E76" w:rsidRDefault="00076E76" w:rsidP="003E07CD">
            <w:pPr>
              <w:rPr>
                <w:rFonts w:ascii="Gill Sans" w:hAnsi="Gill Sans" w:cs="Gill Sans"/>
                <w:szCs w:val="22"/>
              </w:rPr>
            </w:pPr>
            <w:r w:rsidRPr="00076E76">
              <w:rPr>
                <w:rFonts w:ascii="Gill Sans" w:hAnsi="Gill Sans" w:cs="Gill Sans"/>
                <w:szCs w:val="22"/>
              </w:rPr>
              <w:t xml:space="preserve">Fragoso, A.; </w:t>
            </w:r>
            <w:proofErr w:type="spellStart"/>
            <w:r w:rsidRPr="00076E76">
              <w:rPr>
                <w:rFonts w:ascii="Gill Sans" w:hAnsi="Gill Sans" w:cs="Gill Sans"/>
                <w:szCs w:val="22"/>
              </w:rPr>
              <w:t>GonÇAlves</w:t>
            </w:r>
            <w:proofErr w:type="spellEnd"/>
            <w:r w:rsidRPr="00076E76">
              <w:rPr>
                <w:rFonts w:ascii="Gill Sans" w:hAnsi="Gill Sans" w:cs="Gill Sans"/>
                <w:szCs w:val="22"/>
              </w:rPr>
              <w:t xml:space="preserve">, T.; Ribeiro, M.; Monteiro, R.; </w:t>
            </w:r>
            <w:proofErr w:type="spellStart"/>
            <w:r w:rsidRPr="00076E76">
              <w:rPr>
                <w:rFonts w:ascii="Gill Sans" w:hAnsi="Gill Sans" w:cs="Gill Sans"/>
                <w:szCs w:val="22"/>
              </w:rPr>
              <w:t>Quintas</w:t>
            </w:r>
            <w:proofErr w:type="spellEnd"/>
            <w:r w:rsidRPr="00076E76">
              <w:rPr>
                <w:rFonts w:ascii="Gill Sans" w:hAnsi="Gill Sans" w:cs="Gill Sans"/>
                <w:szCs w:val="22"/>
              </w:rPr>
              <w:t xml:space="preserve">, H.; </w:t>
            </w:r>
            <w:proofErr w:type="spellStart"/>
            <w:r w:rsidRPr="00076E76">
              <w:rPr>
                <w:rFonts w:ascii="Gill Sans" w:hAnsi="Gill Sans" w:cs="Gill Sans"/>
                <w:szCs w:val="22"/>
              </w:rPr>
              <w:t>Bago</w:t>
            </w:r>
            <w:proofErr w:type="spellEnd"/>
            <w:r w:rsidRPr="00076E76">
              <w:rPr>
                <w:rFonts w:ascii="Gill Sans" w:hAnsi="Gill Sans" w:cs="Gill Sans"/>
                <w:szCs w:val="22"/>
              </w:rPr>
              <w:t xml:space="preserve">, J.; Fonseca, H. &amp; Santos, L. (2013). </w:t>
            </w:r>
            <w:hyperlink r:id="rId57" w:history="1">
              <w:r w:rsidRPr="0070407D">
                <w:rPr>
                  <w:rStyle w:val="Hyperlink"/>
                  <w:rFonts w:ascii="Gill Sans" w:hAnsi="Gill Sans" w:cs="Gill Sans"/>
                  <w:szCs w:val="22"/>
                </w:rPr>
                <w:t>The transition of mature students to higher education: Challenging traditional concepts</w:t>
              </w:r>
            </w:hyperlink>
            <w:r w:rsidRPr="00076E76">
              <w:rPr>
                <w:rFonts w:ascii="Gill Sans" w:hAnsi="Gill Sans" w:cs="Gill Sans"/>
                <w:szCs w:val="22"/>
              </w:rPr>
              <w:t xml:space="preserve">?, </w:t>
            </w:r>
            <w:r w:rsidRPr="00076E76">
              <w:rPr>
                <w:rFonts w:ascii="Gill Sans" w:hAnsi="Gill Sans" w:cs="Gill Sans"/>
                <w:i/>
                <w:szCs w:val="22"/>
              </w:rPr>
              <w:t xml:space="preserve">Studies in the Education of Adults, </w:t>
            </w:r>
            <w:r w:rsidR="00F7728D">
              <w:rPr>
                <w:rFonts w:ascii="Gill Sans" w:hAnsi="Gill Sans" w:cs="Gill Sans"/>
                <w:szCs w:val="22"/>
              </w:rPr>
              <w:t>45(1), 67–</w:t>
            </w:r>
            <w:r w:rsidRPr="00076E76">
              <w:rPr>
                <w:rFonts w:ascii="Gill Sans" w:hAnsi="Gill Sans" w:cs="Gill Sans"/>
                <w:szCs w:val="22"/>
              </w:rPr>
              <w:t>81.</w:t>
            </w:r>
          </w:p>
          <w:p w14:paraId="3A95DAC7" w14:textId="77777777" w:rsidR="00076E76" w:rsidRPr="00076E76" w:rsidRDefault="00076E76" w:rsidP="003E07CD">
            <w:pPr>
              <w:rPr>
                <w:rFonts w:ascii="Gill Sans" w:hAnsi="Gill Sans" w:cs="Gill Sans"/>
                <w:szCs w:val="22"/>
              </w:rPr>
            </w:pPr>
          </w:p>
          <w:p w14:paraId="3622A53E" w14:textId="77777777" w:rsidR="00076E76" w:rsidRPr="00076E76" w:rsidRDefault="00076E76" w:rsidP="003E07CD">
            <w:pPr>
              <w:rPr>
                <w:rFonts w:ascii="Gill Sans" w:hAnsi="Gill Sans" w:cs="Gill Sans"/>
                <w:szCs w:val="22"/>
              </w:rPr>
            </w:pPr>
            <w:r w:rsidRPr="00076E76">
              <w:rPr>
                <w:rFonts w:ascii="Gill Sans" w:hAnsi="Gill Sans" w:cs="Gill Sans"/>
                <w:szCs w:val="22"/>
              </w:rPr>
              <w:t>PORTUGAL</w:t>
            </w:r>
          </w:p>
          <w:p w14:paraId="7B029F67" w14:textId="77777777" w:rsidR="00B56D5B" w:rsidRPr="00076E76" w:rsidRDefault="00B56D5B" w:rsidP="00B56D5B">
            <w:pPr>
              <w:rPr>
                <w:rFonts w:ascii="Gill Sans" w:hAnsi="Gill Sans" w:cs="Gill Sans"/>
                <w:szCs w:val="22"/>
              </w:rPr>
            </w:pPr>
            <w:r w:rsidRPr="00076E76">
              <w:rPr>
                <w:rFonts w:ascii="Gill Sans" w:hAnsi="Gill Sans" w:cs="Gill Sans"/>
                <w:szCs w:val="22"/>
              </w:rPr>
              <w:t>Annotation by Sally Baker</w:t>
            </w:r>
          </w:p>
          <w:p w14:paraId="6A2A1330" w14:textId="77777777" w:rsidR="00076E76" w:rsidRPr="00076E76" w:rsidRDefault="00076E76" w:rsidP="003E07CD">
            <w:pPr>
              <w:rPr>
                <w:rFonts w:ascii="Gill Sans" w:hAnsi="Gill Sans" w:cs="Gill Sans"/>
                <w:szCs w:val="22"/>
              </w:rPr>
            </w:pPr>
          </w:p>
          <w:p w14:paraId="688B1EEC" w14:textId="77777777" w:rsidR="00076E76" w:rsidRPr="00076E76" w:rsidRDefault="00076E76" w:rsidP="003E07CD">
            <w:pPr>
              <w:rPr>
                <w:rFonts w:ascii="Gill Sans" w:hAnsi="Gill Sans" w:cs="Gill Sans"/>
                <w:i/>
                <w:szCs w:val="22"/>
              </w:rPr>
            </w:pPr>
            <w:r w:rsidRPr="00076E76">
              <w:rPr>
                <w:rFonts w:ascii="Gill Sans" w:hAnsi="Gill Sans" w:cs="Gill Sans"/>
                <w:szCs w:val="22"/>
              </w:rPr>
              <w:t xml:space="preserve">Keywords: </w:t>
            </w:r>
            <w:r w:rsidRPr="00076E76">
              <w:rPr>
                <w:rFonts w:ascii="Gill Sans" w:hAnsi="Gill Sans" w:cs="Gill Sans"/>
                <w:i/>
                <w:szCs w:val="22"/>
              </w:rPr>
              <w:t>Higher education, transition, mature students, barriers to learning.</w:t>
            </w:r>
          </w:p>
          <w:p w14:paraId="3C2E3F97" w14:textId="77777777" w:rsidR="00076E76" w:rsidRPr="00076E76" w:rsidRDefault="00076E76" w:rsidP="003E07CD">
            <w:pPr>
              <w:rPr>
                <w:rFonts w:ascii="Gill Sans" w:hAnsi="Gill Sans" w:cs="Gill Sans"/>
                <w:i/>
                <w:szCs w:val="22"/>
              </w:rPr>
            </w:pPr>
          </w:p>
          <w:p w14:paraId="2629EE57" w14:textId="73800CD6" w:rsidR="00076E76" w:rsidRPr="00076E76" w:rsidRDefault="00076E76" w:rsidP="003E07CD">
            <w:pPr>
              <w:rPr>
                <w:rFonts w:ascii="Gill Sans" w:hAnsi="Gill Sans" w:cs="Gill Sans"/>
                <w:szCs w:val="22"/>
              </w:rPr>
            </w:pPr>
            <w:r w:rsidRPr="00076E76">
              <w:rPr>
                <w:rFonts w:ascii="Gill Sans" w:hAnsi="Gill Sans" w:cs="Gill Sans"/>
                <w:szCs w:val="22"/>
              </w:rPr>
              <w:t>SB’s additional keywords: first-in-family, working class, gender</w:t>
            </w:r>
          </w:p>
        </w:tc>
        <w:tc>
          <w:tcPr>
            <w:tcW w:w="10064" w:type="dxa"/>
          </w:tcPr>
          <w:p w14:paraId="26029914" w14:textId="43037426" w:rsidR="00076E76" w:rsidRPr="00076E76" w:rsidRDefault="00076E76" w:rsidP="007068EE">
            <w:pPr>
              <w:rPr>
                <w:rFonts w:ascii="Gill Sans" w:hAnsi="Gill Sans" w:cs="Gill Sans"/>
                <w:color w:val="000000"/>
                <w:szCs w:val="22"/>
                <w:lang w:val="en-AU"/>
              </w:rPr>
            </w:pPr>
            <w:r w:rsidRPr="00076E76">
              <w:rPr>
                <w:rFonts w:ascii="Gill Sans" w:hAnsi="Gill Sans" w:cs="Gill Sans"/>
                <w:b/>
                <w:color w:val="000000"/>
                <w:szCs w:val="22"/>
                <w:lang w:val="en-AU"/>
              </w:rPr>
              <w:lastRenderedPageBreak/>
              <w:t xml:space="preserve">Context: </w:t>
            </w:r>
            <w:r w:rsidRPr="00076E76">
              <w:rPr>
                <w:rFonts w:ascii="Gill Sans" w:hAnsi="Gill Sans" w:cs="Gill Sans"/>
                <w:color w:val="000000"/>
                <w:szCs w:val="22"/>
                <w:lang w:val="en-AU"/>
              </w:rPr>
              <w:t xml:space="preserve">Post-Bologna Process/ Portuguese higher education – one change in law = mature age students (23+ in </w:t>
            </w:r>
            <w:proofErr w:type="spellStart"/>
            <w:r w:rsidRPr="00076E76">
              <w:rPr>
                <w:rFonts w:ascii="Gill Sans" w:hAnsi="Gill Sans" w:cs="Gill Sans"/>
                <w:color w:val="000000"/>
                <w:szCs w:val="22"/>
                <w:lang w:val="en-AU"/>
              </w:rPr>
              <w:t>Portuagal</w:t>
            </w:r>
            <w:proofErr w:type="spellEnd"/>
            <w:r w:rsidRPr="00076E76">
              <w:rPr>
                <w:rFonts w:ascii="Gill Sans" w:hAnsi="Gill Sans" w:cs="Gill Sans"/>
                <w:color w:val="000000"/>
                <w:szCs w:val="22"/>
                <w:lang w:val="en-AU"/>
              </w:rPr>
              <w:t>; 25+ in Spain) = special access (taking account of professional experience and other information). Thus = increased numbers of ‘non-traditional’ students. Within conceptualisations of tradition, authors argue that ‘a traditional biography’ exists and remains the norm. Moreover, globalisation “</w:t>
            </w:r>
            <w:r w:rsidRPr="00076E76">
              <w:rPr>
                <w:rFonts w:ascii="Gill Sans" w:hAnsi="Gill Sans" w:cs="Gill Sans"/>
                <w:color w:val="000000"/>
                <w:szCs w:val="22"/>
              </w:rPr>
              <w:t xml:space="preserve">also contributes to a transition model </w:t>
            </w:r>
            <w:proofErr w:type="spellStart"/>
            <w:r w:rsidRPr="00076E76">
              <w:rPr>
                <w:rFonts w:ascii="Gill Sans" w:hAnsi="Gill Sans" w:cs="Gill Sans"/>
                <w:color w:val="000000"/>
                <w:szCs w:val="22"/>
              </w:rPr>
              <w:t>centring</w:t>
            </w:r>
            <w:proofErr w:type="spellEnd"/>
            <w:r w:rsidRPr="00076E76">
              <w:rPr>
                <w:rFonts w:ascii="Gill Sans" w:hAnsi="Gill Sans" w:cs="Gill Sans"/>
                <w:color w:val="000000"/>
                <w:szCs w:val="22"/>
              </w:rPr>
              <w:t xml:space="preserve"> on reflexivity, a mediating link between structure and agency” </w:t>
            </w:r>
            <w:r w:rsidRPr="00076E76">
              <w:rPr>
                <w:rFonts w:ascii="Gill Sans" w:hAnsi="Gill Sans" w:cs="Gill Sans"/>
                <w:color w:val="000000"/>
                <w:szCs w:val="22"/>
              </w:rPr>
              <w:lastRenderedPageBreak/>
              <w:t>(p.68). Authors cite Ecclestone (2009), who argues that focusing on identity, structure and agency runs the risk of ‘</w:t>
            </w:r>
            <w:proofErr w:type="spellStart"/>
            <w:r w:rsidRPr="00076E76">
              <w:rPr>
                <w:rFonts w:ascii="Gill Sans" w:hAnsi="Gill Sans" w:cs="Gill Sans"/>
                <w:color w:val="000000"/>
                <w:szCs w:val="22"/>
              </w:rPr>
              <w:t>pathologising</w:t>
            </w:r>
            <w:proofErr w:type="spellEnd"/>
            <w:r w:rsidRPr="00076E76">
              <w:rPr>
                <w:rFonts w:ascii="Gill Sans" w:hAnsi="Gill Sans" w:cs="Gill Sans"/>
                <w:color w:val="000000"/>
                <w:szCs w:val="22"/>
              </w:rPr>
              <w:t xml:space="preserve"> transitions’ as risky, disruptive, fraught, as well as reifying ‘the answer’</w:t>
            </w:r>
          </w:p>
          <w:p w14:paraId="11411E59" w14:textId="467EE681" w:rsidR="00076E76" w:rsidRPr="00076E76" w:rsidRDefault="00076E76" w:rsidP="009A5719">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sidRPr="00076E76">
              <w:rPr>
                <w:rFonts w:ascii="Gill Sans" w:hAnsi="Gill Sans" w:cs="Gill Sans"/>
                <w:color w:val="000000"/>
                <w:szCs w:val="22"/>
                <w:lang w:val="en-AU"/>
              </w:rPr>
              <w:t>To “</w:t>
            </w:r>
            <w:r w:rsidRPr="00076E76">
              <w:rPr>
                <w:rFonts w:ascii="Gill Sans" w:hAnsi="Gill Sans" w:cs="Gill Sans"/>
                <w:color w:val="000000"/>
                <w:szCs w:val="22"/>
              </w:rPr>
              <w:t>investigate the special circumstances of non-traditional students in our institutions and to provide recommendations that should improve their academic lives” (p.67). For Quinn (2010), transition is also a condition of our subjectivity (see p.69), making it an everyday phenomenon. Authors scope literature on mature students in HE (p,70-1). Describes Portuguese context on p.71</w:t>
            </w:r>
          </w:p>
          <w:p w14:paraId="4BC36D82" w14:textId="77777777" w:rsidR="00076E76" w:rsidRPr="00076E76" w:rsidRDefault="00076E76" w:rsidP="00056E64">
            <w:pPr>
              <w:rPr>
                <w:rFonts w:ascii="Gill Sans" w:hAnsi="Gill Sans" w:cs="Gill Sans"/>
                <w:color w:val="000000"/>
                <w:szCs w:val="22"/>
              </w:rPr>
            </w:pPr>
            <w:r w:rsidRPr="00076E76">
              <w:rPr>
                <w:rFonts w:ascii="Gill Sans" w:hAnsi="Gill Sans" w:cs="Gill Sans"/>
                <w:b/>
                <w:color w:val="000000"/>
                <w:szCs w:val="22"/>
                <w:lang w:val="en-AU"/>
              </w:rPr>
              <w:t xml:space="preserve">Theoretical frame: </w:t>
            </w:r>
            <w:proofErr w:type="spellStart"/>
            <w:r w:rsidRPr="00076E76">
              <w:rPr>
                <w:rFonts w:ascii="Gill Sans" w:hAnsi="Gill Sans" w:cs="Gill Sans"/>
                <w:color w:val="000000"/>
                <w:szCs w:val="22"/>
              </w:rPr>
              <w:t>Alheit’s</w:t>
            </w:r>
            <w:proofErr w:type="spellEnd"/>
            <w:r w:rsidRPr="00076E76">
              <w:rPr>
                <w:rFonts w:ascii="Gill Sans" w:hAnsi="Gill Sans" w:cs="Gill Sans"/>
                <w:color w:val="000000"/>
                <w:szCs w:val="22"/>
              </w:rPr>
              <w:t xml:space="preserve"> (1995) vision of biographical learning and </w:t>
            </w:r>
            <w:proofErr w:type="spellStart"/>
            <w:r w:rsidRPr="00076E76">
              <w:rPr>
                <w:rFonts w:ascii="Gill Sans" w:hAnsi="Gill Sans" w:cs="Gill Sans"/>
                <w:color w:val="000000"/>
                <w:szCs w:val="22"/>
              </w:rPr>
              <w:t>biographicity</w:t>
            </w:r>
            <w:proofErr w:type="spellEnd"/>
            <w:r w:rsidRPr="00076E76">
              <w:rPr>
                <w:rFonts w:ascii="Gill Sans" w:hAnsi="Gill Sans" w:cs="Gill Sans"/>
                <w:color w:val="000000"/>
                <w:szCs w:val="22"/>
              </w:rPr>
              <w:t>: “</w:t>
            </w:r>
            <w:proofErr w:type="spellStart"/>
            <w:r w:rsidRPr="00076E76">
              <w:rPr>
                <w:rFonts w:ascii="Gill Sans" w:hAnsi="Gill Sans" w:cs="Gill Sans"/>
                <w:color w:val="000000"/>
                <w:szCs w:val="22"/>
              </w:rPr>
              <w:t>Biographicity</w:t>
            </w:r>
            <w:proofErr w:type="spellEnd"/>
            <w:r w:rsidRPr="00076E76">
              <w:rPr>
                <w:rFonts w:ascii="Gill Sans" w:hAnsi="Gill Sans" w:cs="Gill Sans"/>
                <w:color w:val="000000"/>
                <w:szCs w:val="22"/>
              </w:rPr>
              <w:t xml:space="preserve"> means that</w:t>
            </w:r>
          </w:p>
          <w:p w14:paraId="0A35F1FC" w14:textId="52123DC2" w:rsidR="00076E76" w:rsidRPr="00076E76" w:rsidRDefault="00076E76" w:rsidP="00056E64">
            <w:pPr>
              <w:rPr>
                <w:rFonts w:ascii="Gill Sans" w:hAnsi="Gill Sans" w:cs="Gill Sans"/>
                <w:color w:val="000000"/>
                <w:szCs w:val="22"/>
                <w:lang w:val="en-AU"/>
              </w:rPr>
            </w:pPr>
            <w:r w:rsidRPr="00076E76">
              <w:rPr>
                <w:rFonts w:ascii="Gill Sans" w:hAnsi="Gill Sans" w:cs="Gill Sans"/>
                <w:color w:val="000000"/>
                <w:szCs w:val="22"/>
              </w:rPr>
              <w:t>we can redesign the contours of life within specific familiar contexts and that we experience these contexts as malleable” (p.69). Draws on deep/surface approaches to learning in analysis.</w:t>
            </w:r>
          </w:p>
          <w:p w14:paraId="5291061F" w14:textId="69D8AED4" w:rsidR="00076E76" w:rsidRPr="00076E76" w:rsidRDefault="00076E76" w:rsidP="003E07C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Survey (n=334; 60%m + 40%f; majority 46%=25-34 yo)/ focus groups/ life history and biographical interviews with students and staff (n=130 in total) across two universities in Portugal</w:t>
            </w:r>
          </w:p>
          <w:p w14:paraId="1A9E6E65" w14:textId="77777777" w:rsidR="00076E76" w:rsidRPr="00076E76" w:rsidRDefault="00076E76" w:rsidP="003E07CD">
            <w:pPr>
              <w:rPr>
                <w:rFonts w:ascii="Gill Sans" w:hAnsi="Gill Sans" w:cs="Gill Sans"/>
                <w:b/>
                <w:color w:val="000000"/>
                <w:szCs w:val="22"/>
                <w:lang w:val="en-AU"/>
              </w:rPr>
            </w:pPr>
            <w:r w:rsidRPr="00076E76">
              <w:rPr>
                <w:rFonts w:ascii="Gill Sans" w:hAnsi="Gill Sans" w:cs="Gill Sans"/>
                <w:b/>
                <w:color w:val="000000"/>
                <w:szCs w:val="22"/>
                <w:lang w:val="en-AU"/>
              </w:rPr>
              <w:t xml:space="preserve">Findings: </w:t>
            </w:r>
          </w:p>
          <w:p w14:paraId="2B8B15C3" w14:textId="6F51BBE5" w:rsidR="00076E76" w:rsidRPr="00076E76" w:rsidRDefault="00076E76" w:rsidP="00CB6B2A">
            <w:pPr>
              <w:rPr>
                <w:rFonts w:ascii="Gill Sans" w:hAnsi="Gill Sans" w:cs="Gill Sans"/>
                <w:color w:val="000000"/>
                <w:szCs w:val="22"/>
              </w:rPr>
            </w:pPr>
            <w:r w:rsidRPr="00076E76">
              <w:rPr>
                <w:rFonts w:ascii="Gill Sans" w:hAnsi="Gill Sans" w:cs="Gill Sans"/>
                <w:color w:val="000000"/>
                <w:szCs w:val="22"/>
                <w:lang w:val="en-AU"/>
              </w:rPr>
              <w:t>Decision to go to university = “</w:t>
            </w:r>
            <w:r w:rsidRPr="00076E76">
              <w:rPr>
                <w:rFonts w:ascii="Gill Sans" w:hAnsi="Gill Sans" w:cs="Gill Sans"/>
                <w:color w:val="000000"/>
                <w:szCs w:val="22"/>
              </w:rPr>
              <w:t>a careful and rational decision taking into a count the family circumstances” (p.72) in the main. Gender = significant: “Usually it is the woman who waits until the ‘right’ conditions are achieved, although we have also cases of men in this situation” (p.72).</w:t>
            </w:r>
          </w:p>
          <w:p w14:paraId="2232DFC1" w14:textId="074044A2" w:rsidR="00076E76" w:rsidRPr="00076E76" w:rsidRDefault="00076E76" w:rsidP="00F13577">
            <w:pPr>
              <w:pStyle w:val="ListParagraph"/>
              <w:numPr>
                <w:ilvl w:val="0"/>
                <w:numId w:val="20"/>
              </w:numPr>
              <w:rPr>
                <w:rFonts w:ascii="Gill Sans" w:hAnsi="Gill Sans" w:cs="Gill Sans"/>
                <w:color w:val="000000"/>
                <w:szCs w:val="22"/>
              </w:rPr>
            </w:pPr>
            <w:r w:rsidRPr="00076E76">
              <w:rPr>
                <w:rFonts w:ascii="Gill Sans" w:hAnsi="Gill Sans" w:cs="Gill Sans"/>
                <w:i/>
                <w:color w:val="000000"/>
                <w:szCs w:val="22"/>
              </w:rPr>
              <w:t>Barrier 1: time management</w:t>
            </w:r>
            <w:r w:rsidRPr="00076E76">
              <w:rPr>
                <w:rFonts w:ascii="Gill Sans" w:hAnsi="Gill Sans" w:cs="Gill Sans"/>
                <w:color w:val="000000"/>
                <w:szCs w:val="22"/>
              </w:rPr>
              <w:t>= balancing studies and life outside of university (family/ work) = meaning less time for study [compared to??]: “only 32 per cent committed to more than four hours per week, 14 per cent dedicated 3–4 hours, 19 per cent dedicated 2–3 hours, 19 per cent dedicated 1–2 hours and 16 per cent less than 1 hour” (p.73). Challenges resulting from time management = intensify according to distance to travel and children at home. Students = ‘frustrated participants’ in HE (see Bowl, 2001)</w:t>
            </w:r>
          </w:p>
          <w:p w14:paraId="63DC6A34" w14:textId="092DA389" w:rsidR="00076E76" w:rsidRPr="00076E76" w:rsidRDefault="00076E76" w:rsidP="00F13577">
            <w:pPr>
              <w:pStyle w:val="ListParagraph"/>
              <w:numPr>
                <w:ilvl w:val="0"/>
                <w:numId w:val="20"/>
              </w:numPr>
              <w:rPr>
                <w:rFonts w:ascii="Gill Sans" w:hAnsi="Gill Sans" w:cs="Gill Sans"/>
                <w:color w:val="000000"/>
                <w:szCs w:val="22"/>
              </w:rPr>
            </w:pPr>
            <w:r w:rsidRPr="00076E76">
              <w:rPr>
                <w:rFonts w:ascii="Gill Sans" w:hAnsi="Gill Sans" w:cs="Gill Sans"/>
                <w:i/>
                <w:color w:val="000000"/>
                <w:szCs w:val="22"/>
              </w:rPr>
              <w:t>Barrier 2: lack of self-confidence and preparedness</w:t>
            </w:r>
            <w:r w:rsidRPr="00076E76">
              <w:rPr>
                <w:rFonts w:ascii="Gill Sans" w:hAnsi="Gill Sans" w:cs="Gill Sans"/>
                <w:color w:val="000000"/>
                <w:szCs w:val="22"/>
              </w:rPr>
              <w:t xml:space="preserve"> (in Portugal mature students can apply whether they have completed high school or not): “Our data shows that only 46 per cent of mature students completed secondary education, 15 per cent did not complete the 12</w:t>
            </w:r>
            <w:r w:rsidRPr="00076E76">
              <w:rPr>
                <w:rFonts w:ascii="Gill Sans" w:hAnsi="Gill Sans" w:cs="Gill Sans"/>
                <w:color w:val="000000"/>
                <w:szCs w:val="22"/>
                <w:vertAlign w:val="superscript"/>
              </w:rPr>
              <w:t>th</w:t>
            </w:r>
            <w:r w:rsidRPr="00076E76">
              <w:rPr>
                <w:rFonts w:ascii="Gill Sans" w:hAnsi="Gill Sans" w:cs="Gill Sans"/>
                <w:color w:val="000000"/>
                <w:szCs w:val="22"/>
              </w:rPr>
              <w:t xml:space="preserve"> grade, 24 per cent did not reach the 12th grade, 14 per cent completed the 9</w:t>
            </w:r>
            <w:r w:rsidRPr="00076E76">
              <w:rPr>
                <w:rFonts w:ascii="Gill Sans" w:hAnsi="Gill Sans" w:cs="Gill Sans"/>
                <w:color w:val="000000"/>
                <w:szCs w:val="22"/>
                <w:vertAlign w:val="superscript"/>
              </w:rPr>
              <w:t>th</w:t>
            </w:r>
            <w:r w:rsidRPr="00076E76">
              <w:rPr>
                <w:rFonts w:ascii="Gill Sans" w:hAnsi="Gill Sans" w:cs="Gill Sans"/>
                <w:color w:val="000000"/>
                <w:szCs w:val="22"/>
              </w:rPr>
              <w:t xml:space="preserve"> grade but made no further, and one per cent did not reach the 9th grade” (p.73). 70% of participants reported they did not understand the content of their courses. Time away from formal education also presents barrier/ challenge to confidence levels. Authors argue the 70% figure must be understood as a failure of the system, not a failure of the individual.</w:t>
            </w:r>
          </w:p>
          <w:p w14:paraId="7100FEB3" w14:textId="77777777" w:rsidR="00076E76" w:rsidRPr="00076E76" w:rsidRDefault="00076E76" w:rsidP="008B5B39">
            <w:pPr>
              <w:pStyle w:val="ListParagraph"/>
              <w:numPr>
                <w:ilvl w:val="0"/>
                <w:numId w:val="20"/>
              </w:numPr>
              <w:rPr>
                <w:rFonts w:ascii="Gill Sans" w:hAnsi="Gill Sans" w:cs="Gill Sans"/>
                <w:color w:val="000000"/>
                <w:szCs w:val="22"/>
              </w:rPr>
            </w:pPr>
            <w:r w:rsidRPr="00076E76">
              <w:rPr>
                <w:rFonts w:ascii="Gill Sans" w:hAnsi="Gill Sans" w:cs="Gill Sans"/>
                <w:i/>
                <w:color w:val="000000"/>
                <w:szCs w:val="22"/>
              </w:rPr>
              <w:t>Barrier 3: guilt and ‘double transitions’</w:t>
            </w:r>
            <w:r w:rsidRPr="00076E76">
              <w:rPr>
                <w:rFonts w:ascii="Gill Sans" w:hAnsi="Gill Sans" w:cs="Gill Sans"/>
                <w:color w:val="000000"/>
                <w:szCs w:val="22"/>
              </w:rPr>
              <w:t xml:space="preserve"> = while mature student experiences transitions, their children are experiencing their own transitions: “This transitional time requires more support from parents, thus </w:t>
            </w:r>
            <w:r w:rsidRPr="00076E76">
              <w:rPr>
                <w:rFonts w:ascii="Gill Sans" w:hAnsi="Gill Sans" w:cs="Gill Sans"/>
                <w:color w:val="000000"/>
                <w:szCs w:val="22"/>
              </w:rPr>
              <w:lastRenderedPageBreak/>
              <w:t>feelings of guilt, despair and some family disorientation are always present in such cases, more often stressed by mothers than fathers during the focus group interviews” (p.74)</w:t>
            </w:r>
          </w:p>
          <w:p w14:paraId="1CF1145F" w14:textId="77777777" w:rsidR="00076E76" w:rsidRPr="00076E76" w:rsidRDefault="00076E76" w:rsidP="00E76AD3">
            <w:pPr>
              <w:pStyle w:val="ListParagraph"/>
              <w:numPr>
                <w:ilvl w:val="0"/>
                <w:numId w:val="20"/>
              </w:numPr>
              <w:rPr>
                <w:rFonts w:ascii="Gill Sans" w:hAnsi="Gill Sans" w:cs="Gill Sans"/>
                <w:color w:val="000000"/>
                <w:szCs w:val="22"/>
              </w:rPr>
            </w:pPr>
            <w:r w:rsidRPr="00076E76">
              <w:rPr>
                <w:rFonts w:ascii="Gill Sans" w:hAnsi="Gill Sans" w:cs="Gill Sans"/>
                <w:color w:val="000000"/>
                <w:szCs w:val="22"/>
              </w:rPr>
              <w:t>Barrier 4: pedagogy and feedback, which was generally perceived as “unclear, deceptive and not contributing to their learning processes” (p.75).</w:t>
            </w:r>
          </w:p>
          <w:p w14:paraId="504D5D66" w14:textId="77777777" w:rsidR="00076E76" w:rsidRPr="00076E76" w:rsidRDefault="00076E76" w:rsidP="00E76AD3">
            <w:pPr>
              <w:pStyle w:val="ListParagraph"/>
              <w:numPr>
                <w:ilvl w:val="0"/>
                <w:numId w:val="20"/>
              </w:numPr>
              <w:rPr>
                <w:rFonts w:ascii="Gill Sans" w:hAnsi="Gill Sans" w:cs="Gill Sans"/>
                <w:color w:val="000000"/>
                <w:szCs w:val="22"/>
              </w:rPr>
            </w:pPr>
            <w:r w:rsidRPr="00076E76">
              <w:rPr>
                <w:rFonts w:ascii="Gill Sans" w:hAnsi="Gill Sans" w:cs="Gill Sans"/>
                <w:i/>
                <w:color w:val="000000"/>
                <w:szCs w:val="22"/>
              </w:rPr>
              <w:t>Factors that did not impact on transitions</w:t>
            </w:r>
            <w:r w:rsidRPr="00076E76">
              <w:rPr>
                <w:rFonts w:ascii="Gill Sans" w:hAnsi="Gill Sans" w:cs="Gill Sans"/>
                <w:color w:val="000000"/>
                <w:szCs w:val="22"/>
              </w:rPr>
              <w:t xml:space="preserve"> = discipline/ choice of degree, lack of motivation, lack of access to material resources and equipment.</w:t>
            </w:r>
          </w:p>
          <w:p w14:paraId="0A35D9BC" w14:textId="77777777" w:rsidR="00076E76" w:rsidRPr="00076E76" w:rsidRDefault="00076E76" w:rsidP="00E516BD">
            <w:pPr>
              <w:pStyle w:val="ListParagraph"/>
              <w:numPr>
                <w:ilvl w:val="0"/>
                <w:numId w:val="20"/>
              </w:numPr>
              <w:rPr>
                <w:rFonts w:ascii="Gill Sans" w:hAnsi="Gill Sans" w:cs="Gill Sans"/>
                <w:color w:val="000000"/>
                <w:szCs w:val="22"/>
                <w:lang w:val="en-AU"/>
              </w:rPr>
            </w:pPr>
            <w:r w:rsidRPr="00076E76">
              <w:rPr>
                <w:rFonts w:ascii="Gill Sans" w:hAnsi="Gill Sans" w:cs="Gill Sans"/>
                <w:i/>
                <w:color w:val="000000"/>
                <w:szCs w:val="22"/>
              </w:rPr>
              <w:t>Factors that facilitate/ enable transition</w:t>
            </w:r>
            <w:r w:rsidRPr="00076E76">
              <w:rPr>
                <w:rFonts w:ascii="Gill Sans" w:hAnsi="Gill Sans" w:cs="Gill Sans"/>
                <w:color w:val="000000"/>
                <w:szCs w:val="22"/>
              </w:rPr>
              <w:t xml:space="preserve"> = relationships with other students (particularly inter-age groups); online platforms (Moodle) and social networking (Facebook)</w:t>
            </w:r>
          </w:p>
          <w:p w14:paraId="502BA7A4" w14:textId="4A47805F" w:rsidR="00076E76" w:rsidRPr="00076E76" w:rsidRDefault="00076E76" w:rsidP="007A6776">
            <w:pPr>
              <w:rPr>
                <w:rFonts w:ascii="Gill Sans" w:hAnsi="Gill Sans" w:cs="Gill Sans"/>
                <w:color w:val="000000"/>
                <w:szCs w:val="22"/>
              </w:rPr>
            </w:pPr>
            <w:r w:rsidRPr="00076E76">
              <w:rPr>
                <w:rFonts w:ascii="Gill Sans" w:hAnsi="Gill Sans" w:cs="Gill Sans"/>
                <w:b/>
                <w:color w:val="000000"/>
                <w:szCs w:val="22"/>
                <w:lang w:val="en-AU"/>
              </w:rPr>
              <w:t xml:space="preserve">Core argument: </w:t>
            </w:r>
            <w:r w:rsidRPr="00076E76">
              <w:rPr>
                <w:rFonts w:ascii="Gill Sans" w:hAnsi="Gill Sans" w:cs="Gill Sans"/>
                <w:color w:val="000000"/>
                <w:szCs w:val="22"/>
                <w:lang w:val="en-AU"/>
              </w:rPr>
              <w:t>We need to challenge traditional views of transition (see Quinn, 2010): “</w:t>
            </w:r>
            <w:r w:rsidRPr="00076E76">
              <w:rPr>
                <w:rFonts w:ascii="Gill Sans" w:hAnsi="Gill Sans" w:cs="Gill Sans"/>
                <w:color w:val="000000"/>
                <w:szCs w:val="22"/>
              </w:rPr>
              <w:t>We should look for the factors that influence transition away from well-defined linear events in time and space, and also</w:t>
            </w:r>
          </w:p>
          <w:p w14:paraId="31A959AC" w14:textId="6BD6139D" w:rsidR="00076E76" w:rsidRPr="00076E76" w:rsidRDefault="00076E76" w:rsidP="007A6776">
            <w:pPr>
              <w:rPr>
                <w:rFonts w:ascii="Gill Sans" w:hAnsi="Gill Sans" w:cs="Gill Sans"/>
                <w:color w:val="000000"/>
                <w:szCs w:val="22"/>
                <w:lang w:val="en-AU"/>
              </w:rPr>
            </w:pPr>
            <w:r w:rsidRPr="00076E76">
              <w:rPr>
                <w:rFonts w:ascii="Gill Sans" w:hAnsi="Gill Sans" w:cs="Gill Sans"/>
                <w:color w:val="000000"/>
                <w:szCs w:val="22"/>
              </w:rPr>
              <w:t>to consider that positive effects can arise from overcoming difficulties” (p.79)</w:t>
            </w:r>
            <w:r w:rsidRPr="00076E76">
              <w:rPr>
                <w:rFonts w:ascii="Gill Sans" w:hAnsi="Gill Sans" w:cs="Gill Sans"/>
                <w:color w:val="000000"/>
                <w:szCs w:val="22"/>
                <w:lang w:val="en-AU"/>
              </w:rPr>
              <w:t>. Impacts of transition flow to family</w:t>
            </w:r>
          </w:p>
        </w:tc>
      </w:tr>
      <w:tr w:rsidR="00076E76" w:rsidRPr="00076E76" w14:paraId="2161F66F" w14:textId="77777777" w:rsidTr="00B56D5B">
        <w:tc>
          <w:tcPr>
            <w:tcW w:w="5529" w:type="dxa"/>
            <w:shd w:val="clear" w:color="auto" w:fill="auto"/>
          </w:tcPr>
          <w:p w14:paraId="2399EED0" w14:textId="0FD33AC1" w:rsidR="00076E76" w:rsidRDefault="00076E76" w:rsidP="00F7728D">
            <w:pPr>
              <w:rPr>
                <w:rFonts w:ascii="Gill Sans" w:hAnsi="Gill Sans" w:cs="Gill Sans"/>
                <w:i/>
                <w:szCs w:val="22"/>
              </w:rPr>
            </w:pPr>
            <w:r w:rsidRPr="005D5076">
              <w:rPr>
                <w:rFonts w:ascii="Gill Sans" w:hAnsi="Gill Sans" w:cs="Gill Sans"/>
                <w:szCs w:val="22"/>
              </w:rPr>
              <w:lastRenderedPageBreak/>
              <w:t>Furlong, A</w:t>
            </w:r>
            <w:r w:rsidR="005D5076">
              <w:rPr>
                <w:rFonts w:ascii="Gill Sans" w:hAnsi="Gill Sans" w:cs="Gill Sans"/>
                <w:szCs w:val="22"/>
              </w:rPr>
              <w:t>;</w:t>
            </w:r>
            <w:r w:rsidRPr="005D5076">
              <w:rPr>
                <w:rFonts w:ascii="Gill Sans" w:hAnsi="Gill Sans" w:cs="Gill Sans"/>
                <w:szCs w:val="22"/>
              </w:rPr>
              <w:t xml:space="preserve"> </w:t>
            </w:r>
            <w:proofErr w:type="spellStart"/>
            <w:r w:rsidRPr="005D5076">
              <w:rPr>
                <w:rFonts w:ascii="Gill Sans" w:hAnsi="Gill Sans" w:cs="Gill Sans"/>
                <w:szCs w:val="22"/>
              </w:rPr>
              <w:t>Cartmel</w:t>
            </w:r>
            <w:proofErr w:type="spellEnd"/>
            <w:r w:rsidRPr="005D5076">
              <w:rPr>
                <w:rFonts w:ascii="Gill Sans" w:hAnsi="Gill Sans" w:cs="Gill Sans"/>
                <w:szCs w:val="22"/>
              </w:rPr>
              <w:t>,</w:t>
            </w:r>
            <w:r w:rsidR="005D5076">
              <w:rPr>
                <w:rFonts w:ascii="Gill Sans" w:hAnsi="Gill Sans" w:cs="Gill Sans"/>
                <w:szCs w:val="22"/>
              </w:rPr>
              <w:t xml:space="preserve"> </w:t>
            </w:r>
            <w:r w:rsidR="001B0E6F">
              <w:rPr>
                <w:rFonts w:ascii="Gill Sans" w:hAnsi="Gill Sans" w:cs="Gill Sans"/>
                <w:szCs w:val="22"/>
              </w:rPr>
              <w:t>F</w:t>
            </w:r>
            <w:r w:rsidR="005D5076">
              <w:rPr>
                <w:rFonts w:ascii="Gill Sans" w:hAnsi="Gill Sans" w:cs="Gill Sans"/>
                <w:szCs w:val="22"/>
              </w:rPr>
              <w:t xml:space="preserve">. &amp; </w:t>
            </w:r>
            <w:proofErr w:type="spellStart"/>
            <w:r w:rsidR="005D5076">
              <w:rPr>
                <w:rFonts w:ascii="Gill Sans" w:hAnsi="Gill Sans" w:cs="Gill Sans"/>
                <w:szCs w:val="22"/>
              </w:rPr>
              <w:t>Biggart</w:t>
            </w:r>
            <w:proofErr w:type="spellEnd"/>
            <w:r w:rsidR="005D5076">
              <w:rPr>
                <w:rFonts w:ascii="Gill Sans" w:hAnsi="Gill Sans" w:cs="Gill Sans"/>
                <w:szCs w:val="22"/>
              </w:rPr>
              <w:t>, A.</w:t>
            </w:r>
            <w:r w:rsidRPr="005D5076">
              <w:rPr>
                <w:rFonts w:ascii="Gill Sans" w:hAnsi="Gill Sans" w:cs="Gill Sans"/>
                <w:szCs w:val="22"/>
              </w:rPr>
              <w:t xml:space="preserve"> </w:t>
            </w:r>
            <w:r w:rsidR="005D5076">
              <w:rPr>
                <w:rFonts w:ascii="Gill Sans" w:hAnsi="Gill Sans" w:cs="Gill Sans"/>
                <w:szCs w:val="22"/>
              </w:rPr>
              <w:t>(</w:t>
            </w:r>
            <w:r w:rsidRPr="005D5076">
              <w:rPr>
                <w:rFonts w:ascii="Gill Sans" w:hAnsi="Gill Sans" w:cs="Gill Sans"/>
                <w:szCs w:val="22"/>
              </w:rPr>
              <w:t>2006</w:t>
            </w:r>
            <w:r w:rsidR="005D5076">
              <w:rPr>
                <w:rFonts w:ascii="Gill Sans" w:hAnsi="Gill Sans" w:cs="Gill Sans"/>
                <w:szCs w:val="22"/>
              </w:rPr>
              <w:t>)</w:t>
            </w:r>
            <w:r w:rsidRPr="005D5076">
              <w:rPr>
                <w:rFonts w:ascii="Gill Sans" w:hAnsi="Gill Sans" w:cs="Gill Sans"/>
                <w:szCs w:val="22"/>
              </w:rPr>
              <w:t>.</w:t>
            </w:r>
            <w:hyperlink r:id="rId58" w:history="1">
              <w:r w:rsidRPr="005D5076">
                <w:rPr>
                  <w:rStyle w:val="Hyperlink"/>
                  <w:rFonts w:ascii="Gill Sans" w:hAnsi="Gill Sans" w:cs="Gill Sans"/>
                  <w:szCs w:val="22"/>
                </w:rPr>
                <w:t xml:space="preserve"> Choice biographies and transitional linearity: Re-</w:t>
              </w:r>
              <w:proofErr w:type="spellStart"/>
              <w:r w:rsidRPr="005D5076">
                <w:rPr>
                  <w:rStyle w:val="Hyperlink"/>
                  <w:rFonts w:ascii="Gill Sans" w:hAnsi="Gill Sans" w:cs="Gill Sans"/>
                  <w:szCs w:val="22"/>
                </w:rPr>
                <w:t>conceptualising</w:t>
              </w:r>
              <w:proofErr w:type="spellEnd"/>
              <w:r w:rsidRPr="005D5076">
                <w:rPr>
                  <w:rStyle w:val="Hyperlink"/>
                  <w:rFonts w:ascii="Gill Sans" w:hAnsi="Gill Sans" w:cs="Gill Sans"/>
                  <w:szCs w:val="22"/>
                </w:rPr>
                <w:t xml:space="preserve"> modern youth transitions</w:t>
              </w:r>
            </w:hyperlink>
            <w:r w:rsidR="00F7728D" w:rsidRPr="005D5076">
              <w:rPr>
                <w:rFonts w:ascii="Gill Sans" w:hAnsi="Gill Sans" w:cs="Gill Sans"/>
                <w:szCs w:val="22"/>
              </w:rPr>
              <w:t>,</w:t>
            </w:r>
            <w:r w:rsidRPr="005D5076">
              <w:rPr>
                <w:rFonts w:ascii="Gill Sans" w:hAnsi="Gill Sans" w:cs="Gill Sans"/>
                <w:szCs w:val="22"/>
              </w:rPr>
              <w:t xml:space="preserve"> </w:t>
            </w:r>
            <w:r w:rsidRPr="005D5076">
              <w:rPr>
                <w:rFonts w:ascii="Gill Sans" w:hAnsi="Gill Sans" w:cs="Gill Sans"/>
                <w:i/>
                <w:szCs w:val="22"/>
              </w:rPr>
              <w:t>Papers</w:t>
            </w:r>
            <w:r w:rsidR="00F7728D" w:rsidRPr="005D5076">
              <w:rPr>
                <w:rFonts w:ascii="Gill Sans" w:hAnsi="Gill Sans" w:cs="Gill Sans"/>
                <w:i/>
                <w:szCs w:val="22"/>
              </w:rPr>
              <w:t xml:space="preserve">: </w:t>
            </w:r>
            <w:proofErr w:type="spellStart"/>
            <w:r w:rsidR="00F7728D" w:rsidRPr="005D5076">
              <w:rPr>
                <w:rFonts w:ascii="Gill Sans" w:hAnsi="Gill Sans" w:cs="Gill Sans"/>
                <w:i/>
                <w:szCs w:val="22"/>
              </w:rPr>
              <w:t>Revista</w:t>
            </w:r>
            <w:proofErr w:type="spellEnd"/>
            <w:r w:rsidR="00F7728D" w:rsidRPr="005D5076">
              <w:rPr>
                <w:rFonts w:ascii="Gill Sans" w:hAnsi="Gill Sans" w:cs="Gill Sans"/>
                <w:i/>
                <w:szCs w:val="22"/>
              </w:rPr>
              <w:t xml:space="preserve"> de </w:t>
            </w:r>
            <w:proofErr w:type="spellStart"/>
            <w:r w:rsidR="00F7728D" w:rsidRPr="005D5076">
              <w:rPr>
                <w:rFonts w:ascii="Gill Sans" w:hAnsi="Gill Sans" w:cs="Gill Sans"/>
                <w:i/>
                <w:szCs w:val="22"/>
              </w:rPr>
              <w:t>Sociologia</w:t>
            </w:r>
            <w:proofErr w:type="spellEnd"/>
            <w:r w:rsidR="00F7728D" w:rsidRPr="005D5076">
              <w:rPr>
                <w:rFonts w:ascii="Gill Sans" w:hAnsi="Gill Sans" w:cs="Gill Sans"/>
                <w:i/>
                <w:szCs w:val="22"/>
              </w:rPr>
              <w:t xml:space="preserve">, </w:t>
            </w:r>
            <w:r w:rsidR="00F7728D" w:rsidRPr="00C0326A">
              <w:rPr>
                <w:rFonts w:ascii="Gill Sans" w:hAnsi="Gill Sans" w:cs="Gill Sans"/>
                <w:szCs w:val="22"/>
              </w:rPr>
              <w:t>79</w:t>
            </w:r>
            <w:r w:rsidR="00F7728D" w:rsidRPr="005D5076">
              <w:rPr>
                <w:rFonts w:ascii="Gill Sans" w:hAnsi="Gill Sans" w:cs="Gill Sans"/>
                <w:i/>
                <w:szCs w:val="22"/>
              </w:rPr>
              <w:t xml:space="preserve">, </w:t>
            </w:r>
            <w:r w:rsidR="00F7728D" w:rsidRPr="005D5076">
              <w:rPr>
                <w:rFonts w:ascii="Gill Sans" w:hAnsi="Gill Sans" w:cs="Gill Sans"/>
                <w:szCs w:val="22"/>
              </w:rPr>
              <w:t>225–2</w:t>
            </w:r>
            <w:r w:rsidRPr="005D5076">
              <w:rPr>
                <w:rFonts w:ascii="Gill Sans" w:hAnsi="Gill Sans" w:cs="Gill Sans"/>
                <w:szCs w:val="22"/>
              </w:rPr>
              <w:t>39.</w:t>
            </w:r>
          </w:p>
          <w:p w14:paraId="636B72C8" w14:textId="77777777" w:rsidR="005D5076" w:rsidRDefault="005D5076" w:rsidP="00F7728D">
            <w:pPr>
              <w:rPr>
                <w:rFonts w:ascii="Gill Sans" w:hAnsi="Gill Sans" w:cs="Gill Sans"/>
                <w:i/>
                <w:szCs w:val="22"/>
              </w:rPr>
            </w:pPr>
          </w:p>
          <w:p w14:paraId="4A8AEA51" w14:textId="1DDFF241" w:rsidR="005D5076" w:rsidRDefault="00C31BFC" w:rsidP="00F7728D">
            <w:pPr>
              <w:rPr>
                <w:rFonts w:ascii="Gill Sans" w:hAnsi="Gill Sans" w:cs="Gill Sans"/>
                <w:szCs w:val="22"/>
              </w:rPr>
            </w:pPr>
            <w:r>
              <w:rPr>
                <w:rFonts w:ascii="Gill Sans" w:hAnsi="Gill Sans" w:cs="Gill Sans"/>
                <w:szCs w:val="22"/>
              </w:rPr>
              <w:t>SCO</w:t>
            </w:r>
          </w:p>
          <w:p w14:paraId="52874DF5" w14:textId="77777777" w:rsidR="00B56D5B" w:rsidRPr="00076E76" w:rsidRDefault="00B56D5B" w:rsidP="00B56D5B">
            <w:pPr>
              <w:rPr>
                <w:rFonts w:ascii="Gill Sans" w:hAnsi="Gill Sans" w:cs="Gill Sans"/>
                <w:szCs w:val="22"/>
              </w:rPr>
            </w:pPr>
            <w:r w:rsidRPr="00076E76">
              <w:rPr>
                <w:rFonts w:ascii="Gill Sans" w:hAnsi="Gill Sans" w:cs="Gill Sans"/>
                <w:szCs w:val="22"/>
              </w:rPr>
              <w:t>Annotation by Sally Baker</w:t>
            </w:r>
          </w:p>
          <w:p w14:paraId="4E4C154B" w14:textId="77777777" w:rsidR="005D5076" w:rsidRDefault="005D5076" w:rsidP="00F7728D">
            <w:pPr>
              <w:rPr>
                <w:rFonts w:ascii="Gill Sans" w:hAnsi="Gill Sans" w:cs="Gill Sans"/>
                <w:szCs w:val="22"/>
              </w:rPr>
            </w:pPr>
          </w:p>
          <w:p w14:paraId="61029239" w14:textId="0F0C643E" w:rsidR="005D5076" w:rsidRPr="005D5076" w:rsidRDefault="005D5076" w:rsidP="00F7728D">
            <w:pPr>
              <w:rPr>
                <w:rFonts w:ascii="Gill Sans" w:hAnsi="Gill Sans" w:cs="Gill Sans"/>
                <w:szCs w:val="22"/>
              </w:rPr>
            </w:pPr>
            <w:r>
              <w:rPr>
                <w:rFonts w:ascii="Gill Sans" w:hAnsi="Gill Sans" w:cs="Gill Sans"/>
                <w:szCs w:val="22"/>
              </w:rPr>
              <w:t xml:space="preserve">Keywords: </w:t>
            </w:r>
            <w:r w:rsidRPr="005D5076">
              <w:rPr>
                <w:rFonts w:ascii="Gill Sans" w:hAnsi="Gill Sans" w:cs="Gill Sans"/>
                <w:i/>
                <w:szCs w:val="22"/>
              </w:rPr>
              <w:t>youth transitions</w:t>
            </w:r>
            <w:r w:rsidR="00DC219B">
              <w:rPr>
                <w:rFonts w:ascii="Gill Sans" w:hAnsi="Gill Sans" w:cs="Gill Sans"/>
                <w:i/>
                <w:szCs w:val="22"/>
              </w:rPr>
              <w:t>;</w:t>
            </w:r>
            <w:r w:rsidRPr="005D5076">
              <w:rPr>
                <w:rFonts w:ascii="Gill Sans" w:hAnsi="Gill Sans" w:cs="Gill Sans"/>
                <w:i/>
                <w:szCs w:val="22"/>
              </w:rPr>
              <w:t xml:space="preserve"> choice biographies</w:t>
            </w:r>
            <w:r w:rsidR="00DC219B">
              <w:rPr>
                <w:rFonts w:ascii="Gill Sans" w:hAnsi="Gill Sans" w:cs="Gill Sans"/>
                <w:i/>
                <w:szCs w:val="22"/>
              </w:rPr>
              <w:t>;</w:t>
            </w:r>
            <w:r w:rsidRPr="005D5076">
              <w:rPr>
                <w:rFonts w:ascii="Gill Sans" w:hAnsi="Gill Sans" w:cs="Gill Sans"/>
                <w:i/>
                <w:szCs w:val="22"/>
              </w:rPr>
              <w:t xml:space="preserve"> youth employment</w:t>
            </w:r>
            <w:r w:rsidR="00DC219B">
              <w:rPr>
                <w:rFonts w:ascii="Gill Sans" w:hAnsi="Gill Sans" w:cs="Gill Sans"/>
                <w:i/>
                <w:szCs w:val="22"/>
              </w:rPr>
              <w:t xml:space="preserve">; </w:t>
            </w:r>
            <w:r w:rsidRPr="005D5076">
              <w:rPr>
                <w:rFonts w:ascii="Gill Sans" w:hAnsi="Gill Sans" w:cs="Gill Sans"/>
                <w:i/>
                <w:szCs w:val="22"/>
              </w:rPr>
              <w:t>youth unemployment.</w:t>
            </w:r>
          </w:p>
        </w:tc>
        <w:tc>
          <w:tcPr>
            <w:tcW w:w="10064" w:type="dxa"/>
          </w:tcPr>
          <w:p w14:paraId="67DAEA6E" w14:textId="3385D33E" w:rsidR="00D94B90" w:rsidRPr="00681E65" w:rsidRDefault="00D94B90" w:rsidP="003404CF">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sidR="00681E65">
              <w:rPr>
                <w:rFonts w:ascii="Gill Sans" w:hAnsi="Gill Sans" w:cs="Gill Sans"/>
                <w:color w:val="000000"/>
                <w:szCs w:val="22"/>
                <w:lang w:val="en-AU"/>
              </w:rPr>
              <w:t>Youth transitions (school and work) set against time of ‘choice biographies’</w:t>
            </w:r>
            <w:r w:rsidR="003404CF">
              <w:rPr>
                <w:rFonts w:ascii="Gill Sans" w:hAnsi="Gill Sans" w:cs="Gill Sans"/>
                <w:color w:val="000000"/>
                <w:szCs w:val="22"/>
                <w:lang w:val="en-AU"/>
              </w:rPr>
              <w:t xml:space="preserve"> with transitions understood as non-linear and unpredictable (compared to earlier time). Authors argue that the assumption that transitions are fragmented = problematic and assumed; “</w:t>
            </w:r>
            <w:r w:rsidR="003404CF" w:rsidRPr="003404CF">
              <w:rPr>
                <w:rFonts w:ascii="Gill Sans" w:hAnsi="Gill Sans" w:cs="Gill Sans"/>
                <w:color w:val="000000"/>
                <w:szCs w:val="22"/>
              </w:rPr>
              <w:t>systematic analysis of the extent to which transitions have increased in</w:t>
            </w:r>
            <w:r w:rsidR="003404CF">
              <w:rPr>
                <w:rFonts w:ascii="Gill Sans" w:hAnsi="Gill Sans" w:cs="Gill Sans"/>
                <w:color w:val="000000"/>
                <w:szCs w:val="22"/>
              </w:rPr>
              <w:t xml:space="preserve"> </w:t>
            </w:r>
            <w:r w:rsidR="003404CF" w:rsidRPr="003404CF">
              <w:rPr>
                <w:rFonts w:ascii="Gill Sans" w:hAnsi="Gill Sans" w:cs="Gill Sans"/>
                <w:color w:val="000000"/>
                <w:szCs w:val="22"/>
              </w:rPr>
              <w:t>complexity and lost their linearity nor of the implications for young people</w:t>
            </w:r>
            <w:r w:rsidR="003404CF">
              <w:rPr>
                <w:rFonts w:ascii="Gill Sans" w:hAnsi="Gill Sans" w:cs="Gill Sans"/>
                <w:color w:val="000000"/>
                <w:szCs w:val="22"/>
              </w:rPr>
              <w:t xml:space="preserve"> </w:t>
            </w:r>
            <w:r w:rsidR="003404CF" w:rsidRPr="003404CF">
              <w:rPr>
                <w:rFonts w:ascii="Gill Sans" w:hAnsi="Gill Sans" w:cs="Gill Sans"/>
                <w:color w:val="000000"/>
                <w:szCs w:val="22"/>
              </w:rPr>
              <w:t>of following non-linear as opposed to linear routes</w:t>
            </w:r>
            <w:r w:rsidR="003404CF">
              <w:rPr>
                <w:rFonts w:ascii="Gill Sans" w:hAnsi="Gill Sans" w:cs="Gill Sans"/>
                <w:color w:val="000000"/>
                <w:szCs w:val="22"/>
              </w:rPr>
              <w:t>” (p.</w:t>
            </w:r>
            <w:r w:rsidR="00C31BFC">
              <w:rPr>
                <w:rFonts w:ascii="Gill Sans" w:hAnsi="Gill Sans" w:cs="Gill Sans"/>
                <w:color w:val="000000"/>
                <w:szCs w:val="22"/>
              </w:rPr>
              <w:t>226)</w:t>
            </w:r>
            <w:r w:rsidR="007C23E0">
              <w:rPr>
                <w:rFonts w:ascii="Gill Sans" w:hAnsi="Gill Sans" w:cs="Gill Sans"/>
                <w:color w:val="000000"/>
                <w:szCs w:val="22"/>
              </w:rPr>
              <w:t xml:space="preserve">. Authors argue that complexity of contemporary youth transitions are understated, and that the level of complexity </w:t>
            </w:r>
            <w:proofErr w:type="gramStart"/>
            <w:r w:rsidR="007C23E0">
              <w:rPr>
                <w:rFonts w:ascii="Gill Sans" w:hAnsi="Gill Sans" w:cs="Gill Sans"/>
                <w:color w:val="000000"/>
                <w:szCs w:val="22"/>
              </w:rPr>
              <w:t xml:space="preserve">is </w:t>
            </w:r>
            <w:r w:rsidR="0038236D">
              <w:rPr>
                <w:rFonts w:ascii="Gill Sans" w:hAnsi="Gill Sans" w:cs="Gill Sans"/>
                <w:color w:val="000000"/>
                <w:szCs w:val="22"/>
              </w:rPr>
              <w:t xml:space="preserve"> overstated</w:t>
            </w:r>
            <w:proofErr w:type="gramEnd"/>
          </w:p>
          <w:p w14:paraId="54606C54" w14:textId="22EB574C" w:rsidR="00D94B90" w:rsidRPr="00681E65" w:rsidRDefault="00D94B90" w:rsidP="00681E65">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sidR="00681E65">
              <w:rPr>
                <w:rFonts w:ascii="Gill Sans" w:hAnsi="Gill Sans" w:cs="Gill Sans"/>
                <w:color w:val="000000"/>
                <w:szCs w:val="22"/>
                <w:lang w:val="en-AU"/>
              </w:rPr>
              <w:t>To “</w:t>
            </w:r>
            <w:proofErr w:type="spellStart"/>
            <w:r w:rsidR="00681E65" w:rsidRPr="00681E65">
              <w:rPr>
                <w:rFonts w:ascii="Gill Sans" w:hAnsi="Gill Sans" w:cs="Gill Sans"/>
                <w:color w:val="000000"/>
                <w:szCs w:val="22"/>
              </w:rPr>
              <w:t>contextualise</w:t>
            </w:r>
            <w:proofErr w:type="spellEnd"/>
            <w:r w:rsidR="00681E65" w:rsidRPr="00681E65">
              <w:rPr>
                <w:rFonts w:ascii="Gill Sans" w:hAnsi="Gill Sans" w:cs="Gill Sans"/>
                <w:color w:val="000000"/>
                <w:szCs w:val="22"/>
              </w:rPr>
              <w:t xml:space="preserve"> these changes in an attempt to capture the degree of complexity</w:t>
            </w:r>
            <w:r w:rsidR="00681E65">
              <w:rPr>
                <w:rFonts w:ascii="Gill Sans" w:hAnsi="Gill Sans" w:cs="Gill Sans"/>
                <w:color w:val="000000"/>
                <w:szCs w:val="22"/>
              </w:rPr>
              <w:t xml:space="preserve"> </w:t>
            </w:r>
            <w:r w:rsidR="00681E65" w:rsidRPr="00681E65">
              <w:rPr>
                <w:rFonts w:ascii="Gill Sans" w:hAnsi="Gill Sans" w:cs="Gill Sans"/>
                <w:color w:val="000000"/>
                <w:szCs w:val="22"/>
              </w:rPr>
              <w:t>characteristic of modern transitions and to explore the implications for patterns of</w:t>
            </w:r>
            <w:r w:rsidR="00681E65">
              <w:rPr>
                <w:rFonts w:ascii="Gill Sans" w:hAnsi="Gill Sans" w:cs="Gill Sans"/>
                <w:color w:val="000000"/>
                <w:szCs w:val="22"/>
              </w:rPr>
              <w:t xml:space="preserve"> </w:t>
            </w:r>
            <w:proofErr w:type="spellStart"/>
            <w:r w:rsidR="00681E65" w:rsidRPr="00681E65">
              <w:rPr>
                <w:rFonts w:ascii="Gill Sans" w:hAnsi="Gill Sans" w:cs="Gill Sans"/>
                <w:color w:val="000000"/>
                <w:szCs w:val="22"/>
              </w:rPr>
              <w:t>labour</w:t>
            </w:r>
            <w:proofErr w:type="spellEnd"/>
            <w:r w:rsidR="00681E65" w:rsidRPr="00681E65">
              <w:rPr>
                <w:rFonts w:ascii="Gill Sans" w:hAnsi="Gill Sans" w:cs="Gill Sans"/>
                <w:color w:val="000000"/>
                <w:szCs w:val="22"/>
              </w:rPr>
              <w:t xml:space="preserve"> market integration</w:t>
            </w:r>
            <w:r w:rsidR="00681E65">
              <w:rPr>
                <w:rFonts w:ascii="Gill Sans" w:hAnsi="Gill Sans" w:cs="Gill Sans"/>
                <w:color w:val="000000"/>
                <w:szCs w:val="22"/>
              </w:rPr>
              <w:t>” (abstract)</w:t>
            </w:r>
            <w:r w:rsidR="00C31BFC">
              <w:rPr>
                <w:rFonts w:ascii="Gill Sans" w:hAnsi="Gill Sans" w:cs="Gill Sans"/>
                <w:color w:val="000000"/>
                <w:szCs w:val="22"/>
              </w:rPr>
              <w:t>; to describe a set of transition typologies</w:t>
            </w:r>
          </w:p>
          <w:p w14:paraId="1228C1B6" w14:textId="682C8DE8" w:rsidR="00D94B90" w:rsidRDefault="00D94B90" w:rsidP="00D94B90">
            <w:pPr>
              <w:rPr>
                <w:rFonts w:ascii="Gill Sans" w:hAnsi="Gill Sans" w:cs="Gill Sans"/>
                <w:color w:val="000000"/>
                <w:szCs w:val="22"/>
                <w:lang w:val="en-AU"/>
              </w:rPr>
            </w:pPr>
            <w:r w:rsidRPr="00076E76">
              <w:rPr>
                <w:rFonts w:ascii="Gill Sans" w:hAnsi="Gill Sans" w:cs="Gill Sans"/>
                <w:b/>
                <w:color w:val="000000"/>
                <w:szCs w:val="22"/>
                <w:lang w:val="en-AU"/>
              </w:rPr>
              <w:t>Theoretical frame:</w:t>
            </w:r>
            <w:r w:rsidR="0038236D">
              <w:rPr>
                <w:rFonts w:ascii="Gill Sans" w:hAnsi="Gill Sans" w:cs="Gill Sans"/>
                <w:b/>
                <w:color w:val="000000"/>
                <w:szCs w:val="22"/>
                <w:lang w:val="en-AU"/>
              </w:rPr>
              <w:t xml:space="preserve"> </w:t>
            </w:r>
            <w:r w:rsidR="0038236D">
              <w:rPr>
                <w:rFonts w:ascii="Gill Sans" w:hAnsi="Gill Sans" w:cs="Gill Sans"/>
                <w:color w:val="000000"/>
                <w:szCs w:val="22"/>
                <w:lang w:val="en-AU"/>
              </w:rPr>
              <w:t>Choice biographies</w:t>
            </w:r>
          </w:p>
          <w:p w14:paraId="1D06ED99" w14:textId="77777777" w:rsidR="00AD0420" w:rsidRDefault="00AD0420" w:rsidP="00AD0420">
            <w:pPr>
              <w:rPr>
                <w:rFonts w:ascii="Gill Sans" w:hAnsi="Gill Sans" w:cs="Gill Sans"/>
                <w:color w:val="000000"/>
                <w:szCs w:val="22"/>
                <w:lang w:val="en-AU"/>
              </w:rPr>
            </w:pPr>
            <w:r>
              <w:rPr>
                <w:rFonts w:ascii="Gill Sans" w:hAnsi="Gill Sans" w:cs="Gill Sans"/>
                <w:color w:val="000000"/>
                <w:szCs w:val="22"/>
                <w:lang w:val="en-AU"/>
              </w:rPr>
              <w:t>Sets of transitions (education and work):</w:t>
            </w:r>
          </w:p>
          <w:p w14:paraId="2DD5D7CE" w14:textId="77777777" w:rsidR="00AD0420" w:rsidRDefault="00AD0420" w:rsidP="00AD0420">
            <w:pPr>
              <w:rPr>
                <w:rFonts w:ascii="Gill Sans" w:hAnsi="Gill Sans" w:cs="Gill Sans"/>
                <w:color w:val="000000"/>
                <w:szCs w:val="22"/>
                <w:lang w:val="en-AU"/>
              </w:rPr>
            </w:pPr>
            <w:r w:rsidRPr="00377966">
              <w:rPr>
                <w:rFonts w:ascii="Gill Sans" w:hAnsi="Gill Sans" w:cs="Gill Sans"/>
                <w:i/>
                <w:color w:val="000000"/>
                <w:szCs w:val="22"/>
                <w:lang w:val="en-AU"/>
              </w:rPr>
              <w:t>Higher education</w:t>
            </w:r>
            <w:r>
              <w:rPr>
                <w:rFonts w:ascii="Gill Sans" w:hAnsi="Gill Sans" w:cs="Gill Sans"/>
                <w:color w:val="000000"/>
                <w:szCs w:val="22"/>
                <w:lang w:val="en-AU"/>
              </w:rPr>
              <w:t>: long HE (full degree) and short HE (on average studied for less than two years): on average relatively similar patterns of gendered participation and reasonable advantaged young people</w:t>
            </w:r>
          </w:p>
          <w:p w14:paraId="7FC4CFC6" w14:textId="77777777" w:rsidR="00AD0420" w:rsidRDefault="00AD0420" w:rsidP="00AD0420">
            <w:pPr>
              <w:rPr>
                <w:rFonts w:ascii="Gill Sans" w:hAnsi="Gill Sans" w:cs="Gill Sans"/>
                <w:color w:val="000000"/>
                <w:szCs w:val="22"/>
                <w:lang w:val="en-AU"/>
              </w:rPr>
            </w:pPr>
            <w:r w:rsidRPr="00377966">
              <w:rPr>
                <w:rFonts w:ascii="Gill Sans" w:hAnsi="Gill Sans" w:cs="Gill Sans"/>
                <w:i/>
                <w:color w:val="000000"/>
                <w:szCs w:val="22"/>
                <w:lang w:val="en-AU"/>
              </w:rPr>
              <w:t>Employment transitions</w:t>
            </w:r>
            <w:r>
              <w:rPr>
                <w:rFonts w:ascii="Gill Sans" w:hAnsi="Gill Sans" w:cs="Gill Sans"/>
                <w:color w:val="000000"/>
                <w:szCs w:val="22"/>
                <w:lang w:val="en-AU"/>
              </w:rPr>
              <w:t>: leave school at 18 and directly into work; left school earlier and directly into work: on average, more women than men.</w:t>
            </w:r>
          </w:p>
          <w:p w14:paraId="3C63EC3F" w14:textId="77777777" w:rsidR="00AD0420" w:rsidRDefault="00AD0420" w:rsidP="00AD0420">
            <w:pPr>
              <w:rPr>
                <w:rFonts w:ascii="Gill Sans" w:hAnsi="Gill Sans" w:cs="Gill Sans"/>
                <w:color w:val="000000"/>
                <w:szCs w:val="22"/>
                <w:lang w:val="en-AU"/>
              </w:rPr>
            </w:pPr>
            <w:r w:rsidRPr="00C774D5">
              <w:rPr>
                <w:rFonts w:ascii="Gill Sans" w:hAnsi="Gill Sans" w:cs="Gill Sans"/>
                <w:i/>
                <w:color w:val="000000"/>
                <w:szCs w:val="22"/>
                <w:lang w:val="en-AU"/>
              </w:rPr>
              <w:t>Enhanced employment</w:t>
            </w:r>
            <w:r>
              <w:rPr>
                <w:rFonts w:ascii="Gill Sans" w:hAnsi="Gill Sans" w:cs="Gill Sans"/>
                <w:color w:val="000000"/>
                <w:szCs w:val="22"/>
                <w:lang w:val="en-AU"/>
              </w:rPr>
              <w:t>: employment via further education: people tended to be slightly more advantaged (less likely to live in deprived areas/ have parents in lowest social class)</w:t>
            </w:r>
          </w:p>
          <w:p w14:paraId="606AF68A" w14:textId="77777777" w:rsidR="00AD0420" w:rsidRDefault="00AD0420" w:rsidP="00AD0420">
            <w:pPr>
              <w:rPr>
                <w:rFonts w:ascii="Gill Sans" w:hAnsi="Gill Sans" w:cs="Gill Sans"/>
                <w:color w:val="000000"/>
                <w:szCs w:val="22"/>
                <w:lang w:val="en-AU"/>
              </w:rPr>
            </w:pPr>
            <w:r w:rsidRPr="00377966">
              <w:rPr>
                <w:rFonts w:ascii="Gill Sans" w:hAnsi="Gill Sans" w:cs="Gill Sans"/>
                <w:i/>
                <w:color w:val="000000"/>
                <w:szCs w:val="22"/>
                <w:lang w:val="en-AU"/>
              </w:rPr>
              <w:t>Assisted/ unemployed</w:t>
            </w:r>
            <w:r>
              <w:rPr>
                <w:rFonts w:ascii="Gill Sans" w:hAnsi="Gill Sans" w:cs="Gill Sans"/>
                <w:color w:val="000000"/>
                <w:szCs w:val="22"/>
                <w:lang w:val="en-AU"/>
              </w:rPr>
              <w:t>: government training schemes and not working. People in these groups spent much more time out of work or employment, tended to be poorer, tended to have low levels of qualifications, dominated by males.</w:t>
            </w:r>
          </w:p>
          <w:p w14:paraId="0280FB2E" w14:textId="77777777" w:rsidR="00AD0420" w:rsidRDefault="00AD0420" w:rsidP="00AD0420">
            <w:pPr>
              <w:rPr>
                <w:rFonts w:ascii="Gill Sans" w:hAnsi="Gill Sans" w:cs="Gill Sans"/>
                <w:color w:val="000000"/>
                <w:szCs w:val="22"/>
                <w:lang w:val="en-AU"/>
              </w:rPr>
            </w:pPr>
            <w:r w:rsidRPr="00C774D5">
              <w:rPr>
                <w:rFonts w:ascii="Gill Sans" w:hAnsi="Gill Sans" w:cs="Gill Sans"/>
                <w:i/>
                <w:color w:val="000000"/>
                <w:szCs w:val="22"/>
                <w:lang w:val="en-AU"/>
              </w:rPr>
              <w:lastRenderedPageBreak/>
              <w:t>Domestic/ other</w:t>
            </w:r>
            <w:r>
              <w:rPr>
                <w:rFonts w:ascii="Gill Sans" w:hAnsi="Gill Sans" w:cs="Gill Sans"/>
                <w:color w:val="000000"/>
                <w:szCs w:val="22"/>
                <w:lang w:val="en-AU"/>
              </w:rPr>
              <w:t>: very small percentage, mostly with poor health outcomes: mostly female, tend to come from lower social classes, more likely to live in deprived areas.</w:t>
            </w:r>
          </w:p>
          <w:p w14:paraId="2930CE88" w14:textId="77777777" w:rsidR="00AD0420" w:rsidRDefault="00AD0420" w:rsidP="00AD0420">
            <w:pPr>
              <w:rPr>
                <w:rFonts w:ascii="Gill Sans" w:hAnsi="Gill Sans" w:cs="Gill Sans"/>
                <w:color w:val="000000"/>
                <w:szCs w:val="22"/>
                <w:lang w:val="en-AU"/>
              </w:rPr>
            </w:pPr>
            <w:r>
              <w:rPr>
                <w:rFonts w:ascii="Gill Sans" w:hAnsi="Gill Sans" w:cs="Gill Sans"/>
                <w:color w:val="000000"/>
                <w:szCs w:val="22"/>
                <w:lang w:val="en-AU"/>
              </w:rPr>
              <w:t>Authors analysis of participants in their study led to definitions of linear/ non-linear transitions (p.231)</w:t>
            </w:r>
          </w:p>
          <w:p w14:paraId="37E9BD10" w14:textId="69360CA9" w:rsidR="00AD0420" w:rsidRPr="0038236D" w:rsidRDefault="00AD0420" w:rsidP="00AD0420">
            <w:pPr>
              <w:rPr>
                <w:rFonts w:ascii="Gill Sans" w:hAnsi="Gill Sans" w:cs="Gill Sans"/>
                <w:color w:val="000000"/>
                <w:szCs w:val="22"/>
                <w:lang w:val="en-AU"/>
              </w:rPr>
            </w:pPr>
            <w:r>
              <w:rPr>
                <w:rFonts w:ascii="Gill Sans" w:hAnsi="Gill Sans" w:cs="Gill Sans"/>
                <w:b/>
                <w:noProof/>
                <w:color w:val="000000"/>
                <w:szCs w:val="22"/>
              </w:rPr>
              <w:drawing>
                <wp:inline distT="0" distB="0" distL="0" distR="0" wp14:anchorId="73F401D9" wp14:editId="72F7CBB4">
                  <wp:extent cx="5501397" cy="3136900"/>
                  <wp:effectExtent l="0" t="0" r="1079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01676" cy="3137059"/>
                          </a:xfrm>
                          <a:prstGeom prst="rect">
                            <a:avLst/>
                          </a:prstGeom>
                          <a:noFill/>
                          <a:ln>
                            <a:noFill/>
                          </a:ln>
                        </pic:spPr>
                      </pic:pic>
                    </a:graphicData>
                  </a:graphic>
                </wp:inline>
              </w:drawing>
            </w:r>
            <w:r w:rsidRPr="00076E76">
              <w:rPr>
                <w:rFonts w:ascii="Gill Sans" w:hAnsi="Gill Sans" w:cs="Gill Sans"/>
                <w:b/>
                <w:color w:val="000000"/>
                <w:szCs w:val="22"/>
                <w:lang w:val="en-AU"/>
              </w:rPr>
              <w:br/>
            </w:r>
            <w:r>
              <w:rPr>
                <w:rFonts w:ascii="Gill Sans" w:hAnsi="Gill Sans" w:cs="Gill Sans"/>
                <w:color w:val="000000"/>
                <w:szCs w:val="22"/>
                <w:lang w:val="en-AU"/>
              </w:rPr>
              <w:t>Linearity = “</w:t>
            </w:r>
            <w:r w:rsidRPr="00993B53">
              <w:rPr>
                <w:rFonts w:ascii="Gill Sans" w:hAnsi="Gill Sans" w:cs="Gill Sans"/>
                <w:color w:val="000000"/>
                <w:szCs w:val="22"/>
              </w:rPr>
              <w:t>a fairly smooth and straightforward transition in which there are no major</w:t>
            </w:r>
            <w:r>
              <w:rPr>
                <w:rFonts w:ascii="Gill Sans" w:hAnsi="Gill Sans" w:cs="Gill Sans"/>
                <w:color w:val="000000"/>
                <w:szCs w:val="22"/>
              </w:rPr>
              <w:t xml:space="preserve"> </w:t>
            </w:r>
            <w:r w:rsidRPr="00993B53">
              <w:rPr>
                <w:rFonts w:ascii="Gill Sans" w:hAnsi="Gill Sans" w:cs="Gill Sans"/>
                <w:color w:val="000000"/>
                <w:szCs w:val="22"/>
              </w:rPr>
              <w:t>breaks, divergences or reversal</w:t>
            </w:r>
            <w:r>
              <w:rPr>
                <w:rFonts w:ascii="Gill Sans" w:hAnsi="Gill Sans" w:cs="Gill Sans"/>
                <w:color w:val="000000"/>
                <w:szCs w:val="22"/>
              </w:rPr>
              <w:t>s” (p.230), but this now normatively includes short periods of unemployment; non-linear transitions “</w:t>
            </w:r>
            <w:r w:rsidRPr="00AD0420">
              <w:rPr>
                <w:rFonts w:ascii="Gill Sans" w:hAnsi="Gill Sans" w:cs="Gill Sans"/>
                <w:color w:val="000000"/>
                <w:szCs w:val="22"/>
              </w:rPr>
              <w:t>involve breaks, changes of direction and</w:t>
            </w:r>
            <w:r>
              <w:rPr>
                <w:rFonts w:ascii="Gill Sans" w:hAnsi="Gill Sans" w:cs="Gill Sans"/>
                <w:color w:val="000000"/>
                <w:szCs w:val="22"/>
              </w:rPr>
              <w:t xml:space="preserve"> </w:t>
            </w:r>
            <w:r w:rsidRPr="00AD0420">
              <w:rPr>
                <w:rFonts w:ascii="Gill Sans" w:hAnsi="Gill Sans" w:cs="Gill Sans"/>
                <w:color w:val="000000"/>
                <w:szCs w:val="22"/>
              </w:rPr>
              <w:t>unusual sequences of events</w:t>
            </w:r>
            <w:r>
              <w:rPr>
                <w:rFonts w:ascii="Gill Sans" w:hAnsi="Gill Sans" w:cs="Gill Sans"/>
                <w:color w:val="000000"/>
                <w:szCs w:val="22"/>
              </w:rPr>
              <w:t>” (p.231)</w:t>
            </w:r>
            <w:r w:rsidR="00666BF5">
              <w:rPr>
                <w:rFonts w:ascii="Gill Sans" w:hAnsi="Gill Sans" w:cs="Gill Sans"/>
                <w:color w:val="000000"/>
                <w:szCs w:val="22"/>
              </w:rPr>
              <w:t>. Both definitions crafted in relation to unemployment.</w:t>
            </w:r>
          </w:p>
          <w:p w14:paraId="409C2BDF" w14:textId="037BBF5D" w:rsidR="00D94B90" w:rsidRPr="00C31BFC" w:rsidRDefault="00D94B90" w:rsidP="00D94B90">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00C31BFC">
              <w:rPr>
                <w:rFonts w:ascii="Gill Sans" w:hAnsi="Gill Sans" w:cs="Gill Sans"/>
                <w:color w:val="000000"/>
                <w:szCs w:val="22"/>
                <w:lang w:val="en-AU"/>
              </w:rPr>
              <w:t xml:space="preserve">Longitudinal sociological inquiry (Youth </w:t>
            </w:r>
            <w:r w:rsidR="00C31BFC" w:rsidRPr="00C31BFC">
              <w:rPr>
                <w:rFonts w:ascii="Gill Sans" w:hAnsi="Gill Sans" w:cs="Gill Sans"/>
                <w:color w:val="000000"/>
                <w:szCs w:val="22"/>
              </w:rPr>
              <w:t>Transitions: Patterns of Vulnerability and Processes of Social Inclusion</w:t>
            </w:r>
            <w:r w:rsidR="00C31BFC">
              <w:rPr>
                <w:rFonts w:ascii="Gill Sans" w:hAnsi="Gill Sans" w:cs="Gill Sans"/>
                <w:color w:val="000000"/>
                <w:szCs w:val="22"/>
              </w:rPr>
              <w:t xml:space="preserve"> </w:t>
            </w:r>
            <w:r w:rsidR="00C31BFC">
              <w:rPr>
                <w:rFonts w:cs="Gill Sans"/>
                <w:color w:val="000000"/>
                <w:szCs w:val="22"/>
              </w:rPr>
              <w:t>—</w:t>
            </w:r>
            <w:r w:rsidR="00C31BFC">
              <w:rPr>
                <w:rFonts w:ascii="Gill Sans" w:hAnsi="Gill Sans" w:cs="Gill Sans"/>
                <w:color w:val="000000"/>
                <w:szCs w:val="22"/>
              </w:rPr>
              <w:t xml:space="preserve"> see p</w:t>
            </w:r>
            <w:r w:rsidR="007C23E0">
              <w:rPr>
                <w:rFonts w:ascii="Gill Sans" w:hAnsi="Gill Sans" w:cs="Gill Sans"/>
                <w:color w:val="000000"/>
                <w:szCs w:val="22"/>
              </w:rPr>
              <w:t>.226</w:t>
            </w:r>
            <w:r w:rsidR="00C31BFC">
              <w:rPr>
                <w:rFonts w:ascii="Gill Sans" w:hAnsi="Gill Sans" w:cs="Gill Sans"/>
                <w:color w:val="000000"/>
                <w:szCs w:val="22"/>
              </w:rPr>
              <w:t>)</w:t>
            </w:r>
          </w:p>
          <w:p w14:paraId="54854422" w14:textId="09525DEB" w:rsidR="00AD0420" w:rsidRPr="00993B53" w:rsidRDefault="00D94B90" w:rsidP="00AD0420">
            <w:pPr>
              <w:rPr>
                <w:rFonts w:ascii="Gill Sans" w:hAnsi="Gill Sans" w:cs="Gill Sans"/>
                <w:color w:val="000000"/>
                <w:szCs w:val="22"/>
                <w:lang w:val="en-AU"/>
              </w:rPr>
            </w:pPr>
            <w:r w:rsidRPr="00076E76">
              <w:rPr>
                <w:rFonts w:ascii="Gill Sans" w:hAnsi="Gill Sans" w:cs="Gill Sans"/>
                <w:b/>
                <w:color w:val="000000"/>
                <w:szCs w:val="22"/>
                <w:lang w:val="en-AU"/>
              </w:rPr>
              <w:t xml:space="preserve">Findings: </w:t>
            </w:r>
          </w:p>
          <w:p w14:paraId="13C60B14" w14:textId="274EAB8F" w:rsidR="00993B53" w:rsidRDefault="00AD0420" w:rsidP="00AD0420">
            <w:pPr>
              <w:rPr>
                <w:rFonts w:ascii="Gill Sans" w:hAnsi="Gill Sans" w:cs="Gill Sans"/>
                <w:color w:val="000000"/>
                <w:szCs w:val="22"/>
                <w:lang w:val="en-AU"/>
              </w:rPr>
            </w:pPr>
            <w:r>
              <w:rPr>
                <w:rFonts w:ascii="Gill Sans" w:hAnsi="Gill Sans" w:cs="Gill Sans"/>
                <w:color w:val="000000"/>
                <w:szCs w:val="22"/>
                <w:lang w:val="en-AU"/>
              </w:rPr>
              <w:t>Almost an equal proportion of linear and non-linear transitions</w:t>
            </w:r>
            <w:r w:rsidR="007A109D">
              <w:rPr>
                <w:rFonts w:ascii="Gill Sans" w:hAnsi="Gill Sans" w:cs="Gill Sans"/>
                <w:color w:val="000000"/>
                <w:szCs w:val="22"/>
                <w:lang w:val="en-AU"/>
              </w:rPr>
              <w:t xml:space="preserve"> observed</w:t>
            </w:r>
          </w:p>
          <w:p w14:paraId="04D818CB" w14:textId="68DCB0E6" w:rsidR="007A109D" w:rsidRDefault="007A109D" w:rsidP="00AD0420">
            <w:pPr>
              <w:rPr>
                <w:rFonts w:ascii="Gill Sans" w:hAnsi="Gill Sans" w:cs="Gill Sans"/>
                <w:color w:val="000000"/>
                <w:szCs w:val="22"/>
                <w:lang w:val="en-AU"/>
              </w:rPr>
            </w:pPr>
            <w:r>
              <w:rPr>
                <w:rFonts w:ascii="Gill Sans" w:hAnsi="Gill Sans" w:cs="Gill Sans"/>
                <w:color w:val="000000"/>
                <w:szCs w:val="22"/>
                <w:lang w:val="en-AU"/>
              </w:rPr>
              <w:t>Men = more likely than women to experience non-linear transitions (55% compared to 42%)</w:t>
            </w:r>
          </w:p>
          <w:p w14:paraId="221DCC2A" w14:textId="109505E7" w:rsidR="007A1A14" w:rsidRDefault="007A1A14" w:rsidP="00AD0420">
            <w:pPr>
              <w:rPr>
                <w:rFonts w:ascii="Gill Sans" w:hAnsi="Gill Sans" w:cs="Gill Sans"/>
                <w:color w:val="000000"/>
                <w:szCs w:val="22"/>
                <w:lang w:val="en-AU"/>
              </w:rPr>
            </w:pPr>
            <w:r>
              <w:rPr>
                <w:rFonts w:ascii="Gill Sans" w:hAnsi="Gill Sans" w:cs="Gill Sans"/>
                <w:color w:val="000000"/>
                <w:szCs w:val="22"/>
                <w:lang w:val="en-AU"/>
              </w:rPr>
              <w:t xml:space="preserve">For people making non-linear transitions, over a third of both </w:t>
            </w:r>
            <w:proofErr w:type="spellStart"/>
            <w:r>
              <w:rPr>
                <w:rFonts w:ascii="Gill Sans" w:hAnsi="Gill Sans" w:cs="Gill Sans"/>
                <w:color w:val="000000"/>
                <w:szCs w:val="22"/>
                <w:lang w:val="en-AU"/>
              </w:rPr>
              <w:t>m+f</w:t>
            </w:r>
            <w:proofErr w:type="spellEnd"/>
            <w:r>
              <w:rPr>
                <w:rFonts w:ascii="Gill Sans" w:hAnsi="Gill Sans" w:cs="Gill Sans"/>
                <w:color w:val="000000"/>
                <w:szCs w:val="22"/>
                <w:lang w:val="en-AU"/>
              </w:rPr>
              <w:t xml:space="preserve"> e</w:t>
            </w:r>
            <w:r w:rsidR="00404D68">
              <w:rPr>
                <w:rFonts w:ascii="Gill Sans" w:hAnsi="Gill Sans" w:cs="Gill Sans"/>
                <w:color w:val="000000"/>
                <w:szCs w:val="22"/>
                <w:lang w:val="en-AU"/>
              </w:rPr>
              <w:t>xperienced a period of unemployment</w:t>
            </w:r>
            <w:r>
              <w:rPr>
                <w:rFonts w:ascii="Gill Sans" w:hAnsi="Gill Sans" w:cs="Gill Sans"/>
                <w:color w:val="000000"/>
                <w:szCs w:val="22"/>
                <w:lang w:val="en-AU"/>
              </w:rPr>
              <w:t xml:space="preserve"> </w:t>
            </w:r>
            <w:r>
              <w:rPr>
                <w:rFonts w:ascii="Gill Sans" w:hAnsi="Gill Sans" w:cs="Gill Sans"/>
                <w:color w:val="000000"/>
                <w:szCs w:val="22"/>
                <w:lang w:val="en-AU"/>
              </w:rPr>
              <w:lastRenderedPageBreak/>
              <w:t>(+3m) following education, while 43%m and 48%f</w:t>
            </w:r>
            <w:r w:rsidR="00404D68">
              <w:rPr>
                <w:rFonts w:ascii="Gill Sans" w:hAnsi="Gill Sans" w:cs="Gill Sans"/>
                <w:color w:val="000000"/>
                <w:szCs w:val="22"/>
                <w:lang w:val="en-AU"/>
              </w:rPr>
              <w:t xml:space="preserve"> encountered their first period of unemployment after their first job or training program. 24%m and 15%f experienced no unemployment for a period of 3 years</w:t>
            </w:r>
            <w:r w:rsidR="000F4679">
              <w:rPr>
                <w:rFonts w:ascii="Gill Sans" w:hAnsi="Gill Sans" w:cs="Gill Sans"/>
                <w:color w:val="000000"/>
                <w:szCs w:val="22"/>
                <w:lang w:val="en-AU"/>
              </w:rPr>
              <w:t>.</w:t>
            </w:r>
          </w:p>
          <w:p w14:paraId="578614B1" w14:textId="7AE5BC68" w:rsidR="000F4679" w:rsidRDefault="000F4679" w:rsidP="00AD0420">
            <w:pPr>
              <w:rPr>
                <w:rFonts w:ascii="Gill Sans" w:hAnsi="Gill Sans" w:cs="Gill Sans"/>
                <w:color w:val="000000"/>
                <w:szCs w:val="22"/>
                <w:lang w:val="en-AU"/>
              </w:rPr>
            </w:pPr>
            <w:r>
              <w:rPr>
                <w:rFonts w:ascii="Gill Sans" w:hAnsi="Gill Sans" w:cs="Gill Sans"/>
                <w:color w:val="000000"/>
                <w:szCs w:val="22"/>
                <w:lang w:val="en-AU"/>
              </w:rPr>
              <w:t xml:space="preserve">Some participants experienced chaotic trajectories (with max 17 </w:t>
            </w:r>
            <w:r w:rsidR="00941A24">
              <w:rPr>
                <w:rFonts w:ascii="Gill Sans" w:hAnsi="Gill Sans" w:cs="Gill Sans"/>
                <w:color w:val="000000"/>
                <w:szCs w:val="22"/>
                <w:lang w:val="en-AU"/>
              </w:rPr>
              <w:t>status changes in the male participants and max 15 for women)</w:t>
            </w:r>
          </w:p>
          <w:p w14:paraId="5A79D58B" w14:textId="3A34831F" w:rsidR="00941A24" w:rsidRDefault="00941A24" w:rsidP="00AD0420">
            <w:pPr>
              <w:rPr>
                <w:rFonts w:ascii="Gill Sans" w:hAnsi="Gill Sans" w:cs="Gill Sans"/>
                <w:color w:val="000000"/>
                <w:szCs w:val="22"/>
                <w:lang w:val="en-AU"/>
              </w:rPr>
            </w:pPr>
            <w:r>
              <w:rPr>
                <w:rFonts w:ascii="Gill Sans" w:hAnsi="Gill Sans" w:cs="Gill Sans"/>
                <w:color w:val="000000"/>
                <w:szCs w:val="22"/>
                <w:lang w:val="en-AU"/>
              </w:rPr>
              <w:t>Max time spent unemployed = 7 years (men) and six years (women)</w:t>
            </w:r>
          </w:p>
          <w:p w14:paraId="60799B9A" w14:textId="77777777" w:rsidR="00973ECC" w:rsidRDefault="00973ECC" w:rsidP="00AD0420">
            <w:pPr>
              <w:rPr>
                <w:rFonts w:ascii="Gill Sans" w:hAnsi="Gill Sans" w:cs="Gill Sans"/>
                <w:color w:val="000000"/>
                <w:szCs w:val="22"/>
                <w:lang w:val="en-AU"/>
              </w:rPr>
            </w:pPr>
            <w:r>
              <w:rPr>
                <w:rFonts w:ascii="Gill Sans" w:hAnsi="Gill Sans" w:cs="Gill Sans"/>
                <w:color w:val="000000"/>
                <w:szCs w:val="22"/>
                <w:lang w:val="en-AU"/>
              </w:rPr>
              <w:t>Cluster analysis:</w:t>
            </w:r>
          </w:p>
          <w:p w14:paraId="345344A7" w14:textId="6171ABDC" w:rsidR="00973ECC" w:rsidRDefault="00973ECC" w:rsidP="00973ECC">
            <w:pPr>
              <w:rPr>
                <w:rFonts w:ascii="Gill Sans" w:hAnsi="Gill Sans" w:cs="Gill Sans"/>
                <w:color w:val="000000"/>
                <w:szCs w:val="22"/>
              </w:rPr>
            </w:pPr>
            <w:r>
              <w:rPr>
                <w:rFonts w:ascii="Gill Sans" w:hAnsi="Gill Sans" w:cs="Gill Sans"/>
                <w:color w:val="000000"/>
                <w:szCs w:val="22"/>
                <w:lang w:val="en-AU"/>
              </w:rPr>
              <w:t>Linear transitions =</w:t>
            </w:r>
            <w:r w:rsidRPr="00973ECC">
              <w:rPr>
                <w:rFonts w:ascii="Times New Roman" w:hAnsi="Times New Roman" w:cs="Times New Roman"/>
                <w:szCs w:val="22"/>
              </w:rPr>
              <w:t xml:space="preserve"> </w:t>
            </w:r>
            <w:r w:rsidRPr="00973ECC">
              <w:rPr>
                <w:rFonts w:ascii="Gill Sans" w:hAnsi="Gill Sans" w:cs="Gill Sans"/>
                <w:color w:val="000000"/>
                <w:szCs w:val="22"/>
              </w:rPr>
              <w:t>direct job transitions, long HE transitions and</w:t>
            </w:r>
            <w:r>
              <w:rPr>
                <w:rFonts w:ascii="Gill Sans" w:hAnsi="Gill Sans" w:cs="Gill Sans"/>
                <w:color w:val="000000"/>
                <w:szCs w:val="22"/>
              </w:rPr>
              <w:t xml:space="preserve"> </w:t>
            </w:r>
            <w:r w:rsidRPr="00973ECC">
              <w:rPr>
                <w:rFonts w:ascii="Gill Sans" w:hAnsi="Gill Sans" w:cs="Gill Sans"/>
                <w:color w:val="000000"/>
                <w:szCs w:val="22"/>
              </w:rPr>
              <w:t>enhanced education transitions</w:t>
            </w:r>
          </w:p>
          <w:p w14:paraId="59909AD7" w14:textId="2808CD4A" w:rsidR="00666BF5" w:rsidRDefault="00973ECC" w:rsidP="00973ECC">
            <w:pPr>
              <w:rPr>
                <w:rFonts w:ascii="Gill Sans" w:hAnsi="Gill Sans" w:cs="Gill Sans"/>
                <w:color w:val="000000"/>
                <w:szCs w:val="22"/>
              </w:rPr>
            </w:pPr>
            <w:r>
              <w:rPr>
                <w:rFonts w:ascii="Gill Sans" w:hAnsi="Gill Sans" w:cs="Gill Sans"/>
                <w:color w:val="000000"/>
                <w:szCs w:val="22"/>
              </w:rPr>
              <w:t>Non-linear transitions = short HE/ assisted transitions</w:t>
            </w:r>
            <w:r w:rsidR="00666BF5">
              <w:rPr>
                <w:rFonts w:ascii="Gill Sans" w:hAnsi="Gill Sans" w:cs="Gill Sans"/>
                <w:color w:val="000000"/>
                <w:szCs w:val="22"/>
              </w:rPr>
              <w:t xml:space="preserve">. </w:t>
            </w:r>
          </w:p>
          <w:p w14:paraId="74B8696B" w14:textId="4B15840A" w:rsidR="00666BF5" w:rsidRDefault="00666BF5" w:rsidP="00973ECC">
            <w:pPr>
              <w:rPr>
                <w:rFonts w:ascii="Gill Sans" w:hAnsi="Gill Sans" w:cs="Gill Sans"/>
                <w:color w:val="000000"/>
                <w:szCs w:val="22"/>
              </w:rPr>
            </w:pPr>
            <w:r>
              <w:rPr>
                <w:rFonts w:ascii="Gill Sans" w:hAnsi="Gill Sans" w:cs="Gill Sans"/>
                <w:color w:val="000000"/>
                <w:szCs w:val="22"/>
              </w:rPr>
              <w:t>Lots of complexity observed in non-linear transitions</w:t>
            </w:r>
            <w:r w:rsidR="009972AE">
              <w:rPr>
                <w:rFonts w:ascii="Gill Sans" w:hAnsi="Gill Sans" w:cs="Gill Sans"/>
                <w:color w:val="000000"/>
                <w:szCs w:val="22"/>
              </w:rPr>
              <w:t>, and more disadvantaged young people observed in this group. These people:</w:t>
            </w:r>
          </w:p>
          <w:p w14:paraId="13774622" w14:textId="77777777" w:rsidR="009972AE" w:rsidRDefault="009972AE" w:rsidP="00973ECC">
            <w:pPr>
              <w:rPr>
                <w:rFonts w:ascii="Gill Sans" w:hAnsi="Gill Sans" w:cs="Gill Sans"/>
                <w:color w:val="000000"/>
                <w:szCs w:val="22"/>
              </w:rPr>
            </w:pPr>
            <w:r>
              <w:rPr>
                <w:rFonts w:ascii="Gill Sans" w:hAnsi="Gill Sans" w:cs="Gill Sans"/>
                <w:color w:val="000000"/>
                <w:szCs w:val="22"/>
              </w:rPr>
              <w:t>Tended to have fewer qualifications</w:t>
            </w:r>
          </w:p>
          <w:p w14:paraId="26052C98" w14:textId="0F3DAE78" w:rsidR="009972AE" w:rsidRDefault="00CB0F57" w:rsidP="00CB0F57">
            <w:pPr>
              <w:rPr>
                <w:rFonts w:ascii="Gill Sans" w:hAnsi="Gill Sans" w:cs="Gill Sans"/>
                <w:color w:val="000000"/>
                <w:szCs w:val="22"/>
              </w:rPr>
            </w:pPr>
            <w:r>
              <w:rPr>
                <w:rFonts w:ascii="Gill Sans" w:hAnsi="Gill Sans" w:cs="Gill Sans"/>
                <w:color w:val="000000"/>
                <w:szCs w:val="22"/>
              </w:rPr>
              <w:t>Were “</w:t>
            </w:r>
            <w:r w:rsidRPr="00CB0F57">
              <w:rPr>
                <w:rFonts w:ascii="Gill Sans" w:hAnsi="Gill Sans" w:cs="Gill Sans"/>
                <w:color w:val="000000"/>
                <w:szCs w:val="22"/>
              </w:rPr>
              <w:t>less likely to have parents in the professional and</w:t>
            </w:r>
            <w:r>
              <w:rPr>
                <w:rFonts w:ascii="Gill Sans" w:hAnsi="Gill Sans" w:cs="Gill Sans"/>
                <w:color w:val="000000"/>
                <w:szCs w:val="22"/>
              </w:rPr>
              <w:t xml:space="preserve"> </w:t>
            </w:r>
            <w:r w:rsidRPr="00CB0F57">
              <w:rPr>
                <w:rFonts w:ascii="Gill Sans" w:hAnsi="Gill Sans" w:cs="Gill Sans"/>
                <w:color w:val="000000"/>
                <w:szCs w:val="22"/>
              </w:rPr>
              <w:t>managerial classes and more likely to have fathers who had been unemployed</w:t>
            </w:r>
            <w:r>
              <w:rPr>
                <w:rFonts w:ascii="Gill Sans" w:hAnsi="Gill Sans" w:cs="Gill Sans"/>
                <w:color w:val="000000"/>
                <w:szCs w:val="22"/>
              </w:rPr>
              <w:t xml:space="preserve"> </w:t>
            </w:r>
            <w:r w:rsidRPr="00CB0F57">
              <w:rPr>
                <w:rFonts w:ascii="Gill Sans" w:hAnsi="Gill Sans" w:cs="Gill Sans"/>
                <w:color w:val="000000"/>
                <w:szCs w:val="22"/>
              </w:rPr>
              <w:t>for over six months</w:t>
            </w:r>
            <w:r>
              <w:rPr>
                <w:rFonts w:ascii="Gill Sans" w:hAnsi="Gill Sans" w:cs="Gill Sans"/>
                <w:color w:val="000000"/>
                <w:szCs w:val="22"/>
              </w:rPr>
              <w:t>” (p.235)</w:t>
            </w:r>
            <w:r w:rsidR="000814A1">
              <w:rPr>
                <w:rFonts w:ascii="Gill Sans" w:hAnsi="Gill Sans" w:cs="Gill Sans"/>
                <w:color w:val="000000"/>
                <w:szCs w:val="22"/>
              </w:rPr>
              <w:t>.</w:t>
            </w:r>
          </w:p>
          <w:p w14:paraId="0EF70DC9" w14:textId="7BFFDCFE" w:rsidR="000814A1" w:rsidRPr="00666BF5" w:rsidRDefault="000814A1" w:rsidP="000814A1">
            <w:pPr>
              <w:rPr>
                <w:rFonts w:ascii="Gill Sans" w:hAnsi="Gill Sans" w:cs="Gill Sans"/>
                <w:color w:val="000000"/>
                <w:szCs w:val="22"/>
              </w:rPr>
            </w:pPr>
            <w:r>
              <w:rPr>
                <w:rFonts w:ascii="Gill Sans" w:hAnsi="Gill Sans" w:cs="Gill Sans"/>
                <w:color w:val="000000"/>
                <w:szCs w:val="22"/>
              </w:rPr>
              <w:t>Regression analysis suggests “</w:t>
            </w:r>
            <w:r w:rsidRPr="000814A1">
              <w:rPr>
                <w:rFonts w:ascii="Gill Sans" w:hAnsi="Gill Sans" w:cs="Gill Sans"/>
                <w:color w:val="000000"/>
                <w:szCs w:val="22"/>
              </w:rPr>
              <w:t>both males and (particularly) females</w:t>
            </w:r>
            <w:r>
              <w:rPr>
                <w:rFonts w:ascii="Gill Sans" w:hAnsi="Gill Sans" w:cs="Gill Sans"/>
                <w:color w:val="000000"/>
                <w:szCs w:val="22"/>
              </w:rPr>
              <w:t xml:space="preserve"> </w:t>
            </w:r>
            <w:r w:rsidRPr="000814A1">
              <w:rPr>
                <w:rFonts w:ascii="Gill Sans" w:hAnsi="Gill Sans" w:cs="Gill Sans"/>
                <w:color w:val="000000"/>
                <w:szCs w:val="22"/>
              </w:rPr>
              <w:t>having made a non-linear transition was associated with a significant reduction</w:t>
            </w:r>
            <w:r>
              <w:rPr>
                <w:rFonts w:ascii="Gill Sans" w:hAnsi="Gill Sans" w:cs="Gill Sans"/>
                <w:color w:val="000000"/>
                <w:szCs w:val="22"/>
              </w:rPr>
              <w:t xml:space="preserve"> </w:t>
            </w:r>
            <w:r w:rsidRPr="000814A1">
              <w:rPr>
                <w:rFonts w:ascii="Gill Sans" w:hAnsi="Gill Sans" w:cs="Gill Sans"/>
                <w:color w:val="000000"/>
                <w:szCs w:val="22"/>
              </w:rPr>
              <w:t>in the chances of being in full-time employment at age 23 while for males</w:t>
            </w:r>
            <w:r>
              <w:rPr>
                <w:rFonts w:ascii="Gill Sans" w:hAnsi="Gill Sans" w:cs="Gill Sans"/>
                <w:color w:val="000000"/>
                <w:szCs w:val="22"/>
              </w:rPr>
              <w:t xml:space="preserve"> </w:t>
            </w:r>
            <w:r w:rsidRPr="000814A1">
              <w:rPr>
                <w:rFonts w:ascii="Gill Sans" w:hAnsi="Gill Sans" w:cs="Gill Sans"/>
                <w:color w:val="000000"/>
                <w:szCs w:val="22"/>
              </w:rPr>
              <w:t>having been expelled or suspended from school was also significant</w:t>
            </w:r>
            <w:r>
              <w:rPr>
                <w:rFonts w:ascii="Gill Sans" w:hAnsi="Gill Sans" w:cs="Gill Sans"/>
                <w:color w:val="000000"/>
                <w:szCs w:val="22"/>
              </w:rPr>
              <w:t>” (p.236). Being</w:t>
            </w:r>
            <w:r w:rsidR="000E0358">
              <w:rPr>
                <w:rFonts w:ascii="Gill Sans" w:hAnsi="Gill Sans" w:cs="Gill Sans"/>
                <w:color w:val="000000"/>
                <w:szCs w:val="22"/>
              </w:rPr>
              <w:t xml:space="preserve"> male and</w:t>
            </w:r>
            <w:r>
              <w:rPr>
                <w:rFonts w:ascii="Gill Sans" w:hAnsi="Gill Sans" w:cs="Gill Sans"/>
                <w:color w:val="000000"/>
                <w:szCs w:val="22"/>
              </w:rPr>
              <w:t xml:space="preserve"> unemployed for over 12 months significantly reduces likelihood of employment by age 23</w:t>
            </w:r>
            <w:r w:rsidR="000E0358">
              <w:rPr>
                <w:rFonts w:ascii="Gill Sans" w:hAnsi="Gill Sans" w:cs="Gill Sans"/>
                <w:color w:val="000000"/>
                <w:szCs w:val="22"/>
              </w:rPr>
              <w:t>; for women, the number of moves made = more significant</w:t>
            </w:r>
          </w:p>
          <w:p w14:paraId="3AB08819" w14:textId="7D7863E6" w:rsidR="00076E76" w:rsidRPr="000E0358" w:rsidRDefault="00D94B90" w:rsidP="007E0CE4">
            <w:pPr>
              <w:rPr>
                <w:rFonts w:ascii="Gill Sans" w:hAnsi="Gill Sans" w:cs="Gill Sans"/>
                <w:color w:val="000000"/>
                <w:szCs w:val="22"/>
                <w:lang w:val="en-AU"/>
              </w:rPr>
            </w:pPr>
            <w:r w:rsidRPr="00076E76">
              <w:rPr>
                <w:rFonts w:ascii="Gill Sans" w:hAnsi="Gill Sans" w:cs="Gill Sans"/>
                <w:b/>
                <w:color w:val="000000"/>
                <w:szCs w:val="22"/>
                <w:lang w:val="en-AU"/>
              </w:rPr>
              <w:t>Core argument:</w:t>
            </w:r>
            <w:r w:rsidR="000E0358">
              <w:rPr>
                <w:rFonts w:ascii="Gill Sans" w:hAnsi="Gill Sans" w:cs="Gill Sans"/>
                <w:b/>
                <w:color w:val="000000"/>
                <w:szCs w:val="22"/>
                <w:lang w:val="en-AU"/>
              </w:rPr>
              <w:t xml:space="preserve"> </w:t>
            </w:r>
            <w:r w:rsidR="000E0358">
              <w:rPr>
                <w:rFonts w:ascii="Gill Sans" w:hAnsi="Gill Sans" w:cs="Gill Sans"/>
                <w:color w:val="000000"/>
                <w:szCs w:val="22"/>
                <w:lang w:val="en-AU"/>
              </w:rPr>
              <w:t>It may not be true that transitions are getting more complex and the de-</w:t>
            </w:r>
            <w:proofErr w:type="spellStart"/>
            <w:r w:rsidR="000E0358">
              <w:rPr>
                <w:rFonts w:ascii="Gill Sans" w:hAnsi="Gill Sans" w:cs="Gill Sans"/>
                <w:color w:val="000000"/>
                <w:szCs w:val="22"/>
                <w:lang w:val="en-AU"/>
              </w:rPr>
              <w:t>linearisation</w:t>
            </w:r>
            <w:proofErr w:type="spellEnd"/>
            <w:r w:rsidR="000E0358">
              <w:rPr>
                <w:rFonts w:ascii="Gill Sans" w:hAnsi="Gill Sans" w:cs="Gill Sans"/>
                <w:color w:val="000000"/>
                <w:szCs w:val="22"/>
                <w:lang w:val="en-AU"/>
              </w:rPr>
              <w:t xml:space="preserve"> of youth transitions may “have been overstated” (p.238)</w:t>
            </w:r>
            <w:r w:rsidR="00B56D5B">
              <w:rPr>
                <w:rFonts w:ascii="Gill Sans" w:hAnsi="Gill Sans" w:cs="Gill Sans"/>
                <w:color w:val="000000"/>
                <w:szCs w:val="22"/>
                <w:lang w:val="en-AU"/>
              </w:rPr>
              <w:t>. There is a strong link between non-linear (complex) transitions and disadvantage.</w:t>
            </w:r>
          </w:p>
        </w:tc>
      </w:tr>
      <w:tr w:rsidR="00F934ED" w:rsidRPr="00076E76" w14:paraId="5C7D483E" w14:textId="77777777" w:rsidTr="00B56D5B">
        <w:tc>
          <w:tcPr>
            <w:tcW w:w="5529" w:type="dxa"/>
            <w:shd w:val="clear" w:color="auto" w:fill="auto"/>
          </w:tcPr>
          <w:p w14:paraId="61F827BC" w14:textId="04A06907" w:rsidR="00F934ED" w:rsidRPr="00F934ED" w:rsidRDefault="00F934ED" w:rsidP="00F934ED">
            <w:pPr>
              <w:pStyle w:val="NormalWeb"/>
              <w:spacing w:line="240" w:lineRule="auto"/>
              <w:rPr>
                <w:rFonts w:ascii="Gill Sans MT" w:hAnsi="Gill Sans MT"/>
                <w:sz w:val="22"/>
                <w:szCs w:val="22"/>
                <w:lang w:val="en-US"/>
              </w:rPr>
            </w:pPr>
            <w:r w:rsidRPr="00F934ED">
              <w:rPr>
                <w:rFonts w:ascii="Gill Sans MT" w:hAnsi="Gill Sans MT"/>
                <w:sz w:val="22"/>
                <w:szCs w:val="22"/>
                <w:lang w:val="en-US"/>
              </w:rPr>
              <w:lastRenderedPageBreak/>
              <w:t xml:space="preserve">Gale, T. &amp; S. Parker. (2011). </w:t>
            </w:r>
            <w:hyperlink r:id="rId60" w:history="1">
              <w:r w:rsidRPr="00C0326A">
                <w:rPr>
                  <w:rStyle w:val="Hyperlink"/>
                  <w:rFonts w:ascii="Gill Sans MT" w:hAnsi="Gill Sans MT"/>
                  <w:i/>
                  <w:sz w:val="22"/>
                  <w:szCs w:val="22"/>
                  <w:lang w:val="en-US"/>
                </w:rPr>
                <w:t>Student transition into higher education. ALTC Good Practice Report</w:t>
              </w:r>
            </w:hyperlink>
            <w:r w:rsidRPr="00F934ED">
              <w:rPr>
                <w:rFonts w:ascii="Gill Sans MT" w:hAnsi="Gill Sans MT"/>
                <w:sz w:val="22"/>
                <w:szCs w:val="22"/>
                <w:lang w:val="en-US"/>
              </w:rPr>
              <w:t>. Surry Hills, NSW: Australian Learning and Teaching Council.</w:t>
            </w:r>
          </w:p>
          <w:p w14:paraId="73C83643" w14:textId="77777777" w:rsidR="00F934ED" w:rsidRDefault="00F934ED" w:rsidP="00F934ED">
            <w:pPr>
              <w:rPr>
                <w:rFonts w:ascii="Gill Sans MT" w:hAnsi="Gill Sans MT"/>
                <w:szCs w:val="22"/>
              </w:rPr>
            </w:pPr>
            <w:r w:rsidRPr="00F934ED">
              <w:rPr>
                <w:rFonts w:ascii="Gill Sans MT" w:hAnsi="Gill Sans MT"/>
                <w:szCs w:val="22"/>
              </w:rPr>
              <w:t>AUS</w:t>
            </w:r>
          </w:p>
          <w:p w14:paraId="73875F2B" w14:textId="1DE03619" w:rsidR="00F934ED" w:rsidRPr="00F934ED" w:rsidRDefault="00F934ED" w:rsidP="00F934ED">
            <w:pPr>
              <w:rPr>
                <w:rFonts w:ascii="Gill Sans MT" w:hAnsi="Gill Sans MT" w:cs="Gill Sans"/>
                <w:szCs w:val="22"/>
              </w:rPr>
            </w:pPr>
            <w:r w:rsidRPr="001668A9">
              <w:rPr>
                <w:rFonts w:ascii="Gill Sans" w:eastAsia="Times New Roman" w:hAnsi="Gill Sans" w:cs="Gill Sans"/>
                <w:color w:val="000000"/>
                <w:lang w:eastAsia="en-AU"/>
              </w:rPr>
              <w:t>Annotation written by</w:t>
            </w:r>
            <w:r>
              <w:rPr>
                <w:rFonts w:ascii="Gill Sans" w:eastAsia="Times New Roman" w:hAnsi="Gill Sans" w:cs="Gill Sans"/>
                <w:color w:val="000000"/>
                <w:lang w:eastAsia="en-AU"/>
              </w:rPr>
              <w:t xml:space="preserve"> Sally Baker</w:t>
            </w:r>
          </w:p>
        </w:tc>
        <w:tc>
          <w:tcPr>
            <w:tcW w:w="10064" w:type="dxa"/>
          </w:tcPr>
          <w:p w14:paraId="4B75E6C1" w14:textId="77777777" w:rsidR="00F934ED" w:rsidRPr="00F934ED" w:rsidRDefault="00F934ED" w:rsidP="00F934ED">
            <w:pPr>
              <w:rPr>
                <w:rFonts w:ascii="Gill Sans MT" w:hAnsi="Gill Sans MT"/>
                <w:color w:val="000000"/>
                <w:szCs w:val="22"/>
                <w:lang w:val="en-AU"/>
              </w:rPr>
            </w:pPr>
            <w:r w:rsidRPr="00F934ED">
              <w:rPr>
                <w:rFonts w:ascii="Gill Sans MT" w:hAnsi="Gill Sans MT"/>
                <w:b/>
                <w:color w:val="000000"/>
                <w:szCs w:val="22"/>
                <w:lang w:val="en-AU"/>
              </w:rPr>
              <w:t xml:space="preserve">Context: </w:t>
            </w:r>
            <w:r w:rsidRPr="00F934ED">
              <w:rPr>
                <w:rFonts w:ascii="Gill Sans MT" w:hAnsi="Gill Sans MT"/>
                <w:color w:val="000000"/>
                <w:szCs w:val="22"/>
                <w:lang w:val="en-AU"/>
              </w:rPr>
              <w:t xml:space="preserve">ALTC-funded project to examine 19 funded projects, 5 fellowships on transition (between 2006-2010) so as to contribute to understandings of transition into HE. Projects/ fellowships = either under or postgraduate focus. Only 2 = specific focus on transition (one = Sally </w:t>
            </w:r>
            <w:proofErr w:type="spellStart"/>
            <w:r w:rsidRPr="00F934ED">
              <w:rPr>
                <w:rFonts w:ascii="Gill Sans MT" w:hAnsi="Gill Sans MT"/>
                <w:color w:val="000000"/>
                <w:szCs w:val="22"/>
                <w:lang w:val="en-AU"/>
              </w:rPr>
              <w:t>Kift’s</w:t>
            </w:r>
            <w:proofErr w:type="spellEnd"/>
            <w:r w:rsidRPr="00F934ED">
              <w:rPr>
                <w:rFonts w:ascii="Gill Sans MT" w:hAnsi="Gill Sans MT"/>
                <w:color w:val="000000"/>
                <w:szCs w:val="22"/>
                <w:lang w:val="en-AU"/>
              </w:rPr>
              <w:t xml:space="preserve"> fellowship). As explicit focus = transition is usually focused at UG level</w:t>
            </w:r>
          </w:p>
          <w:p w14:paraId="05225B39" w14:textId="77777777" w:rsidR="00F934ED" w:rsidRPr="00F934ED" w:rsidRDefault="00F934ED" w:rsidP="00F934ED">
            <w:pPr>
              <w:rPr>
                <w:rFonts w:ascii="Gill Sans MT" w:hAnsi="Gill Sans MT"/>
                <w:color w:val="000000"/>
                <w:szCs w:val="22"/>
                <w:lang w:val="en-AU"/>
              </w:rPr>
            </w:pPr>
            <w:r w:rsidRPr="00F934ED">
              <w:rPr>
                <w:rFonts w:ascii="Gill Sans MT" w:hAnsi="Gill Sans MT"/>
                <w:b/>
                <w:color w:val="000000"/>
                <w:szCs w:val="22"/>
                <w:lang w:val="en-AU"/>
              </w:rPr>
              <w:t xml:space="preserve">Methodology: </w:t>
            </w:r>
            <w:r w:rsidRPr="00F934ED">
              <w:rPr>
                <w:rFonts w:ascii="Gill Sans MT" w:hAnsi="Gill Sans MT"/>
                <w:color w:val="000000"/>
                <w:szCs w:val="22"/>
                <w:lang w:val="en-AU"/>
              </w:rPr>
              <w:t>Review of 24 projects and fellowships; literature review</w:t>
            </w:r>
          </w:p>
          <w:p w14:paraId="12125CC5" w14:textId="77777777" w:rsidR="00F934ED" w:rsidRPr="00F934ED" w:rsidRDefault="00F934ED" w:rsidP="00F934ED">
            <w:pPr>
              <w:rPr>
                <w:rFonts w:ascii="Gill Sans MT" w:hAnsi="Gill Sans MT"/>
                <w:b/>
                <w:color w:val="000000"/>
                <w:szCs w:val="22"/>
                <w:lang w:val="en-AU"/>
              </w:rPr>
            </w:pPr>
            <w:r w:rsidRPr="00F934ED">
              <w:rPr>
                <w:rFonts w:ascii="Gill Sans MT" w:hAnsi="Gill Sans MT"/>
                <w:b/>
                <w:color w:val="000000"/>
                <w:szCs w:val="22"/>
                <w:lang w:val="en-AU"/>
              </w:rPr>
              <w:t xml:space="preserve">Findings: </w:t>
            </w:r>
          </w:p>
          <w:p w14:paraId="657DBAD8" w14:textId="77777777" w:rsidR="00F934ED" w:rsidRPr="00F934ED" w:rsidRDefault="00F934ED" w:rsidP="00F934ED">
            <w:pPr>
              <w:rPr>
                <w:rFonts w:ascii="Gill Sans MT" w:hAnsi="Gill Sans MT"/>
                <w:color w:val="000000"/>
                <w:szCs w:val="22"/>
                <w:lang w:val="en-AU"/>
              </w:rPr>
            </w:pPr>
            <w:r w:rsidRPr="00F934ED">
              <w:rPr>
                <w:rFonts w:ascii="Gill Sans MT" w:hAnsi="Gill Sans MT"/>
                <w:color w:val="000000"/>
                <w:szCs w:val="22"/>
                <w:lang w:val="en-AU"/>
              </w:rPr>
              <w:t>Two key observations: 1) HE is distinctive cultural context; 2) HE = governed by (particular forms of) cultural capital.</w:t>
            </w:r>
          </w:p>
          <w:p w14:paraId="2375E309" w14:textId="77777777" w:rsidR="00F934ED" w:rsidRPr="00F934ED" w:rsidRDefault="00F934ED" w:rsidP="00F934ED">
            <w:pPr>
              <w:rPr>
                <w:rFonts w:ascii="Gill Sans MT" w:hAnsi="Gill Sans MT"/>
                <w:color w:val="000000"/>
                <w:szCs w:val="22"/>
                <w:lang w:val="en-AU"/>
              </w:rPr>
            </w:pPr>
            <w:r w:rsidRPr="00F934ED">
              <w:rPr>
                <w:rFonts w:ascii="Gill Sans MT" w:hAnsi="Gill Sans MT"/>
                <w:color w:val="000000"/>
                <w:szCs w:val="22"/>
                <w:lang w:val="en-AU"/>
              </w:rPr>
              <w:t>Offers three-part typology of transition (p.25):</w:t>
            </w:r>
          </w:p>
          <w:p w14:paraId="7C939FB1" w14:textId="77777777" w:rsidR="00F934ED" w:rsidRPr="00F934ED" w:rsidRDefault="00F934ED" w:rsidP="00F934ED">
            <w:pPr>
              <w:rPr>
                <w:rFonts w:ascii="Gill Sans MT" w:hAnsi="Gill Sans MT"/>
                <w:szCs w:val="22"/>
              </w:rPr>
            </w:pPr>
            <w:r w:rsidRPr="00F934ED">
              <w:rPr>
                <w:rFonts w:ascii="Gill Sans MT" w:hAnsi="Gill Sans MT"/>
                <w:szCs w:val="22"/>
              </w:rPr>
              <w:t xml:space="preserve">1. as </w:t>
            </w:r>
            <w:r w:rsidRPr="00F934ED">
              <w:rPr>
                <w:rFonts w:ascii="Gill Sans MT" w:hAnsi="Gill Sans MT"/>
                <w:i/>
                <w:iCs/>
                <w:szCs w:val="22"/>
              </w:rPr>
              <w:t>induction</w:t>
            </w:r>
            <w:r w:rsidRPr="00F934ED">
              <w:rPr>
                <w:rFonts w:ascii="Gill Sans MT" w:hAnsi="Gill Sans MT"/>
                <w:szCs w:val="22"/>
              </w:rPr>
              <w:t>: sequentially defined periods of adjustment involving pathways of inculcation, from one institutional and/or disciplinary context to another (</w:t>
            </w:r>
            <w:r w:rsidRPr="00F934ED">
              <w:rPr>
                <w:rFonts w:ascii="Gill Sans MT" w:hAnsi="Gill Sans MT"/>
                <w:i/>
                <w:iCs/>
                <w:szCs w:val="22"/>
              </w:rPr>
              <w:t>T</w:t>
            </w:r>
            <w:r w:rsidRPr="00F934ED">
              <w:rPr>
                <w:rFonts w:ascii="Gill Sans MT" w:hAnsi="Gill Sans MT"/>
                <w:i/>
                <w:iCs/>
                <w:sz w:val="14"/>
                <w:szCs w:val="14"/>
              </w:rPr>
              <w:t>1</w:t>
            </w:r>
            <w:r w:rsidRPr="00F934ED">
              <w:rPr>
                <w:rFonts w:ascii="Gill Sans MT" w:hAnsi="Gill Sans MT"/>
                <w:szCs w:val="22"/>
              </w:rPr>
              <w:t xml:space="preserve">); </w:t>
            </w:r>
          </w:p>
          <w:p w14:paraId="466237D2" w14:textId="77777777" w:rsidR="00F934ED" w:rsidRPr="00F934ED" w:rsidRDefault="00F934ED" w:rsidP="00F934ED">
            <w:pPr>
              <w:rPr>
                <w:rFonts w:ascii="Gill Sans MT" w:hAnsi="Gill Sans MT"/>
                <w:szCs w:val="22"/>
              </w:rPr>
            </w:pPr>
            <w:r w:rsidRPr="00F934ED">
              <w:rPr>
                <w:rFonts w:ascii="Gill Sans MT" w:hAnsi="Gill Sans MT"/>
                <w:szCs w:val="22"/>
              </w:rPr>
              <w:lastRenderedPageBreak/>
              <w:t xml:space="preserve">2. as </w:t>
            </w:r>
            <w:r w:rsidRPr="00F934ED">
              <w:rPr>
                <w:rFonts w:ascii="Gill Sans MT" w:hAnsi="Gill Sans MT"/>
                <w:i/>
                <w:iCs/>
                <w:szCs w:val="22"/>
              </w:rPr>
              <w:t>development</w:t>
            </w:r>
            <w:r w:rsidRPr="00F934ED">
              <w:rPr>
                <w:rFonts w:ascii="Gill Sans MT" w:hAnsi="Gill Sans MT"/>
                <w:szCs w:val="22"/>
              </w:rPr>
              <w:t>: qualitatively distinct stages of maturation involving trajectories of transformation, from one student and/or career identity to another (</w:t>
            </w:r>
            <w:r w:rsidRPr="00F934ED">
              <w:rPr>
                <w:rFonts w:ascii="Gill Sans MT" w:hAnsi="Gill Sans MT"/>
                <w:i/>
                <w:iCs/>
                <w:szCs w:val="22"/>
              </w:rPr>
              <w:t>T</w:t>
            </w:r>
            <w:r w:rsidRPr="00F934ED">
              <w:rPr>
                <w:rFonts w:ascii="Gill Sans MT" w:hAnsi="Gill Sans MT"/>
                <w:i/>
                <w:iCs/>
                <w:sz w:val="14"/>
                <w:szCs w:val="14"/>
              </w:rPr>
              <w:t>2</w:t>
            </w:r>
            <w:r w:rsidRPr="00F934ED">
              <w:rPr>
                <w:rFonts w:ascii="Gill Sans MT" w:hAnsi="Gill Sans MT"/>
                <w:szCs w:val="22"/>
              </w:rPr>
              <w:t xml:space="preserve">); or </w:t>
            </w:r>
          </w:p>
          <w:p w14:paraId="41044A22" w14:textId="77777777" w:rsidR="00F934ED" w:rsidRPr="00F934ED" w:rsidRDefault="00F934ED" w:rsidP="00F934ED">
            <w:pPr>
              <w:rPr>
                <w:rFonts w:ascii="Gill Sans MT" w:hAnsi="Gill Sans MT"/>
                <w:szCs w:val="22"/>
              </w:rPr>
            </w:pPr>
            <w:r w:rsidRPr="00F934ED">
              <w:rPr>
                <w:rFonts w:ascii="Gill Sans MT" w:hAnsi="Gill Sans MT"/>
                <w:szCs w:val="22"/>
              </w:rPr>
              <w:t xml:space="preserve">3. as </w:t>
            </w:r>
            <w:r w:rsidRPr="00F934ED">
              <w:rPr>
                <w:rFonts w:ascii="Gill Sans MT" w:hAnsi="Gill Sans MT"/>
                <w:i/>
                <w:iCs/>
                <w:szCs w:val="22"/>
              </w:rPr>
              <w:t>becoming</w:t>
            </w:r>
            <w:r w:rsidRPr="00F934ED">
              <w:rPr>
                <w:rFonts w:ascii="Gill Sans MT" w:hAnsi="Gill Sans MT"/>
                <w:szCs w:val="22"/>
              </w:rPr>
              <w:t>: a perpetual series of fragmented movements involving whole-of-life fluctuations in lived reality or subjective experience, from birth to death (</w:t>
            </w:r>
            <w:r w:rsidRPr="00F934ED">
              <w:rPr>
                <w:rFonts w:ascii="Gill Sans MT" w:hAnsi="Gill Sans MT"/>
                <w:i/>
                <w:iCs/>
                <w:szCs w:val="22"/>
              </w:rPr>
              <w:t>T</w:t>
            </w:r>
            <w:r w:rsidRPr="00F934ED">
              <w:rPr>
                <w:rFonts w:ascii="Gill Sans MT" w:hAnsi="Gill Sans MT"/>
                <w:i/>
                <w:iCs/>
                <w:sz w:val="14"/>
                <w:szCs w:val="14"/>
              </w:rPr>
              <w:t>3</w:t>
            </w:r>
            <w:r w:rsidRPr="00F934ED">
              <w:rPr>
                <w:rFonts w:ascii="Gill Sans MT" w:hAnsi="Gill Sans MT"/>
                <w:szCs w:val="22"/>
              </w:rPr>
              <w:t xml:space="preserve">). </w:t>
            </w:r>
          </w:p>
          <w:p w14:paraId="5C9CC1D5" w14:textId="77777777" w:rsidR="00F934ED" w:rsidRPr="00F934ED" w:rsidRDefault="00F934ED" w:rsidP="00F934ED">
            <w:pPr>
              <w:rPr>
                <w:rFonts w:ascii="Gill Sans MT" w:hAnsi="Gill Sans MT"/>
                <w:b/>
                <w:szCs w:val="22"/>
              </w:rPr>
            </w:pPr>
            <w:r w:rsidRPr="00F934ED">
              <w:rPr>
                <w:rFonts w:ascii="Gill Sans MT" w:hAnsi="Gill Sans MT"/>
                <w:b/>
                <w:szCs w:val="22"/>
              </w:rPr>
              <w:t>Recommendations:</w:t>
            </w:r>
          </w:p>
          <w:p w14:paraId="04C4ED29" w14:textId="77777777" w:rsidR="00F934ED" w:rsidRPr="00F934ED" w:rsidRDefault="00F934ED" w:rsidP="00F934ED">
            <w:pPr>
              <w:pStyle w:val="ListParagraph"/>
              <w:numPr>
                <w:ilvl w:val="0"/>
                <w:numId w:val="40"/>
              </w:numPr>
              <w:rPr>
                <w:rFonts w:ascii="Gill Sans MT" w:hAnsi="Gill Sans MT"/>
                <w:szCs w:val="22"/>
              </w:rPr>
            </w:pPr>
            <w:r w:rsidRPr="00F934ED">
              <w:rPr>
                <w:rFonts w:ascii="Gill Sans MT" w:hAnsi="Gill Sans MT"/>
                <w:szCs w:val="22"/>
              </w:rPr>
              <w:t>Declare how transition is defined (it is often undefined or taken to be commonsensical)</w:t>
            </w:r>
          </w:p>
          <w:p w14:paraId="11CAFD23" w14:textId="77777777" w:rsidR="00F934ED" w:rsidRPr="00F934ED" w:rsidRDefault="00F934ED" w:rsidP="00F934ED">
            <w:pPr>
              <w:pStyle w:val="ListParagraph"/>
              <w:numPr>
                <w:ilvl w:val="0"/>
                <w:numId w:val="40"/>
              </w:numPr>
              <w:rPr>
                <w:rFonts w:ascii="Gill Sans MT" w:hAnsi="Gill Sans MT"/>
                <w:szCs w:val="22"/>
              </w:rPr>
            </w:pPr>
            <w:r w:rsidRPr="00F934ED">
              <w:rPr>
                <w:rFonts w:ascii="Gill Sans MT" w:hAnsi="Gill Sans MT"/>
                <w:szCs w:val="22"/>
              </w:rPr>
              <w:t>Draw on related fields and bodies of knowledge (e.g. youth and life transitions, social theory)</w:t>
            </w:r>
          </w:p>
          <w:p w14:paraId="335DE6E1" w14:textId="77777777" w:rsidR="00F934ED" w:rsidRPr="00F934ED" w:rsidRDefault="00F934ED" w:rsidP="00F934ED">
            <w:pPr>
              <w:pStyle w:val="ListParagraph"/>
              <w:numPr>
                <w:ilvl w:val="0"/>
                <w:numId w:val="40"/>
              </w:numPr>
              <w:rPr>
                <w:rFonts w:ascii="Gill Sans MT" w:hAnsi="Gill Sans MT"/>
                <w:szCs w:val="22"/>
              </w:rPr>
            </w:pPr>
            <w:r w:rsidRPr="00F934ED">
              <w:rPr>
                <w:rFonts w:ascii="Gill Sans MT" w:hAnsi="Gill Sans MT"/>
                <w:szCs w:val="22"/>
              </w:rPr>
              <w:t>Foregrounds students’ lived experiences/ realities</w:t>
            </w:r>
          </w:p>
          <w:p w14:paraId="2B5AFBDE" w14:textId="346F244C" w:rsidR="00F934ED" w:rsidRPr="00F934ED" w:rsidRDefault="00F934ED" w:rsidP="00F934ED">
            <w:pPr>
              <w:rPr>
                <w:rFonts w:ascii="Gill Sans MT" w:hAnsi="Gill Sans MT" w:cs="Gill Sans"/>
                <w:b/>
                <w:color w:val="000000"/>
                <w:szCs w:val="22"/>
                <w:lang w:val="en-AU"/>
              </w:rPr>
            </w:pPr>
            <w:r w:rsidRPr="00F934ED">
              <w:rPr>
                <w:rFonts w:ascii="Gill Sans MT" w:hAnsi="Gill Sans MT"/>
                <w:szCs w:val="22"/>
              </w:rPr>
              <w:t>Broaden the scope of investigation (include vertical and horizontal transitions)</w:t>
            </w:r>
          </w:p>
        </w:tc>
      </w:tr>
      <w:tr w:rsidR="00F934ED" w:rsidRPr="00076E76" w14:paraId="4449F3B2" w14:textId="77777777" w:rsidTr="00B56D5B">
        <w:tc>
          <w:tcPr>
            <w:tcW w:w="5529" w:type="dxa"/>
            <w:shd w:val="clear" w:color="auto" w:fill="auto"/>
          </w:tcPr>
          <w:p w14:paraId="670EE201" w14:textId="4D568001" w:rsidR="00C0326A" w:rsidRDefault="00C0326A" w:rsidP="00C0326A">
            <w:pPr>
              <w:pStyle w:val="NormalWeb"/>
              <w:spacing w:before="0" w:beforeAutospacing="0" w:after="0" w:afterAutospacing="0" w:line="240" w:lineRule="auto"/>
              <w:rPr>
                <w:rFonts w:ascii="Gill Sans MT" w:eastAsia="Calibri" w:hAnsi="Gill Sans MT" w:cs="Calibri"/>
                <w:sz w:val="22"/>
                <w:szCs w:val="22"/>
              </w:rPr>
            </w:pPr>
            <w:r w:rsidRPr="00C0326A">
              <w:rPr>
                <w:rFonts w:ascii="Gill Sans MT" w:hAnsi="Gill Sans MT" w:cs="Arial"/>
                <w:color w:val="000000"/>
                <w:sz w:val="22"/>
                <w:szCs w:val="22"/>
              </w:rPr>
              <w:lastRenderedPageBreak/>
              <w:t xml:space="preserve">Gale, </w:t>
            </w:r>
            <w:r>
              <w:rPr>
                <w:rFonts w:ascii="Gill Sans MT" w:hAnsi="Gill Sans MT" w:cs="Arial"/>
                <w:color w:val="000000"/>
                <w:sz w:val="22"/>
                <w:szCs w:val="22"/>
              </w:rPr>
              <w:t>T. &amp; Parker, S.</w:t>
            </w:r>
            <w:r w:rsidRPr="00C0326A">
              <w:rPr>
                <w:rFonts w:ascii="Gill Sans MT" w:hAnsi="Gill Sans MT" w:cs="Arial"/>
                <w:color w:val="000000"/>
                <w:sz w:val="22"/>
                <w:szCs w:val="22"/>
              </w:rPr>
              <w:t xml:space="preserve"> </w:t>
            </w:r>
            <w:r>
              <w:rPr>
                <w:rFonts w:ascii="Gill Sans MT" w:hAnsi="Gill Sans MT" w:cs="Arial"/>
                <w:color w:val="000000"/>
                <w:sz w:val="22"/>
                <w:szCs w:val="22"/>
              </w:rPr>
              <w:t>(</w:t>
            </w:r>
            <w:r w:rsidRPr="00C0326A">
              <w:rPr>
                <w:rFonts w:ascii="Gill Sans MT" w:hAnsi="Gill Sans MT" w:cs="Arial"/>
                <w:color w:val="000000"/>
                <w:sz w:val="22"/>
                <w:szCs w:val="22"/>
              </w:rPr>
              <w:t>2014</w:t>
            </w:r>
            <w:r>
              <w:rPr>
                <w:rFonts w:ascii="Gill Sans MT" w:hAnsi="Gill Sans MT" w:cs="Arial"/>
                <w:color w:val="000000"/>
                <w:sz w:val="22"/>
                <w:szCs w:val="22"/>
              </w:rPr>
              <w:t>).</w:t>
            </w:r>
            <w:r w:rsidRPr="00C0326A">
              <w:rPr>
                <w:rFonts w:ascii="Gill Sans MT" w:hAnsi="Gill Sans MT" w:cs="Arial"/>
                <w:color w:val="000000"/>
                <w:sz w:val="22"/>
                <w:szCs w:val="22"/>
              </w:rPr>
              <w:t xml:space="preserve"> </w:t>
            </w:r>
            <w:hyperlink r:id="rId61" w:history="1">
              <w:r w:rsidRPr="00500B09">
                <w:rPr>
                  <w:rStyle w:val="Hyperlink"/>
                  <w:rFonts w:ascii="Gill Sans MT" w:hAnsi="Gill Sans MT" w:cs="Arial"/>
                  <w:sz w:val="22"/>
                  <w:szCs w:val="22"/>
                </w:rPr>
                <w:t>Navigating</w:t>
              </w:r>
              <w:r w:rsidRPr="00500B09">
                <w:rPr>
                  <w:rStyle w:val="Hyperlink"/>
                  <w:rFonts w:ascii="Arial" w:hAnsi="Arial" w:cs="Arial"/>
                  <w:sz w:val="21"/>
                  <w:szCs w:val="21"/>
                </w:rPr>
                <w:t xml:space="preserve"> </w:t>
              </w:r>
              <w:r w:rsidRPr="00500B09">
                <w:rPr>
                  <w:rStyle w:val="Hyperlink"/>
                  <w:rFonts w:ascii="Gill Sans MT" w:hAnsi="Gill Sans MT" w:cs="Arial"/>
                  <w:sz w:val="22"/>
                  <w:szCs w:val="22"/>
                </w:rPr>
                <w:t>student transition in higher education: induction, development, becoming.</w:t>
              </w:r>
            </w:hyperlink>
            <w:r w:rsidRPr="00C0326A">
              <w:rPr>
                <w:rFonts w:ascii="Gill Sans MT" w:hAnsi="Gill Sans MT" w:cs="Arial"/>
                <w:color w:val="000000"/>
                <w:sz w:val="22"/>
                <w:szCs w:val="22"/>
              </w:rPr>
              <w:t xml:space="preserve"> In B</w:t>
            </w:r>
            <w:r w:rsidR="00500B09">
              <w:rPr>
                <w:rFonts w:ascii="Gill Sans MT" w:hAnsi="Gill Sans MT" w:cs="Arial"/>
                <w:color w:val="000000"/>
                <w:sz w:val="22"/>
                <w:szCs w:val="22"/>
              </w:rPr>
              <w:t>.</w:t>
            </w:r>
            <w:r w:rsidRPr="00C0326A">
              <w:rPr>
                <w:rFonts w:ascii="Gill Sans MT" w:hAnsi="Gill Sans MT" w:cs="Arial"/>
                <w:color w:val="000000"/>
                <w:sz w:val="22"/>
                <w:szCs w:val="22"/>
              </w:rPr>
              <w:t xml:space="preserve"> Heather, F</w:t>
            </w:r>
            <w:r w:rsidR="00500B09">
              <w:rPr>
                <w:rFonts w:ascii="Gill Sans MT" w:hAnsi="Gill Sans MT" w:cs="Arial"/>
                <w:color w:val="000000"/>
                <w:sz w:val="22"/>
                <w:szCs w:val="22"/>
              </w:rPr>
              <w:t>.</w:t>
            </w:r>
            <w:r w:rsidRPr="00C0326A">
              <w:rPr>
                <w:rFonts w:ascii="Gill Sans MT" w:hAnsi="Gill Sans MT" w:cs="Arial"/>
                <w:color w:val="000000"/>
                <w:sz w:val="22"/>
                <w:szCs w:val="22"/>
              </w:rPr>
              <w:t xml:space="preserve"> Dean, M</w:t>
            </w:r>
            <w:r w:rsidR="00500B09">
              <w:rPr>
                <w:rFonts w:ascii="Gill Sans MT" w:hAnsi="Gill Sans MT" w:cs="Arial"/>
                <w:color w:val="000000"/>
                <w:sz w:val="22"/>
                <w:szCs w:val="22"/>
              </w:rPr>
              <w:t xml:space="preserve">. </w:t>
            </w:r>
            <w:r w:rsidRPr="00C0326A">
              <w:rPr>
                <w:rFonts w:ascii="Gill Sans MT" w:hAnsi="Gill Sans MT" w:cs="Arial"/>
                <w:color w:val="000000"/>
                <w:sz w:val="22"/>
                <w:szCs w:val="22"/>
              </w:rPr>
              <w:t>Mick and M</w:t>
            </w:r>
            <w:r w:rsidR="00500B09">
              <w:rPr>
                <w:rFonts w:ascii="Gill Sans MT" w:hAnsi="Gill Sans MT" w:cs="Arial"/>
                <w:color w:val="000000"/>
                <w:sz w:val="22"/>
                <w:szCs w:val="22"/>
              </w:rPr>
              <w:t xml:space="preserve">. </w:t>
            </w:r>
            <w:r w:rsidRPr="00C0326A">
              <w:rPr>
                <w:rFonts w:ascii="Gill Sans MT" w:hAnsi="Gill Sans MT" w:cs="Arial"/>
                <w:color w:val="000000"/>
                <w:sz w:val="22"/>
                <w:szCs w:val="22"/>
              </w:rPr>
              <w:t>Dee (</w:t>
            </w:r>
            <w:r>
              <w:rPr>
                <w:rFonts w:ascii="Gill Sans MT" w:hAnsi="Gill Sans MT" w:cs="Arial"/>
                <w:color w:val="000000"/>
                <w:sz w:val="22"/>
                <w:szCs w:val="22"/>
              </w:rPr>
              <w:t>Eds</w:t>
            </w:r>
            <w:r w:rsidRPr="00C0326A">
              <w:rPr>
                <w:rFonts w:ascii="Gill Sans MT" w:hAnsi="Gill Sans MT" w:cs="Arial"/>
                <w:color w:val="000000"/>
                <w:sz w:val="22"/>
                <w:szCs w:val="22"/>
              </w:rPr>
              <w:t>), </w:t>
            </w:r>
            <w:r w:rsidRPr="00C0326A">
              <w:rPr>
                <w:rFonts w:ascii="Gill Sans MT" w:hAnsi="Gill Sans MT" w:cs="Arial"/>
                <w:i/>
                <w:iCs/>
                <w:color w:val="000000"/>
                <w:sz w:val="22"/>
                <w:szCs w:val="22"/>
              </w:rPr>
              <w:t xml:space="preserve">Universities in </w:t>
            </w:r>
            <w:proofErr w:type="gramStart"/>
            <w:r w:rsidRPr="00C0326A">
              <w:rPr>
                <w:rFonts w:ascii="Gill Sans MT" w:hAnsi="Gill Sans MT" w:cs="Arial"/>
                <w:i/>
                <w:iCs/>
                <w:color w:val="000000"/>
                <w:sz w:val="22"/>
                <w:szCs w:val="22"/>
              </w:rPr>
              <w:t>transition :</w:t>
            </w:r>
            <w:proofErr w:type="gramEnd"/>
            <w:r w:rsidRPr="00C0326A">
              <w:rPr>
                <w:rFonts w:ascii="Gill Sans MT" w:hAnsi="Gill Sans MT" w:cs="Arial"/>
                <w:i/>
                <w:iCs/>
                <w:color w:val="000000"/>
                <w:sz w:val="22"/>
                <w:szCs w:val="22"/>
              </w:rPr>
              <w:t xml:space="preserve"> foregrounding social contexts of knowledge in the first year experience</w:t>
            </w:r>
            <w:r w:rsidRPr="00C0326A">
              <w:rPr>
                <w:rFonts w:ascii="Gill Sans MT" w:hAnsi="Gill Sans MT" w:cs="Arial"/>
                <w:color w:val="000000"/>
                <w:sz w:val="22"/>
                <w:szCs w:val="22"/>
              </w:rPr>
              <w:t>,</w:t>
            </w:r>
            <w:r w:rsidR="00500B09">
              <w:rPr>
                <w:rFonts w:ascii="Gill Sans MT" w:hAnsi="Gill Sans MT" w:cs="Arial"/>
                <w:color w:val="000000"/>
                <w:sz w:val="22"/>
                <w:szCs w:val="22"/>
              </w:rPr>
              <w:t xml:space="preserve"> (pp. 13-39).</w:t>
            </w:r>
            <w:r w:rsidRPr="00C0326A">
              <w:rPr>
                <w:rFonts w:ascii="Gill Sans MT" w:hAnsi="Gill Sans MT" w:cs="Arial"/>
                <w:color w:val="000000"/>
                <w:sz w:val="22"/>
                <w:szCs w:val="22"/>
              </w:rPr>
              <w:t xml:space="preserve"> </w:t>
            </w:r>
            <w:r w:rsidR="00500B09">
              <w:rPr>
                <w:rFonts w:ascii="Gill Sans MT" w:hAnsi="Gill Sans MT" w:cs="Arial"/>
                <w:color w:val="000000"/>
                <w:sz w:val="22"/>
                <w:szCs w:val="22"/>
              </w:rPr>
              <w:t xml:space="preserve">Adelaide: University of Adelaide Press. </w:t>
            </w:r>
          </w:p>
          <w:p w14:paraId="65734ABD" w14:textId="77777777" w:rsidR="00C0326A" w:rsidRDefault="00C0326A" w:rsidP="00C0326A">
            <w:pPr>
              <w:pStyle w:val="NormalWeb"/>
              <w:spacing w:before="0" w:beforeAutospacing="0" w:after="0" w:afterAutospacing="0" w:line="240" w:lineRule="auto"/>
              <w:rPr>
                <w:rFonts w:ascii="Gill Sans MT" w:eastAsia="Calibri" w:hAnsi="Gill Sans MT" w:cs="Calibri"/>
                <w:sz w:val="22"/>
                <w:szCs w:val="22"/>
              </w:rPr>
            </w:pPr>
          </w:p>
          <w:p w14:paraId="2E7FA15F" w14:textId="41012EF5" w:rsidR="00F934ED" w:rsidRPr="00C0326A" w:rsidRDefault="00F934ED" w:rsidP="00C0326A">
            <w:pPr>
              <w:pStyle w:val="NormalWeb"/>
              <w:spacing w:before="0" w:beforeAutospacing="0" w:after="0" w:afterAutospacing="0" w:line="240" w:lineRule="auto"/>
              <w:rPr>
                <w:rFonts w:ascii="Gill Sans MT" w:eastAsia="Calibri" w:hAnsi="Gill Sans MT" w:cs="Calibri"/>
                <w:sz w:val="22"/>
                <w:szCs w:val="22"/>
              </w:rPr>
            </w:pPr>
            <w:r w:rsidRPr="00C0326A">
              <w:rPr>
                <w:rFonts w:ascii="Gill Sans MT" w:eastAsia="Calibri" w:hAnsi="Gill Sans MT" w:cs="Calibri"/>
                <w:sz w:val="22"/>
                <w:szCs w:val="22"/>
              </w:rPr>
              <w:t>AUS</w:t>
            </w:r>
          </w:p>
          <w:p w14:paraId="5D29305B" w14:textId="177EFE33" w:rsidR="00F934ED" w:rsidRPr="00F934ED" w:rsidRDefault="00F934ED" w:rsidP="00F934ED">
            <w:pPr>
              <w:pStyle w:val="NormalWeb"/>
              <w:spacing w:before="0" w:beforeAutospacing="0" w:after="0" w:afterAutospacing="0" w:line="240" w:lineRule="auto"/>
              <w:rPr>
                <w:rFonts w:ascii="Gill Sans MT" w:hAnsi="Gill Sans MT"/>
                <w:sz w:val="22"/>
                <w:szCs w:val="22"/>
                <w:lang w:val="en-US"/>
              </w:rPr>
            </w:pPr>
            <w:r w:rsidRPr="00C0326A">
              <w:rPr>
                <w:rFonts w:ascii="Gill Sans MT" w:eastAsia="Times New Roman" w:hAnsi="Gill Sans MT" w:cs="Gill Sans"/>
                <w:color w:val="000000"/>
                <w:sz w:val="22"/>
                <w:szCs w:val="22"/>
                <w:lang w:eastAsia="en-AU"/>
              </w:rPr>
              <w:t>Annotation written by Sally Baker</w:t>
            </w:r>
          </w:p>
        </w:tc>
        <w:tc>
          <w:tcPr>
            <w:tcW w:w="10064" w:type="dxa"/>
          </w:tcPr>
          <w:p w14:paraId="0DA39DA5" w14:textId="77777777" w:rsidR="00F934ED" w:rsidRPr="00F934ED" w:rsidRDefault="00F934ED" w:rsidP="00F934ED">
            <w:pPr>
              <w:rPr>
                <w:rFonts w:ascii="Gill Sans MT" w:hAnsi="Gill Sans MT"/>
              </w:rPr>
            </w:pPr>
            <w:r w:rsidRPr="00F934ED">
              <w:rPr>
                <w:rFonts w:ascii="Gill Sans MT" w:eastAsia="Calibri" w:hAnsi="Gill Sans MT" w:cs="Calibri"/>
                <w:b/>
                <w:bCs/>
                <w:szCs w:val="22"/>
              </w:rPr>
              <w:t>Context:</w:t>
            </w:r>
            <w:r w:rsidRPr="00F934ED">
              <w:rPr>
                <w:rFonts w:ascii="Gill Sans MT" w:eastAsia="Calibri" w:hAnsi="Gill Sans MT" w:cs="Calibri"/>
                <w:szCs w:val="22"/>
              </w:rPr>
              <w:t xml:space="preserve"> The growing OECD trend to massification in higher education has led to an increased interest in methods and modes of student transition. During this time, ‘transition’ as a concept has mostly remained uncontested and one-dimensional.</w:t>
            </w:r>
          </w:p>
          <w:p w14:paraId="58E38687" w14:textId="77777777" w:rsidR="00F934ED" w:rsidRPr="00F934ED" w:rsidRDefault="00F934ED" w:rsidP="00F934ED">
            <w:pPr>
              <w:rPr>
                <w:rFonts w:ascii="Gill Sans MT" w:hAnsi="Gill Sans MT"/>
              </w:rPr>
            </w:pPr>
            <w:r w:rsidRPr="00F934ED">
              <w:rPr>
                <w:rFonts w:ascii="Gill Sans MT" w:eastAsia="Calibri" w:hAnsi="Gill Sans MT" w:cs="Calibri"/>
                <w:b/>
                <w:bCs/>
                <w:szCs w:val="22"/>
              </w:rPr>
              <w:t xml:space="preserve">Aim: </w:t>
            </w:r>
            <w:r w:rsidRPr="00F934ED">
              <w:rPr>
                <w:rFonts w:ascii="Gill Sans MT" w:eastAsia="Calibri" w:hAnsi="Gill Sans MT" w:cs="Calibri"/>
                <w:szCs w:val="22"/>
              </w:rPr>
              <w:t xml:space="preserve">The authors aim to problematise the notion of transition in higher education. They aim to better </w:t>
            </w:r>
            <w:proofErr w:type="spellStart"/>
            <w:r w:rsidRPr="00F934ED">
              <w:rPr>
                <w:rFonts w:ascii="Gill Sans MT" w:eastAsia="Calibri" w:hAnsi="Gill Sans MT" w:cs="Calibri"/>
                <w:szCs w:val="22"/>
              </w:rPr>
              <w:t>theorise</w:t>
            </w:r>
            <w:proofErr w:type="spellEnd"/>
            <w:r w:rsidRPr="00F934ED">
              <w:rPr>
                <w:rFonts w:ascii="Gill Sans MT" w:eastAsia="Calibri" w:hAnsi="Gill Sans MT" w:cs="Calibri"/>
                <w:szCs w:val="22"/>
              </w:rPr>
              <w:t xml:space="preserve"> the concept of transition, in ways that are sympathetic to the lived experiences of students. </w:t>
            </w:r>
          </w:p>
          <w:p w14:paraId="2BACBCBD" w14:textId="77777777" w:rsidR="00F934ED" w:rsidRPr="00F934ED" w:rsidRDefault="00F934ED" w:rsidP="00F934ED">
            <w:pPr>
              <w:rPr>
                <w:rFonts w:ascii="Gill Sans MT" w:hAnsi="Gill Sans MT"/>
              </w:rPr>
            </w:pPr>
            <w:r w:rsidRPr="00F934ED">
              <w:rPr>
                <w:rFonts w:ascii="Gill Sans MT" w:eastAsia="Calibri" w:hAnsi="Gill Sans MT" w:cs="Calibri"/>
                <w:b/>
                <w:bCs/>
                <w:szCs w:val="22"/>
              </w:rPr>
              <w:t xml:space="preserve">Findings: </w:t>
            </w:r>
          </w:p>
          <w:p w14:paraId="1CD17461" w14:textId="77777777" w:rsidR="00F934ED" w:rsidRPr="00F934ED" w:rsidRDefault="00F934ED" w:rsidP="00F934ED">
            <w:pPr>
              <w:rPr>
                <w:rFonts w:ascii="Gill Sans MT" w:hAnsi="Gill Sans MT"/>
              </w:rPr>
            </w:pPr>
            <w:r w:rsidRPr="00F934ED">
              <w:rPr>
                <w:rFonts w:ascii="Gill Sans MT" w:eastAsia="Calibri" w:hAnsi="Gill Sans MT" w:cs="Calibri"/>
                <w:szCs w:val="22"/>
              </w:rPr>
              <w:t>1) transition tends to be conceived of in three ways — as induction, transformation and becoming — each of which lead to different transition policies, programs and research endeavours.</w:t>
            </w:r>
          </w:p>
          <w:p w14:paraId="2A6A7F49" w14:textId="77777777" w:rsidR="00F934ED" w:rsidRPr="00F934ED" w:rsidRDefault="00F934ED" w:rsidP="00F934ED">
            <w:pPr>
              <w:rPr>
                <w:rFonts w:ascii="Gill Sans MT" w:hAnsi="Gill Sans MT"/>
              </w:rPr>
            </w:pPr>
            <w:r w:rsidRPr="00F934ED">
              <w:rPr>
                <w:rFonts w:ascii="Gill Sans MT" w:eastAsia="Calibri" w:hAnsi="Gill Sans MT" w:cs="Calibri"/>
                <w:szCs w:val="22"/>
              </w:rPr>
              <w:t>2) much policy, research and practice in relation to student transition into HE is disconnected from the extensive research literature on youth and life transitions and from education and social theory.</w:t>
            </w:r>
          </w:p>
          <w:p w14:paraId="52A1E963" w14:textId="77777777" w:rsidR="00F934ED" w:rsidRPr="00F934ED" w:rsidRDefault="00F934ED" w:rsidP="00F934ED">
            <w:pPr>
              <w:rPr>
                <w:rFonts w:ascii="Gill Sans MT" w:hAnsi="Gill Sans MT"/>
              </w:rPr>
            </w:pPr>
            <w:r w:rsidRPr="00F934ED">
              <w:rPr>
                <w:rFonts w:ascii="Gill Sans MT" w:eastAsia="Calibri" w:hAnsi="Gill Sans MT" w:cs="Calibri"/>
                <w:szCs w:val="22"/>
              </w:rPr>
              <w:t>3) the current dominant conception of student transition into HE tends to lead to policy, research and practice that are largely system-driven and system-serving.</w:t>
            </w:r>
          </w:p>
          <w:p w14:paraId="28835AF3" w14:textId="77777777" w:rsidR="00F934ED" w:rsidRPr="00F934ED" w:rsidRDefault="00F934ED" w:rsidP="00F934ED">
            <w:pPr>
              <w:rPr>
                <w:rFonts w:ascii="Gill Sans MT" w:hAnsi="Gill Sans MT"/>
              </w:rPr>
            </w:pPr>
            <w:r w:rsidRPr="00F934ED">
              <w:rPr>
                <w:rFonts w:ascii="Gill Sans MT" w:eastAsia="Calibri" w:hAnsi="Gill Sans MT" w:cs="Calibri"/>
                <w:szCs w:val="22"/>
              </w:rPr>
              <w:t>4) interest in student transition into HE has focused narrowly on undergraduate students, particularly those in their first year, who are undertaking courses in a select cluster of disciplines.</w:t>
            </w:r>
          </w:p>
          <w:p w14:paraId="5244E9E7" w14:textId="77777777" w:rsidR="00F934ED" w:rsidRPr="00F934ED" w:rsidRDefault="00F934ED" w:rsidP="00F934ED">
            <w:pPr>
              <w:rPr>
                <w:rFonts w:ascii="Gill Sans MT" w:hAnsi="Gill Sans MT"/>
              </w:rPr>
            </w:pPr>
            <w:r w:rsidRPr="00F934ED">
              <w:rPr>
                <w:rFonts w:ascii="Gill Sans MT" w:eastAsia="Calibri" w:hAnsi="Gill Sans MT" w:cs="Calibri"/>
                <w:b/>
                <w:bCs/>
                <w:szCs w:val="22"/>
              </w:rPr>
              <w:t>Relevance to PGCW/ equity:</w:t>
            </w:r>
          </w:p>
          <w:p w14:paraId="38CE23A7" w14:textId="77777777" w:rsidR="00F934ED" w:rsidRPr="00F934ED" w:rsidRDefault="00F934ED" w:rsidP="00F934ED">
            <w:pPr>
              <w:rPr>
                <w:rFonts w:ascii="Gill Sans MT" w:hAnsi="Gill Sans MT"/>
              </w:rPr>
            </w:pPr>
            <w:r w:rsidRPr="00F934ED">
              <w:rPr>
                <w:rFonts w:ascii="Gill Sans MT" w:eastAsia="Calibri" w:hAnsi="Gill Sans MT" w:cs="Calibri"/>
                <w:b/>
                <w:bCs/>
                <w:szCs w:val="22"/>
              </w:rPr>
              <w:t xml:space="preserve">Pedagogical intervention suggested? </w:t>
            </w:r>
          </w:p>
          <w:p w14:paraId="573A8440" w14:textId="77777777" w:rsidR="00F934ED" w:rsidRPr="00F934ED" w:rsidRDefault="00F934ED" w:rsidP="00F934ED">
            <w:pPr>
              <w:rPr>
                <w:rFonts w:ascii="Gill Sans MT" w:hAnsi="Gill Sans MT"/>
              </w:rPr>
            </w:pPr>
            <w:r w:rsidRPr="00F934ED">
              <w:rPr>
                <w:rFonts w:ascii="Gill Sans MT" w:eastAsia="Calibri" w:hAnsi="Gill Sans MT" w:cs="Calibri"/>
                <w:szCs w:val="22"/>
              </w:rPr>
              <w:t>Reference to a 'transition pedagogy' approach rather than actual pedagogical interventions themselves. This approach would be to designing higher education that is “</w:t>
            </w:r>
            <w:r w:rsidRPr="00F934ED">
              <w:rPr>
                <w:rFonts w:ascii="Gill Sans MT" w:eastAsia="Calibri" w:hAnsi="Gill Sans MT" w:cs="Calibri"/>
                <w:i/>
                <w:iCs/>
                <w:szCs w:val="22"/>
              </w:rPr>
              <w:t xml:space="preserve">coherent </w:t>
            </w:r>
            <w:r w:rsidRPr="00F934ED">
              <w:rPr>
                <w:rFonts w:ascii="Gill Sans MT" w:eastAsia="Calibri" w:hAnsi="Gill Sans MT" w:cs="Calibri"/>
                <w:szCs w:val="22"/>
              </w:rPr>
              <w:t xml:space="preserve">(institution-wide policy, practice and governance structures), </w:t>
            </w:r>
            <w:r w:rsidRPr="00F934ED">
              <w:rPr>
                <w:rFonts w:ascii="Gill Sans MT" w:eastAsia="Calibri" w:hAnsi="Gill Sans MT" w:cs="Calibri"/>
                <w:i/>
                <w:iCs/>
                <w:szCs w:val="22"/>
              </w:rPr>
              <w:t>integrated</w:t>
            </w:r>
            <w:r w:rsidRPr="00F934ED">
              <w:rPr>
                <w:rFonts w:ascii="Gill Sans MT" w:eastAsia="Calibri" w:hAnsi="Gill Sans MT" w:cs="Calibri"/>
                <w:szCs w:val="22"/>
              </w:rPr>
              <w:t xml:space="preserve"> (embedded across an entire institution and all of its disciplines, programs, and services), </w:t>
            </w:r>
            <w:proofErr w:type="spellStart"/>
            <w:r w:rsidRPr="00F934ED">
              <w:rPr>
                <w:rFonts w:ascii="Gill Sans MT" w:eastAsia="Calibri" w:hAnsi="Gill Sans MT" w:cs="Calibri"/>
                <w:i/>
                <w:iCs/>
                <w:szCs w:val="22"/>
              </w:rPr>
              <w:t>co-ordinated</w:t>
            </w:r>
            <w:proofErr w:type="spellEnd"/>
            <w:r w:rsidRPr="00F934ED">
              <w:rPr>
                <w:rFonts w:ascii="Gill Sans MT" w:eastAsia="Calibri" w:hAnsi="Gill Sans MT" w:cs="Calibri"/>
                <w:szCs w:val="22"/>
              </w:rPr>
              <w:t xml:space="preserve"> (a seamless FYE that is institution-wide, rather than separate, 'siloed' initiatives) and </w:t>
            </w:r>
            <w:r w:rsidRPr="00F934ED">
              <w:rPr>
                <w:rFonts w:ascii="Gill Sans MT" w:eastAsia="Calibri" w:hAnsi="Gill Sans MT" w:cs="Calibri"/>
                <w:i/>
                <w:iCs/>
                <w:szCs w:val="22"/>
              </w:rPr>
              <w:t>intentional</w:t>
            </w:r>
            <w:r w:rsidRPr="00F934ED">
              <w:rPr>
                <w:rFonts w:ascii="Gill Sans MT" w:eastAsia="Calibri" w:hAnsi="Gill Sans MT" w:cs="Calibri"/>
                <w:szCs w:val="22"/>
              </w:rPr>
              <w:t xml:space="preserve"> (an awareness that curriculum is what students have in common and using curriculum to influence the experience of all students).” p.20</w:t>
            </w:r>
          </w:p>
          <w:p w14:paraId="7AF06922" w14:textId="77777777" w:rsidR="00F934ED" w:rsidRPr="00F934ED" w:rsidRDefault="00F934ED" w:rsidP="00F934ED">
            <w:pPr>
              <w:rPr>
                <w:rFonts w:ascii="Gill Sans MT" w:hAnsi="Gill Sans MT"/>
              </w:rPr>
            </w:pPr>
            <w:r w:rsidRPr="00F934ED">
              <w:rPr>
                <w:rFonts w:ascii="Gill Sans MT" w:eastAsia="Calibri" w:hAnsi="Gill Sans MT" w:cs="Calibri"/>
                <w:b/>
                <w:bCs/>
                <w:szCs w:val="22"/>
              </w:rPr>
              <w:t>Points to future research agenda?</w:t>
            </w:r>
          </w:p>
          <w:p w14:paraId="10310999" w14:textId="73FE2E0A" w:rsidR="00F934ED" w:rsidRPr="00F934ED" w:rsidRDefault="00F934ED" w:rsidP="00F934ED">
            <w:pPr>
              <w:rPr>
                <w:rFonts w:ascii="Gill Sans MT" w:hAnsi="Gill Sans MT"/>
                <w:b/>
                <w:color w:val="000000"/>
                <w:szCs w:val="22"/>
                <w:lang w:val="en-AU"/>
              </w:rPr>
            </w:pPr>
            <w:r w:rsidRPr="00F934ED">
              <w:rPr>
                <w:rFonts w:ascii="Gill Sans MT" w:eastAsia="Calibri" w:hAnsi="Gill Sans MT" w:cs="Calibri"/>
                <w:b/>
                <w:bCs/>
                <w:szCs w:val="22"/>
              </w:rPr>
              <w:lastRenderedPageBreak/>
              <w:t>“…</w:t>
            </w:r>
            <w:r w:rsidRPr="00F934ED">
              <w:rPr>
                <w:rFonts w:ascii="Gill Sans MT" w:eastAsia="Calibri" w:hAnsi="Gill Sans MT" w:cs="Calibri"/>
                <w:szCs w:val="22"/>
              </w:rPr>
              <w:t>future research in the field needs to foreground students' lived realities and to broaden its theoretical and empirical base if students' capacities to navigate change are to be fully understood and resourced.”</w:t>
            </w:r>
          </w:p>
        </w:tc>
      </w:tr>
      <w:tr w:rsidR="00F934ED" w:rsidRPr="00076E76" w14:paraId="23569212" w14:textId="77777777" w:rsidTr="002E557C">
        <w:tc>
          <w:tcPr>
            <w:tcW w:w="5529" w:type="dxa"/>
          </w:tcPr>
          <w:p w14:paraId="675B152C" w14:textId="11506BB8" w:rsidR="00F934ED" w:rsidRDefault="00F934ED" w:rsidP="00F934ED">
            <w:pPr>
              <w:pStyle w:val="NormalWeb"/>
              <w:spacing w:before="0" w:beforeAutospacing="0" w:after="0" w:afterAutospacing="0" w:line="240" w:lineRule="auto"/>
              <w:rPr>
                <w:rFonts w:ascii="Gill Sans MT" w:hAnsi="Gill Sans MT"/>
                <w:sz w:val="22"/>
                <w:szCs w:val="22"/>
              </w:rPr>
            </w:pPr>
            <w:r w:rsidRPr="00F934ED">
              <w:rPr>
                <w:rFonts w:ascii="Gill Sans MT" w:hAnsi="Gill Sans MT"/>
                <w:sz w:val="22"/>
                <w:szCs w:val="22"/>
              </w:rPr>
              <w:lastRenderedPageBreak/>
              <w:t xml:space="preserve">Gale, T. &amp; Parker, S. (2014). </w:t>
            </w:r>
            <w:hyperlink r:id="rId62" w:history="1">
              <w:r w:rsidRPr="00500B09">
                <w:rPr>
                  <w:rStyle w:val="Hyperlink"/>
                  <w:rFonts w:ascii="Gill Sans MT" w:hAnsi="Gill Sans MT"/>
                  <w:sz w:val="22"/>
                  <w:szCs w:val="22"/>
                </w:rPr>
                <w:t>Navigating change:  a typology of student transition in higher education</w:t>
              </w:r>
            </w:hyperlink>
            <w:r w:rsidRPr="00F934ED">
              <w:rPr>
                <w:rFonts w:ascii="Gill Sans MT" w:hAnsi="Gill Sans MT"/>
                <w:sz w:val="22"/>
                <w:szCs w:val="22"/>
              </w:rPr>
              <w:t xml:space="preserve">, </w:t>
            </w:r>
            <w:r w:rsidRPr="00F934ED">
              <w:rPr>
                <w:rFonts w:ascii="Gill Sans MT" w:hAnsi="Gill Sans MT"/>
                <w:i/>
                <w:sz w:val="22"/>
                <w:szCs w:val="22"/>
              </w:rPr>
              <w:t xml:space="preserve">Studies in Higher Education, </w:t>
            </w:r>
            <w:r w:rsidRPr="00F934ED">
              <w:rPr>
                <w:rFonts w:ascii="Gill Sans MT" w:hAnsi="Gill Sans MT"/>
                <w:sz w:val="22"/>
                <w:szCs w:val="22"/>
              </w:rPr>
              <w:t>39(5)</w:t>
            </w:r>
            <w:r>
              <w:rPr>
                <w:rFonts w:ascii="Gill Sans MT" w:hAnsi="Gill Sans MT"/>
                <w:sz w:val="22"/>
                <w:szCs w:val="22"/>
              </w:rPr>
              <w:t>,</w:t>
            </w:r>
            <w:r w:rsidRPr="00F934ED">
              <w:rPr>
                <w:rFonts w:ascii="Gill Sans MT" w:hAnsi="Gill Sans MT"/>
                <w:sz w:val="22"/>
                <w:szCs w:val="22"/>
              </w:rPr>
              <w:t xml:space="preserve"> 734</w:t>
            </w:r>
            <w:r>
              <w:rPr>
                <w:rFonts w:ascii="Gill Sans MT" w:hAnsi="Gill Sans MT"/>
                <w:sz w:val="22"/>
                <w:szCs w:val="22"/>
              </w:rPr>
              <w:t>–</w:t>
            </w:r>
            <w:r w:rsidRPr="00F934ED">
              <w:rPr>
                <w:rFonts w:ascii="Gill Sans MT" w:hAnsi="Gill Sans MT"/>
                <w:sz w:val="22"/>
                <w:szCs w:val="22"/>
              </w:rPr>
              <w:t>753.</w:t>
            </w:r>
          </w:p>
          <w:p w14:paraId="4DD53ED7" w14:textId="77777777" w:rsidR="00F934ED" w:rsidRPr="00F934ED" w:rsidRDefault="00F934ED" w:rsidP="00F934ED">
            <w:pPr>
              <w:pStyle w:val="NormalWeb"/>
              <w:spacing w:before="0" w:beforeAutospacing="0" w:after="0" w:afterAutospacing="0" w:line="240" w:lineRule="auto"/>
              <w:rPr>
                <w:rFonts w:ascii="Gill Sans MT" w:hAnsi="Gill Sans MT"/>
                <w:sz w:val="22"/>
                <w:szCs w:val="22"/>
              </w:rPr>
            </w:pPr>
          </w:p>
          <w:p w14:paraId="65BEC689" w14:textId="795B044C" w:rsidR="00F934ED" w:rsidRPr="00F934ED" w:rsidRDefault="00F934ED" w:rsidP="00F934ED">
            <w:pPr>
              <w:pStyle w:val="NormalWeb"/>
              <w:spacing w:before="0" w:beforeAutospacing="0" w:after="0" w:afterAutospacing="0" w:line="240" w:lineRule="auto"/>
              <w:rPr>
                <w:rFonts w:ascii="Gill Sans MT" w:hAnsi="Gill Sans MT"/>
                <w:sz w:val="22"/>
                <w:szCs w:val="22"/>
              </w:rPr>
            </w:pPr>
            <w:r w:rsidRPr="00F934ED">
              <w:rPr>
                <w:rFonts w:ascii="Gill Sans MT" w:hAnsi="Gill Sans MT"/>
                <w:sz w:val="22"/>
                <w:szCs w:val="22"/>
              </w:rPr>
              <w:t>AUS</w:t>
            </w:r>
          </w:p>
          <w:p w14:paraId="06E50698" w14:textId="00697DF5" w:rsidR="00F934ED" w:rsidRDefault="00F934ED" w:rsidP="00F934ED">
            <w:pPr>
              <w:autoSpaceDE w:val="0"/>
              <w:autoSpaceDN w:val="0"/>
              <w:adjustRightInd w:val="0"/>
              <w:rPr>
                <w:rFonts w:ascii="Gill Sans MT" w:hAnsi="Gill Sans MT"/>
              </w:rPr>
            </w:pPr>
            <w:r w:rsidRPr="001668A9">
              <w:rPr>
                <w:rFonts w:ascii="Gill Sans" w:eastAsia="Times New Roman" w:hAnsi="Gill Sans" w:cs="Gill Sans"/>
                <w:color w:val="000000"/>
                <w:lang w:eastAsia="en-AU"/>
              </w:rPr>
              <w:t>Annotation written by</w:t>
            </w:r>
            <w:r>
              <w:rPr>
                <w:rFonts w:ascii="Gill Sans" w:eastAsia="Times New Roman" w:hAnsi="Gill Sans" w:cs="Gill Sans"/>
                <w:color w:val="000000"/>
                <w:lang w:eastAsia="en-AU"/>
              </w:rPr>
              <w:t xml:space="preserve"> Sally Baker</w:t>
            </w:r>
          </w:p>
          <w:p w14:paraId="33E52C28" w14:textId="77777777" w:rsidR="00F934ED" w:rsidRDefault="00F934ED" w:rsidP="00F934ED">
            <w:pPr>
              <w:autoSpaceDE w:val="0"/>
              <w:autoSpaceDN w:val="0"/>
              <w:adjustRightInd w:val="0"/>
              <w:rPr>
                <w:rFonts w:ascii="Gill Sans MT" w:hAnsi="Gill Sans MT"/>
              </w:rPr>
            </w:pPr>
          </w:p>
          <w:p w14:paraId="5C1A74DA" w14:textId="33C0CF7F" w:rsidR="00F934ED" w:rsidRPr="00F934ED" w:rsidRDefault="00F934ED" w:rsidP="00F934ED">
            <w:pPr>
              <w:autoSpaceDE w:val="0"/>
              <w:autoSpaceDN w:val="0"/>
              <w:adjustRightInd w:val="0"/>
              <w:rPr>
                <w:rFonts w:ascii="Gill Sans MT" w:hAnsi="Gill Sans MT" w:cs="Gill Sans"/>
              </w:rPr>
            </w:pPr>
            <w:r w:rsidRPr="00F934ED">
              <w:rPr>
                <w:rFonts w:ascii="Gill Sans MT" w:hAnsi="Gill Sans MT"/>
              </w:rPr>
              <w:t xml:space="preserve">Keywords: </w:t>
            </w:r>
            <w:r w:rsidRPr="00F934ED">
              <w:rPr>
                <w:rFonts w:ascii="Gill Sans MT" w:hAnsi="Gill Sans MT"/>
                <w:i/>
              </w:rPr>
              <w:t xml:space="preserve">student transition; widening participation; social inclusion; student </w:t>
            </w:r>
            <w:r w:rsidRPr="00F934ED">
              <w:rPr>
                <w:rFonts w:ascii="Gill Sans MT" w:hAnsi="Gill Sans MT"/>
                <w:i/>
                <w:szCs w:val="22"/>
              </w:rPr>
              <w:t>equity</w:t>
            </w:r>
          </w:p>
        </w:tc>
        <w:tc>
          <w:tcPr>
            <w:tcW w:w="10064" w:type="dxa"/>
          </w:tcPr>
          <w:p w14:paraId="62CF60BE" w14:textId="77777777" w:rsidR="00F934ED" w:rsidRPr="00F934ED" w:rsidRDefault="00F934ED" w:rsidP="00F934ED">
            <w:pPr>
              <w:rPr>
                <w:rFonts w:ascii="Gill Sans MT" w:hAnsi="Gill Sans MT"/>
                <w:color w:val="000000"/>
                <w:szCs w:val="22"/>
                <w:lang w:val="en-AU"/>
              </w:rPr>
            </w:pPr>
            <w:r w:rsidRPr="00F934ED">
              <w:rPr>
                <w:rFonts w:ascii="Gill Sans MT" w:hAnsi="Gill Sans MT"/>
                <w:b/>
                <w:color w:val="000000"/>
                <w:szCs w:val="22"/>
                <w:lang w:val="en-AU"/>
              </w:rPr>
              <w:t xml:space="preserve">Context: </w:t>
            </w:r>
            <w:r w:rsidRPr="00F934ED">
              <w:rPr>
                <w:rFonts w:ascii="Gill Sans MT" w:hAnsi="Gill Sans MT"/>
                <w:color w:val="000000"/>
                <w:szCs w:val="22"/>
                <w:lang w:val="en-AU"/>
              </w:rPr>
              <w:t xml:space="preserve">Examines the notion of ‘transition’ in context of students and higher education. Works from ‘Good Practice Report’ for ALTC (Gale &amp; Parker 2011) which examined 25 (19 completed + 5 ongoing) ALTC-funded projects as examples (selected by ALTC) of good institutional practice around/on student transition. Set in post-Bradley/ OECD competitive context. Notes increased interest in first year experience. Draws on Eccleston, </w:t>
            </w:r>
            <w:proofErr w:type="spellStart"/>
            <w:r w:rsidRPr="00F934ED">
              <w:rPr>
                <w:rFonts w:ascii="Gill Sans MT" w:hAnsi="Gill Sans MT"/>
                <w:color w:val="000000"/>
                <w:szCs w:val="22"/>
                <w:lang w:val="en-AU"/>
              </w:rPr>
              <w:t>Biesta</w:t>
            </w:r>
            <w:proofErr w:type="spellEnd"/>
            <w:r w:rsidRPr="00F934ED">
              <w:rPr>
                <w:rFonts w:ascii="Gill Sans MT" w:hAnsi="Gill Sans MT"/>
                <w:color w:val="000000"/>
                <w:szCs w:val="22"/>
                <w:lang w:val="en-AU"/>
              </w:rPr>
              <w:t xml:space="preserve"> and Hughes (2010) to argue that many researchers are unaware of how they understand transition [</w:t>
            </w:r>
            <w:proofErr w:type="spellStart"/>
            <w:r w:rsidRPr="00F934ED">
              <w:rPr>
                <w:rFonts w:ascii="Gill Sans MT" w:hAnsi="Gill Sans MT"/>
                <w:color w:val="000000"/>
                <w:szCs w:val="22"/>
                <w:lang w:val="en-AU"/>
              </w:rPr>
              <w:t>undertheorised</w:t>
            </w:r>
            <w:proofErr w:type="spellEnd"/>
            <w:r w:rsidRPr="00F934ED">
              <w:rPr>
                <w:rFonts w:ascii="Gill Sans MT" w:hAnsi="Gill Sans MT"/>
                <w:color w:val="000000"/>
                <w:szCs w:val="22"/>
                <w:lang w:val="en-AU"/>
              </w:rPr>
              <w:t xml:space="preserve"> phenomenon and discourse]; different theorisations lead to different approaches to supporting and managing transition.</w:t>
            </w:r>
          </w:p>
          <w:p w14:paraId="48BF496A" w14:textId="77777777" w:rsidR="00F934ED" w:rsidRPr="00F934ED" w:rsidRDefault="00F934ED" w:rsidP="00F934ED">
            <w:pPr>
              <w:rPr>
                <w:rFonts w:ascii="Gill Sans MT" w:hAnsi="Gill Sans MT"/>
                <w:color w:val="000000"/>
                <w:szCs w:val="22"/>
                <w:lang w:val="en-AU"/>
              </w:rPr>
            </w:pPr>
            <w:r w:rsidRPr="00F934ED">
              <w:rPr>
                <w:rFonts w:ascii="Gill Sans MT" w:hAnsi="Gill Sans MT"/>
                <w:b/>
                <w:color w:val="000000"/>
                <w:szCs w:val="22"/>
                <w:lang w:val="en-AU"/>
              </w:rPr>
              <w:t xml:space="preserve">Theoretical frame: </w:t>
            </w:r>
            <w:r w:rsidRPr="00F934ED">
              <w:rPr>
                <w:rFonts w:ascii="Gill Sans MT" w:hAnsi="Gill Sans MT"/>
                <w:color w:val="000000"/>
                <w:szCs w:val="22"/>
                <w:lang w:val="en-AU"/>
              </w:rPr>
              <w:t xml:space="preserve">Scopes 3 sets of literature: accounts of transition programs; quant/qual analyses of HE students; theorisations of transition. </w:t>
            </w:r>
          </w:p>
          <w:p w14:paraId="6D705307" w14:textId="77777777" w:rsidR="00F934ED" w:rsidRPr="00F934ED" w:rsidRDefault="00F934ED" w:rsidP="00F934ED">
            <w:pPr>
              <w:rPr>
                <w:rFonts w:ascii="Gill Sans MT" w:hAnsi="Gill Sans MT"/>
                <w:color w:val="000000"/>
                <w:szCs w:val="22"/>
                <w:lang w:val="en-AU"/>
              </w:rPr>
            </w:pPr>
            <w:r w:rsidRPr="00F934ED">
              <w:rPr>
                <w:rFonts w:ascii="Gill Sans MT" w:hAnsi="Gill Sans MT"/>
                <w:b/>
                <w:color w:val="000000"/>
                <w:szCs w:val="22"/>
                <w:lang w:val="en-AU"/>
              </w:rPr>
              <w:t xml:space="preserve">Methodology: </w:t>
            </w:r>
            <w:r w:rsidRPr="00F934ED">
              <w:rPr>
                <w:rFonts w:ascii="Gill Sans MT" w:hAnsi="Gill Sans MT"/>
                <w:color w:val="000000"/>
                <w:szCs w:val="22"/>
                <w:lang w:val="en-AU"/>
              </w:rPr>
              <w:t>Essay</w:t>
            </w:r>
          </w:p>
          <w:p w14:paraId="092E267D" w14:textId="77777777" w:rsidR="00F934ED" w:rsidRPr="00F934ED" w:rsidRDefault="00F934ED" w:rsidP="00F934ED">
            <w:pPr>
              <w:rPr>
                <w:rFonts w:ascii="Gill Sans MT" w:hAnsi="Gill Sans MT"/>
                <w:b/>
                <w:color w:val="000000"/>
                <w:szCs w:val="22"/>
                <w:lang w:val="en-AU"/>
              </w:rPr>
            </w:pPr>
            <w:r w:rsidRPr="00F934ED">
              <w:rPr>
                <w:rFonts w:ascii="Gill Sans MT" w:hAnsi="Gill Sans MT"/>
                <w:b/>
                <w:color w:val="000000"/>
                <w:szCs w:val="22"/>
                <w:lang w:val="en-AU"/>
              </w:rPr>
              <w:t xml:space="preserve">Findings: </w:t>
            </w:r>
          </w:p>
          <w:p w14:paraId="4A872F19" w14:textId="77777777" w:rsidR="00F934ED" w:rsidRPr="00F934ED" w:rsidRDefault="00F934ED" w:rsidP="00F934ED">
            <w:pPr>
              <w:rPr>
                <w:rFonts w:ascii="Gill Sans MT" w:hAnsi="Gill Sans MT"/>
                <w:color w:val="000000"/>
                <w:szCs w:val="22"/>
                <w:lang w:val="en-AU"/>
              </w:rPr>
            </w:pPr>
            <w:r w:rsidRPr="00F934ED">
              <w:rPr>
                <w:rFonts w:ascii="Gill Sans MT" w:hAnsi="Gill Sans MT"/>
                <w:color w:val="000000"/>
                <w:szCs w:val="22"/>
                <w:lang w:val="en-AU"/>
              </w:rPr>
              <w:t xml:space="preserve">Three conceptions of transition emerged from analysis of 25 ALTC projects: T1: transition as induction; T2: transition as development; T3: transition as becoming – but no ‘absolute distinction’ between the three; they are “relatively permeable and fluid, reflecting the diversity of thought” (p.735). </w:t>
            </w:r>
          </w:p>
          <w:p w14:paraId="3F26B9EF" w14:textId="77777777" w:rsidR="00F934ED" w:rsidRPr="00F934ED" w:rsidRDefault="00F934ED" w:rsidP="00F934ED">
            <w:pPr>
              <w:rPr>
                <w:rFonts w:ascii="Gill Sans MT" w:hAnsi="Gill Sans MT"/>
                <w:color w:val="000000"/>
                <w:szCs w:val="22"/>
                <w:lang w:val="en-AU"/>
              </w:rPr>
            </w:pPr>
            <w:r w:rsidRPr="00F934ED">
              <w:rPr>
                <w:rFonts w:ascii="Gill Sans MT" w:hAnsi="Gill Sans MT"/>
                <w:color w:val="000000"/>
                <w:szCs w:val="22"/>
                <w:lang w:val="en-AU"/>
              </w:rPr>
              <w:t>T1: “sequentially defined periods of adjustment involving pathways of inculcation” (p.737) = focus on FYE, idea of fixed period (school-to-university). Authors argue that 1</w:t>
            </w:r>
            <w:r w:rsidRPr="00F934ED">
              <w:rPr>
                <w:rFonts w:ascii="Gill Sans MT" w:hAnsi="Gill Sans MT"/>
                <w:color w:val="000000"/>
                <w:szCs w:val="22"/>
                <w:vertAlign w:val="superscript"/>
                <w:lang w:val="en-AU"/>
              </w:rPr>
              <w:t>st</w:t>
            </w:r>
            <w:r w:rsidRPr="00F934ED">
              <w:rPr>
                <w:rFonts w:ascii="Gill Sans MT" w:hAnsi="Gill Sans MT"/>
                <w:color w:val="000000"/>
                <w:szCs w:val="22"/>
                <w:lang w:val="en-AU"/>
              </w:rPr>
              <w:t>/2</w:t>
            </w:r>
            <w:r w:rsidRPr="00F934ED">
              <w:rPr>
                <w:rFonts w:ascii="Gill Sans MT" w:hAnsi="Gill Sans MT"/>
                <w:color w:val="000000"/>
                <w:szCs w:val="22"/>
                <w:vertAlign w:val="superscript"/>
                <w:lang w:val="en-AU"/>
              </w:rPr>
              <w:t>nd</w:t>
            </w:r>
            <w:r w:rsidRPr="00F934ED">
              <w:rPr>
                <w:rFonts w:ascii="Gill Sans MT" w:hAnsi="Gill Sans MT"/>
                <w:color w:val="000000"/>
                <w:szCs w:val="22"/>
                <w:lang w:val="en-AU"/>
              </w:rPr>
              <w:t xml:space="preserve"> generation approaches to transition pedagogy (see Kift) are limited. 3</w:t>
            </w:r>
            <w:r w:rsidRPr="00F934ED">
              <w:rPr>
                <w:rFonts w:ascii="Gill Sans MT" w:hAnsi="Gill Sans MT"/>
                <w:color w:val="000000"/>
                <w:szCs w:val="22"/>
                <w:vertAlign w:val="superscript"/>
                <w:lang w:val="en-AU"/>
              </w:rPr>
              <w:t>rd</w:t>
            </w:r>
            <w:r w:rsidRPr="00F934ED">
              <w:rPr>
                <w:rFonts w:ascii="Gill Sans MT" w:hAnsi="Gill Sans MT"/>
                <w:color w:val="000000"/>
                <w:szCs w:val="22"/>
                <w:lang w:val="en-AU"/>
              </w:rPr>
              <w:t xml:space="preserve"> generation = includes ‘southern theory’: aka including different forms of knowledges and spaces of different ways of knowing (see p.741). T1 = generally fails to recognise ‘hidden curriculum’</w:t>
            </w:r>
          </w:p>
          <w:p w14:paraId="4BB7D639" w14:textId="77777777" w:rsidR="00F934ED" w:rsidRPr="00F934ED" w:rsidRDefault="00F934ED" w:rsidP="00F934ED">
            <w:pPr>
              <w:rPr>
                <w:rFonts w:ascii="Gill Sans MT" w:hAnsi="Gill Sans MT"/>
                <w:color w:val="000000"/>
                <w:szCs w:val="22"/>
                <w:lang w:val="en-AU"/>
              </w:rPr>
            </w:pPr>
            <w:r w:rsidRPr="00F934ED">
              <w:rPr>
                <w:rFonts w:ascii="Gill Sans MT" w:hAnsi="Gill Sans MT"/>
                <w:color w:val="000000"/>
                <w:szCs w:val="22"/>
                <w:lang w:val="en-AU"/>
              </w:rPr>
              <w:t>T2: “stages of maturation involving trajectories or transformation” (p.737</w:t>
            </w:r>
            <w:proofErr w:type="gramStart"/>
            <w:r w:rsidRPr="00F934ED">
              <w:rPr>
                <w:rFonts w:ascii="Gill Sans MT" w:hAnsi="Gill Sans MT"/>
                <w:color w:val="000000"/>
                <w:szCs w:val="22"/>
                <w:lang w:val="en-AU"/>
              </w:rPr>
              <w:t>)  =</w:t>
            </w:r>
            <w:proofErr w:type="gramEnd"/>
            <w:r w:rsidRPr="00F934ED">
              <w:rPr>
                <w:rFonts w:ascii="Gill Sans MT" w:hAnsi="Gill Sans MT"/>
                <w:color w:val="000000"/>
                <w:szCs w:val="22"/>
                <w:lang w:val="en-AU"/>
              </w:rPr>
              <w:t xml:space="preserve"> greater focus on identities and cumulative stages. Difference between T1 and T2 = organisational psychology v. social/developmental psychology. However, to allow for more (all?) student identities to be included, HE curriculum needs to better reflect the students in the class (e.g. working class knowledges)</w:t>
            </w:r>
          </w:p>
          <w:p w14:paraId="7E01BA57" w14:textId="66A21EB9" w:rsidR="00F934ED" w:rsidRPr="00F934ED" w:rsidRDefault="00F934ED" w:rsidP="00F934ED">
            <w:pPr>
              <w:rPr>
                <w:rFonts w:ascii="Gill Sans MT" w:hAnsi="Gill Sans MT" w:cs="Gill Sans"/>
                <w:b/>
                <w:color w:val="000000"/>
              </w:rPr>
            </w:pPr>
            <w:r w:rsidRPr="00F934ED">
              <w:rPr>
                <w:rFonts w:ascii="Gill Sans MT" w:hAnsi="Gill Sans MT"/>
                <w:color w:val="000000"/>
                <w:szCs w:val="22"/>
                <w:lang w:val="en-AU"/>
              </w:rPr>
              <w:t>T3: “a perpetual series of fragmented movements involving whole-of-life fluctuations in lived reality or subjective experience” (p.737) = connects with Bauman’s notion of liquid modernity (2000) – accept anxiety and risk as part of transition and that transition requires day-to-day negotiation (not moments of crisis).</w:t>
            </w:r>
            <w:r w:rsidRPr="00F934ED">
              <w:rPr>
                <w:rFonts w:ascii="Gill Sans MT" w:hAnsi="Gill Sans MT"/>
                <w:b/>
                <w:color w:val="000000"/>
                <w:szCs w:val="22"/>
                <w:lang w:val="en-AU"/>
              </w:rPr>
              <w:br/>
              <w:t xml:space="preserve">Core argument: </w:t>
            </w:r>
            <w:r w:rsidRPr="00F934ED">
              <w:rPr>
                <w:rFonts w:ascii="Gill Sans MT" w:hAnsi="Gill Sans MT"/>
                <w:color w:val="000000"/>
                <w:szCs w:val="22"/>
                <w:lang w:val="en-AU"/>
              </w:rPr>
              <w:t xml:space="preserve">Authors have ‘most sympathy’ for T3 because it “has the most potential for new thinking about transitions in HE in socially inclusive ways” (p.735). They come to 4 conclusions: 1) there is a 3-part typology of conceptions of transition evident in work around transition and research rarely explicates the underpinning view of transition (but should); 2) policy and practice on transition = disconnected from literature on youth transitions and thus limits the work and theorisations; 3) dominant conceptions of </w:t>
            </w:r>
            <w:r w:rsidRPr="00F934ED">
              <w:rPr>
                <w:rFonts w:ascii="Gill Sans MT" w:hAnsi="Gill Sans MT"/>
                <w:color w:val="000000"/>
                <w:szCs w:val="22"/>
                <w:lang w:val="en-AU"/>
              </w:rPr>
              <w:lastRenderedPageBreak/>
              <w:t>transition (T1, then T2) = system-driven and system-serving (aka require students to change but not institutions’ systems or structures) – be more aware of students’ lived realities rather than focusing on institutional/ systemic self-interest; make teaching and learning more flexible and responsive to students. Research should focus on both horizontal and vertical transitions.</w:t>
            </w:r>
          </w:p>
        </w:tc>
      </w:tr>
      <w:tr w:rsidR="00F934ED" w:rsidRPr="00076E76" w14:paraId="45AEB104" w14:textId="77777777" w:rsidTr="002E557C">
        <w:tc>
          <w:tcPr>
            <w:tcW w:w="5529" w:type="dxa"/>
          </w:tcPr>
          <w:p w14:paraId="58A6F215" w14:textId="36D89084" w:rsidR="00F934ED" w:rsidRDefault="00F934ED" w:rsidP="00F934ED">
            <w:pPr>
              <w:autoSpaceDE w:val="0"/>
              <w:autoSpaceDN w:val="0"/>
              <w:adjustRightInd w:val="0"/>
              <w:rPr>
                <w:rFonts w:ascii="Gill Sans" w:hAnsi="Gill Sans" w:cs="Gill Sans"/>
              </w:rPr>
            </w:pPr>
            <w:r>
              <w:rPr>
                <w:rFonts w:ascii="Gill Sans" w:hAnsi="Gill Sans" w:cs="Gill Sans"/>
              </w:rPr>
              <w:lastRenderedPageBreak/>
              <w:t>Garcia-</w:t>
            </w:r>
            <w:proofErr w:type="spellStart"/>
            <w:r>
              <w:rPr>
                <w:rFonts w:ascii="Gill Sans" w:hAnsi="Gill Sans" w:cs="Gill Sans"/>
              </w:rPr>
              <w:t>Aracil</w:t>
            </w:r>
            <w:proofErr w:type="spellEnd"/>
            <w:r>
              <w:rPr>
                <w:rFonts w:ascii="Gill Sans" w:hAnsi="Gill Sans" w:cs="Gill Sans"/>
              </w:rPr>
              <w:t xml:space="preserve">, A.; Monteiro, S. &amp; Almeida, L. (2018). </w:t>
            </w:r>
            <w:hyperlink r:id="rId63" w:history="1">
              <w:r w:rsidRPr="0070407D">
                <w:rPr>
                  <w:rStyle w:val="Hyperlink"/>
                  <w:rFonts w:ascii="Gill Sans" w:hAnsi="Gill Sans" w:cs="Gill Sans"/>
                </w:rPr>
                <w:t>Students’ perceptions of their preparedness for transition to work after graduation</w:t>
              </w:r>
            </w:hyperlink>
            <w:r>
              <w:rPr>
                <w:rFonts w:ascii="Gill Sans" w:hAnsi="Gill Sans" w:cs="Gill Sans"/>
              </w:rPr>
              <w:t xml:space="preserve">, </w:t>
            </w:r>
            <w:r>
              <w:rPr>
                <w:rFonts w:ascii="Gill Sans" w:hAnsi="Gill Sans" w:cs="Gill Sans"/>
                <w:i/>
              </w:rPr>
              <w:t xml:space="preserve">Active Learning in Higher Education, </w:t>
            </w:r>
            <w:r>
              <w:rPr>
                <w:rFonts w:ascii="Gill Sans" w:hAnsi="Gill Sans" w:cs="Gill Sans"/>
              </w:rPr>
              <w:t>online first</w:t>
            </w:r>
          </w:p>
          <w:p w14:paraId="17A1F768" w14:textId="77777777" w:rsidR="00F934ED" w:rsidRDefault="00F934ED" w:rsidP="00F934ED">
            <w:pPr>
              <w:autoSpaceDE w:val="0"/>
              <w:autoSpaceDN w:val="0"/>
              <w:adjustRightInd w:val="0"/>
              <w:rPr>
                <w:rFonts w:ascii="Gill Sans" w:hAnsi="Gill Sans" w:cs="Gill Sans"/>
              </w:rPr>
            </w:pPr>
          </w:p>
          <w:p w14:paraId="3B9D1A36" w14:textId="77777777" w:rsidR="00F934ED" w:rsidRDefault="00F934ED" w:rsidP="00F934ED">
            <w:pPr>
              <w:autoSpaceDE w:val="0"/>
              <w:autoSpaceDN w:val="0"/>
              <w:adjustRightInd w:val="0"/>
              <w:rPr>
                <w:rFonts w:ascii="Gill Sans" w:hAnsi="Gill Sans" w:cs="Gill Sans"/>
              </w:rPr>
            </w:pPr>
            <w:r>
              <w:rPr>
                <w:rFonts w:ascii="Gill Sans" w:hAnsi="Gill Sans" w:cs="Gill Sans"/>
              </w:rPr>
              <w:t>PORT</w:t>
            </w:r>
          </w:p>
          <w:p w14:paraId="150363C2" w14:textId="77777777" w:rsidR="00F934ED" w:rsidRPr="001668A9" w:rsidRDefault="00F934ED" w:rsidP="00F934ED">
            <w:pPr>
              <w:rPr>
                <w:rFonts w:ascii="Gill Sans" w:eastAsia="Times New Roman" w:hAnsi="Gill Sans" w:cs="Gill Sans"/>
                <w:color w:val="000000"/>
                <w:lang w:eastAsia="en-AU"/>
              </w:rPr>
            </w:pPr>
            <w:r w:rsidRPr="001668A9">
              <w:rPr>
                <w:rFonts w:ascii="Gill Sans" w:eastAsia="Times New Roman" w:hAnsi="Gill Sans" w:cs="Gill Sans"/>
                <w:color w:val="000000"/>
                <w:lang w:eastAsia="en-AU"/>
              </w:rPr>
              <w:t xml:space="preserve">Annotation written by Dr </w:t>
            </w:r>
            <w:r>
              <w:rPr>
                <w:rFonts w:ascii="Gill Sans" w:eastAsia="Times New Roman" w:hAnsi="Gill Sans" w:cs="Gill Sans"/>
                <w:color w:val="000000"/>
                <w:lang w:eastAsia="en-AU"/>
              </w:rPr>
              <w:t>Clemence Due</w:t>
            </w:r>
          </w:p>
          <w:p w14:paraId="3E16D0A9" w14:textId="77777777" w:rsidR="00F934ED" w:rsidRDefault="00F934ED" w:rsidP="00F934ED">
            <w:pPr>
              <w:autoSpaceDE w:val="0"/>
              <w:autoSpaceDN w:val="0"/>
              <w:adjustRightInd w:val="0"/>
              <w:rPr>
                <w:rFonts w:ascii="Gill Sans" w:hAnsi="Gill Sans" w:cs="Gill Sans"/>
              </w:rPr>
            </w:pPr>
          </w:p>
          <w:p w14:paraId="0C4FAC4E" w14:textId="77777777" w:rsidR="00F934ED" w:rsidRDefault="00F934ED" w:rsidP="00F934ED">
            <w:pPr>
              <w:autoSpaceDE w:val="0"/>
              <w:autoSpaceDN w:val="0"/>
              <w:adjustRightInd w:val="0"/>
              <w:rPr>
                <w:rFonts w:ascii="Gill Sans" w:hAnsi="Gill Sans" w:cs="Gill Sans"/>
              </w:rPr>
            </w:pPr>
          </w:p>
          <w:p w14:paraId="18B0D2EE" w14:textId="6791D5B2" w:rsidR="00F934ED" w:rsidRPr="00076E76" w:rsidRDefault="00F934ED" w:rsidP="00F934ED">
            <w:pPr>
              <w:rPr>
                <w:rFonts w:ascii="Gill Sans" w:hAnsi="Gill Sans" w:cs="Gill Sans"/>
                <w:szCs w:val="22"/>
              </w:rPr>
            </w:pPr>
            <w:r>
              <w:rPr>
                <w:rFonts w:ascii="Gill Sans" w:hAnsi="Gill Sans" w:cs="Gill Sans"/>
              </w:rPr>
              <w:t xml:space="preserve">Keywords: </w:t>
            </w:r>
            <w:r w:rsidRPr="003D4E56">
              <w:rPr>
                <w:rFonts w:ascii="Gill Sans" w:hAnsi="Gill Sans" w:cs="Gill Sans"/>
                <w:i/>
              </w:rPr>
              <w:t>competencies, higher education, learning experiences, students’ perceptions, work transition</w:t>
            </w:r>
          </w:p>
        </w:tc>
        <w:tc>
          <w:tcPr>
            <w:tcW w:w="10064" w:type="dxa"/>
          </w:tcPr>
          <w:p w14:paraId="60BFF1B1" w14:textId="77777777" w:rsidR="00F934ED" w:rsidRPr="00362E5B" w:rsidRDefault="00F934ED" w:rsidP="00F934ED">
            <w:pPr>
              <w:rPr>
                <w:rFonts w:ascii="Gill Sans" w:hAnsi="Gill Sans" w:cs="Gill Sans"/>
                <w:color w:val="000000"/>
              </w:rPr>
            </w:pPr>
            <w:r w:rsidRPr="000D2CA6">
              <w:rPr>
                <w:rFonts w:ascii="Gill Sans" w:hAnsi="Gill Sans" w:cs="Gill Sans"/>
                <w:b/>
                <w:color w:val="000000"/>
              </w:rPr>
              <w:t xml:space="preserve">Context: </w:t>
            </w:r>
            <w:r>
              <w:rPr>
                <w:rFonts w:ascii="Gill Sans" w:hAnsi="Gill Sans" w:cs="Gill Sans"/>
                <w:color w:val="000000"/>
              </w:rPr>
              <w:t>Debate in literature about role of higher education-</w:t>
            </w:r>
            <w:r w:rsidRPr="00E065A6">
              <w:rPr>
                <w:rFonts w:ascii="Gill Sans" w:hAnsi="Gill Sans" w:cs="Gill Sans"/>
                <w:color w:val="000000"/>
              </w:rPr>
              <w:t xml:space="preserve"> </w:t>
            </w:r>
            <w:r>
              <w:rPr>
                <w:rFonts w:ascii="Gill Sans" w:hAnsi="Gill Sans" w:cs="Gill Sans"/>
                <w:color w:val="000000"/>
              </w:rPr>
              <w:t>“</w:t>
            </w:r>
            <w:r w:rsidRPr="00E065A6">
              <w:rPr>
                <w:rFonts w:ascii="Gill Sans" w:hAnsi="Gill Sans" w:cs="Gill Sans"/>
                <w:color w:val="000000"/>
              </w:rPr>
              <w:t>On the</w:t>
            </w:r>
            <w:r>
              <w:rPr>
                <w:rFonts w:ascii="Gill Sans" w:hAnsi="Gill Sans" w:cs="Gill Sans"/>
                <w:color w:val="000000"/>
              </w:rPr>
              <w:t xml:space="preserve"> </w:t>
            </w:r>
            <w:r w:rsidRPr="00E065A6">
              <w:rPr>
                <w:rFonts w:ascii="Gill Sans" w:hAnsi="Gill Sans" w:cs="Gill Sans"/>
                <w:color w:val="000000"/>
              </w:rPr>
              <w:t>one hand, there is the perspective that universities should adopt an educational and human development</w:t>
            </w:r>
            <w:r>
              <w:rPr>
                <w:rFonts w:ascii="Gill Sans" w:hAnsi="Gill Sans" w:cs="Gill Sans"/>
                <w:color w:val="000000"/>
              </w:rPr>
              <w:t xml:space="preserve"> </w:t>
            </w:r>
            <w:r w:rsidRPr="00E065A6">
              <w:rPr>
                <w:rFonts w:ascii="Gill Sans" w:hAnsi="Gill Sans" w:cs="Gill Sans"/>
                <w:color w:val="000000"/>
              </w:rPr>
              <w:t>approach in their curriculum development and quality assessme</w:t>
            </w:r>
            <w:r>
              <w:rPr>
                <w:rFonts w:ascii="Gill Sans" w:hAnsi="Gill Sans" w:cs="Gill Sans"/>
                <w:color w:val="000000"/>
              </w:rPr>
              <w:t xml:space="preserve">nt </w:t>
            </w:r>
            <w:r w:rsidRPr="00E065A6">
              <w:rPr>
                <w:rFonts w:ascii="Gill Sans" w:hAnsi="Gill Sans" w:cs="Gill Sans"/>
                <w:color w:val="000000"/>
              </w:rPr>
              <w:t>on the other hand, there is the functionalist pe</w:t>
            </w:r>
            <w:r>
              <w:rPr>
                <w:rFonts w:ascii="Gill Sans" w:hAnsi="Gill Sans" w:cs="Gill Sans"/>
                <w:color w:val="000000"/>
              </w:rPr>
              <w:t xml:space="preserve">rspective that considers higher </w:t>
            </w:r>
            <w:r w:rsidRPr="00E065A6">
              <w:rPr>
                <w:rFonts w:ascii="Gill Sans" w:hAnsi="Gill Sans" w:cs="Gill Sans"/>
                <w:color w:val="000000"/>
              </w:rPr>
              <w:t>education should use the terms, values and objectives of the general society, and so its effectiveness</w:t>
            </w:r>
            <w:r>
              <w:rPr>
                <w:rFonts w:ascii="Gill Sans" w:hAnsi="Gill Sans" w:cs="Gill Sans"/>
                <w:color w:val="000000"/>
              </w:rPr>
              <w:t xml:space="preserve"> </w:t>
            </w:r>
            <w:r w:rsidRPr="00E065A6">
              <w:rPr>
                <w:rFonts w:ascii="Gill Sans" w:hAnsi="Gill Sans" w:cs="Gill Sans"/>
                <w:color w:val="000000"/>
              </w:rPr>
              <w:t>should be assessed in an instrumental way through the impact on the capacity to contribute to</w:t>
            </w:r>
            <w:r>
              <w:rPr>
                <w:rFonts w:ascii="Gill Sans" w:hAnsi="Gill Sans" w:cs="Gill Sans"/>
                <w:color w:val="000000"/>
              </w:rPr>
              <w:t xml:space="preserve"> </w:t>
            </w:r>
            <w:r w:rsidRPr="00E065A6">
              <w:rPr>
                <w:rFonts w:ascii="Gill Sans" w:hAnsi="Gill Sans" w:cs="Gill Sans"/>
                <w:color w:val="000000"/>
              </w:rPr>
              <w:t>society and economy</w:t>
            </w:r>
            <w:r>
              <w:rPr>
                <w:rFonts w:ascii="Gill Sans" w:hAnsi="Gill Sans" w:cs="Gill Sans"/>
                <w:color w:val="000000"/>
              </w:rPr>
              <w:t>”. Overall, need to understand factors that contribute to students’ preparedness to transition to work from HE.</w:t>
            </w:r>
          </w:p>
          <w:p w14:paraId="3EA7FFF2" w14:textId="77777777" w:rsidR="00F934ED" w:rsidRPr="00093BA9" w:rsidRDefault="00F934ED" w:rsidP="00F934ED">
            <w:pPr>
              <w:rPr>
                <w:rFonts w:ascii="Gill Sans" w:hAnsi="Gill Sans" w:cs="Gill Sans"/>
                <w:color w:val="000000"/>
              </w:rPr>
            </w:pPr>
            <w:r w:rsidRPr="000D2CA6">
              <w:rPr>
                <w:rFonts w:ascii="Gill Sans" w:hAnsi="Gill Sans" w:cs="Gill Sans"/>
                <w:b/>
                <w:color w:val="000000"/>
              </w:rPr>
              <w:t xml:space="preserve">Aim: </w:t>
            </w:r>
            <w:r w:rsidRPr="00080BC8">
              <w:rPr>
                <w:rFonts w:ascii="Gill Sans" w:hAnsi="Gill Sans" w:cs="Gill Sans"/>
                <w:color w:val="000000"/>
              </w:rPr>
              <w:t>To</w:t>
            </w:r>
            <w:r>
              <w:rPr>
                <w:rFonts w:ascii="Gill Sans" w:hAnsi="Gill Sans" w:cs="Gill Sans"/>
                <w:b/>
                <w:color w:val="000000"/>
              </w:rPr>
              <w:t xml:space="preserve"> </w:t>
            </w:r>
            <w:r>
              <w:rPr>
                <w:rFonts w:ascii="Gill Sans" w:hAnsi="Gill Sans" w:cs="Gill Sans"/>
                <w:color w:val="000000"/>
              </w:rPr>
              <w:t>understand factors contributing to students’ perceptions of their preparedness to transition from HE to employment</w:t>
            </w:r>
          </w:p>
          <w:p w14:paraId="4E12CF4A" w14:textId="77777777" w:rsidR="00F934ED" w:rsidRPr="001C4017" w:rsidRDefault="00F934ED" w:rsidP="00F934ED">
            <w:pPr>
              <w:rPr>
                <w:rFonts w:ascii="Gill Sans" w:hAnsi="Gill Sans" w:cs="Gill Sans"/>
                <w:color w:val="000000"/>
              </w:rPr>
            </w:pPr>
            <w:r w:rsidRPr="000D2CA6">
              <w:rPr>
                <w:rFonts w:ascii="Gill Sans" w:hAnsi="Gill Sans" w:cs="Gill Sans"/>
                <w:b/>
                <w:color w:val="000000"/>
              </w:rPr>
              <w:t>Theoretical frame:</w:t>
            </w:r>
            <w:r>
              <w:rPr>
                <w:rFonts w:ascii="Gill Sans" w:hAnsi="Gill Sans" w:cs="Gill Sans"/>
                <w:b/>
                <w:color w:val="000000"/>
              </w:rPr>
              <w:t xml:space="preserve"> </w:t>
            </w:r>
            <w:r>
              <w:rPr>
                <w:rFonts w:ascii="Gill Sans" w:hAnsi="Gill Sans" w:cs="Gill Sans"/>
                <w:color w:val="000000"/>
              </w:rPr>
              <w:t xml:space="preserve">No overarching frame but draws on models of employability, </w:t>
            </w:r>
            <w:proofErr w:type="spellStart"/>
            <w:r>
              <w:rPr>
                <w:rFonts w:ascii="Gill Sans" w:hAnsi="Gill Sans" w:cs="Gill Sans"/>
                <w:color w:val="000000"/>
              </w:rPr>
              <w:t>self perception</w:t>
            </w:r>
            <w:proofErr w:type="spellEnd"/>
            <w:r>
              <w:rPr>
                <w:rFonts w:ascii="Gill Sans" w:hAnsi="Gill Sans" w:cs="Gill Sans"/>
                <w:color w:val="000000"/>
              </w:rPr>
              <w:t xml:space="preserve"> and </w:t>
            </w:r>
            <w:proofErr w:type="spellStart"/>
            <w:r>
              <w:rPr>
                <w:rFonts w:ascii="Gill Sans" w:hAnsi="Gill Sans" w:cs="Gill Sans"/>
                <w:color w:val="000000"/>
              </w:rPr>
              <w:t>self efficacy</w:t>
            </w:r>
            <w:proofErr w:type="spellEnd"/>
            <w:r>
              <w:rPr>
                <w:rFonts w:ascii="Gill Sans" w:hAnsi="Gill Sans" w:cs="Gill Sans"/>
                <w:color w:val="000000"/>
              </w:rPr>
              <w:t>.</w:t>
            </w:r>
          </w:p>
          <w:p w14:paraId="42A724B2" w14:textId="77777777" w:rsidR="00F934ED" w:rsidRPr="001A4A2C" w:rsidRDefault="00F934ED" w:rsidP="00F934ED">
            <w:pPr>
              <w:rPr>
                <w:rFonts w:ascii="Gill Sans" w:hAnsi="Gill Sans" w:cs="Gill Sans"/>
                <w:color w:val="000000"/>
              </w:rPr>
            </w:pPr>
            <w:r w:rsidRPr="000D2CA6">
              <w:rPr>
                <w:rFonts w:ascii="Gill Sans" w:hAnsi="Gill Sans" w:cs="Gill Sans"/>
                <w:b/>
                <w:color w:val="000000"/>
              </w:rPr>
              <w:t xml:space="preserve">Methodology: </w:t>
            </w:r>
            <w:r>
              <w:rPr>
                <w:rFonts w:ascii="Gill Sans" w:hAnsi="Gill Sans" w:cs="Gill Sans"/>
                <w:color w:val="000000"/>
              </w:rPr>
              <w:t xml:space="preserve">Questionnaire based quantitative study – convenience sample of 641 students enrolled in </w:t>
            </w:r>
            <w:proofErr w:type="gramStart"/>
            <w:r>
              <w:rPr>
                <w:rFonts w:ascii="Gill Sans" w:hAnsi="Gill Sans" w:cs="Gill Sans"/>
                <w:color w:val="000000"/>
              </w:rPr>
              <w:t>masters</w:t>
            </w:r>
            <w:proofErr w:type="gramEnd"/>
            <w:r>
              <w:rPr>
                <w:rFonts w:ascii="Gill Sans" w:hAnsi="Gill Sans" w:cs="Gill Sans"/>
                <w:color w:val="000000"/>
              </w:rPr>
              <w:t xml:space="preserve"> programs at a public university in Portugal. Descriptive statistics.</w:t>
            </w:r>
          </w:p>
          <w:p w14:paraId="2137A033" w14:textId="77777777" w:rsidR="00F934ED" w:rsidRDefault="00F934ED" w:rsidP="00F934ED">
            <w:pPr>
              <w:rPr>
                <w:rFonts w:ascii="Gill Sans" w:hAnsi="Gill Sans" w:cs="Gill Sans"/>
                <w:color w:val="000000"/>
              </w:rPr>
            </w:pPr>
            <w:r w:rsidRPr="000D2CA6">
              <w:rPr>
                <w:rFonts w:ascii="Gill Sans" w:hAnsi="Gill Sans" w:cs="Gill Sans"/>
                <w:b/>
                <w:color w:val="000000"/>
              </w:rPr>
              <w:t xml:space="preserve">Findings: </w:t>
            </w:r>
            <w:r w:rsidRPr="00271C82">
              <w:rPr>
                <w:rFonts w:ascii="Gill Sans" w:hAnsi="Gill Sans" w:cs="Gill Sans"/>
                <w:color w:val="000000"/>
              </w:rPr>
              <w:t>The results of the study show that students perceive that participation in lectures seems particularly</w:t>
            </w:r>
            <w:r>
              <w:rPr>
                <w:rFonts w:ascii="Gill Sans" w:hAnsi="Gill Sans" w:cs="Gill Sans"/>
                <w:color w:val="000000"/>
              </w:rPr>
              <w:t xml:space="preserve"> </w:t>
            </w:r>
            <w:r w:rsidRPr="00271C82">
              <w:rPr>
                <w:rFonts w:ascii="Gill Sans" w:hAnsi="Gill Sans" w:cs="Gill Sans"/>
                <w:color w:val="000000"/>
              </w:rPr>
              <w:t>beneficial for their transition to work, whereas regular attendance at lectures seems less important</w:t>
            </w:r>
            <w:r w:rsidRPr="00CA4B96">
              <w:rPr>
                <w:rFonts w:ascii="Gill Sans" w:hAnsi="Gill Sans" w:cs="Gill Sans"/>
                <w:color w:val="000000"/>
              </w:rPr>
              <w:t>.</w:t>
            </w:r>
            <w:r>
              <w:rPr>
                <w:rFonts w:ascii="Gill Sans" w:hAnsi="Gill Sans" w:cs="Gill Sans"/>
                <w:color w:val="000000"/>
              </w:rPr>
              <w:t xml:space="preserve"> Participation likely see as important in development of critical thinking skills. Both practical and theoretical work contributed positively to perceptions of preparedness to transition. Study areas that focus on competencies associated with employability have a positive impact. In terms of individual factors, gender didn’t affect outcomes, but age did (older students felt more prepared). Work experience did not influence preparedness. </w:t>
            </w:r>
          </w:p>
          <w:p w14:paraId="5298A996" w14:textId="6E098EB4" w:rsidR="00F934ED" w:rsidRPr="00076E76" w:rsidRDefault="00F934ED" w:rsidP="00F934ED">
            <w:pPr>
              <w:rPr>
                <w:rFonts w:ascii="Gill Sans" w:hAnsi="Gill Sans" w:cs="Gill Sans"/>
                <w:b/>
                <w:color w:val="000000"/>
                <w:szCs w:val="22"/>
                <w:lang w:val="en-AU"/>
              </w:rPr>
            </w:pPr>
            <w:r w:rsidRPr="000D2CA6">
              <w:rPr>
                <w:rFonts w:ascii="Gill Sans" w:hAnsi="Gill Sans" w:cs="Gill Sans"/>
                <w:b/>
                <w:color w:val="000000"/>
              </w:rPr>
              <w:t>Core argument:</w:t>
            </w:r>
            <w:r>
              <w:rPr>
                <w:rFonts w:ascii="Gill Sans" w:hAnsi="Gill Sans" w:cs="Gill Sans"/>
                <w:b/>
                <w:color w:val="000000"/>
              </w:rPr>
              <w:t xml:space="preserve"> </w:t>
            </w:r>
            <w:r>
              <w:rPr>
                <w:rFonts w:ascii="Gill Sans" w:hAnsi="Gill Sans" w:cs="Gill Sans"/>
                <w:color w:val="000000"/>
              </w:rPr>
              <w:t>Universities need to provide opportunities for students to increase employability competencies during their studies.</w:t>
            </w:r>
          </w:p>
        </w:tc>
      </w:tr>
      <w:tr w:rsidR="00F934ED" w:rsidRPr="00076E76" w14:paraId="799E35D6" w14:textId="77777777" w:rsidTr="00E519C7">
        <w:tc>
          <w:tcPr>
            <w:tcW w:w="5529" w:type="dxa"/>
            <w:shd w:val="clear" w:color="auto" w:fill="auto"/>
          </w:tcPr>
          <w:p w14:paraId="02E80ABC" w14:textId="3FE1A276" w:rsidR="00F934ED" w:rsidRDefault="00F934ED" w:rsidP="00F934ED">
            <w:pPr>
              <w:rPr>
                <w:rFonts w:ascii="Gill Sans" w:hAnsi="Gill Sans" w:cs="Gill Sans"/>
                <w:szCs w:val="22"/>
              </w:rPr>
            </w:pPr>
            <w:r w:rsidRPr="00076E76">
              <w:rPr>
                <w:rFonts w:ascii="Gill Sans" w:hAnsi="Gill Sans" w:cs="Gill Sans"/>
                <w:szCs w:val="22"/>
              </w:rPr>
              <w:t>Gibson, S.</w:t>
            </w:r>
            <w:r>
              <w:rPr>
                <w:rFonts w:ascii="Gill Sans" w:hAnsi="Gill Sans" w:cs="Gill Sans"/>
                <w:szCs w:val="22"/>
              </w:rPr>
              <w:t>; Grace, A.; O’Sullivan, C. &amp; Pritchard, C. (2019).</w:t>
            </w:r>
            <w:r w:rsidRPr="005A2414">
              <w:rPr>
                <w:rFonts w:ascii="Gill Sans" w:hAnsi="Gill Sans" w:cs="Gill Sans"/>
                <w:szCs w:val="22"/>
              </w:rPr>
              <w:t xml:space="preserve"> </w:t>
            </w:r>
            <w:hyperlink r:id="rId64" w:history="1">
              <w:r w:rsidRPr="00724CA2">
                <w:rPr>
                  <w:rStyle w:val="Hyperlink"/>
                  <w:rFonts w:ascii="Gill Sans" w:hAnsi="Gill Sans" w:cs="Gill Sans"/>
                  <w:szCs w:val="22"/>
                </w:rPr>
                <w:t>Exploring transitions into the undergraduate university world using a student-centred framework</w:t>
              </w:r>
            </w:hyperlink>
            <w:r w:rsidRPr="005A2414">
              <w:rPr>
                <w:rFonts w:ascii="Gill Sans" w:hAnsi="Gill Sans" w:cs="Gill Sans"/>
                <w:szCs w:val="22"/>
              </w:rPr>
              <w:t>,</w:t>
            </w:r>
            <w:r>
              <w:rPr>
                <w:rFonts w:ascii="Gill Sans" w:hAnsi="Gill Sans" w:cs="Gill Sans"/>
                <w:szCs w:val="22"/>
              </w:rPr>
              <w:t xml:space="preserve"> </w:t>
            </w:r>
            <w:r w:rsidRPr="005A2414">
              <w:rPr>
                <w:rFonts w:ascii="Gill Sans" w:hAnsi="Gill Sans" w:cs="Gill Sans"/>
                <w:i/>
                <w:szCs w:val="22"/>
              </w:rPr>
              <w:t>Teaching in Higher Education</w:t>
            </w:r>
            <w:r>
              <w:rPr>
                <w:rFonts w:ascii="Gill Sans" w:hAnsi="Gill Sans" w:cs="Gill Sans"/>
                <w:szCs w:val="22"/>
              </w:rPr>
              <w:t>, 24(</w:t>
            </w:r>
            <w:r w:rsidRPr="005A2414">
              <w:rPr>
                <w:rFonts w:ascii="Gill Sans" w:hAnsi="Gill Sans" w:cs="Gill Sans"/>
                <w:szCs w:val="22"/>
              </w:rPr>
              <w:t>7</w:t>
            </w:r>
            <w:r>
              <w:rPr>
                <w:rFonts w:ascii="Gill Sans" w:hAnsi="Gill Sans" w:cs="Gill Sans"/>
                <w:szCs w:val="22"/>
              </w:rPr>
              <w:t>), 819–</w:t>
            </w:r>
            <w:r w:rsidRPr="005A2414">
              <w:rPr>
                <w:rFonts w:ascii="Gill Sans" w:hAnsi="Gill Sans" w:cs="Gill Sans"/>
                <w:szCs w:val="22"/>
              </w:rPr>
              <w:t>833</w:t>
            </w:r>
            <w:r>
              <w:rPr>
                <w:rFonts w:ascii="Gill Sans" w:hAnsi="Gill Sans" w:cs="Gill Sans"/>
                <w:szCs w:val="22"/>
              </w:rPr>
              <w:t xml:space="preserve">. </w:t>
            </w:r>
          </w:p>
          <w:p w14:paraId="1AF09359" w14:textId="77777777" w:rsidR="00F934ED" w:rsidRDefault="00F934ED" w:rsidP="00F934ED">
            <w:pPr>
              <w:rPr>
                <w:rFonts w:ascii="Gill Sans" w:hAnsi="Gill Sans" w:cs="Gill Sans"/>
                <w:szCs w:val="22"/>
              </w:rPr>
            </w:pPr>
          </w:p>
          <w:p w14:paraId="1A516C48" w14:textId="77777777" w:rsidR="00F934ED" w:rsidRDefault="00F934ED" w:rsidP="00F934ED">
            <w:pPr>
              <w:rPr>
                <w:rFonts w:ascii="Gill Sans" w:hAnsi="Gill Sans" w:cs="Gill Sans"/>
                <w:szCs w:val="22"/>
              </w:rPr>
            </w:pPr>
            <w:r>
              <w:rPr>
                <w:rFonts w:ascii="Gill Sans" w:hAnsi="Gill Sans" w:cs="Gill Sans"/>
                <w:szCs w:val="22"/>
              </w:rPr>
              <w:t>UK</w:t>
            </w:r>
          </w:p>
          <w:p w14:paraId="54B03B4F" w14:textId="77777777" w:rsidR="00F934ED" w:rsidRPr="00076E76" w:rsidRDefault="00F934ED" w:rsidP="00F934ED">
            <w:pPr>
              <w:rPr>
                <w:rFonts w:ascii="Gill Sans" w:hAnsi="Gill Sans" w:cs="Gill Sans"/>
                <w:szCs w:val="22"/>
              </w:rPr>
            </w:pPr>
            <w:r w:rsidRPr="00076E76">
              <w:rPr>
                <w:rFonts w:ascii="Gill Sans" w:hAnsi="Gill Sans" w:cs="Gill Sans"/>
                <w:szCs w:val="22"/>
              </w:rPr>
              <w:lastRenderedPageBreak/>
              <w:t>Annotation by Sally Baker</w:t>
            </w:r>
          </w:p>
          <w:p w14:paraId="494E6450" w14:textId="77777777" w:rsidR="00F934ED" w:rsidRDefault="00F934ED" w:rsidP="00F934ED">
            <w:pPr>
              <w:rPr>
                <w:rFonts w:ascii="Gill Sans" w:hAnsi="Gill Sans" w:cs="Gill Sans"/>
                <w:szCs w:val="22"/>
              </w:rPr>
            </w:pPr>
          </w:p>
          <w:p w14:paraId="07E01EB8" w14:textId="5B28EBD6" w:rsidR="00F934ED" w:rsidRDefault="00F934ED" w:rsidP="00F934ED">
            <w:pPr>
              <w:rPr>
                <w:rFonts w:ascii="Gill Sans" w:hAnsi="Gill Sans" w:cs="Gill Sans"/>
                <w:i/>
                <w:szCs w:val="22"/>
              </w:rPr>
            </w:pPr>
            <w:r>
              <w:rPr>
                <w:rFonts w:ascii="Gill Sans" w:hAnsi="Gill Sans" w:cs="Gill Sans"/>
                <w:szCs w:val="22"/>
              </w:rPr>
              <w:t xml:space="preserve">Keywords: </w:t>
            </w:r>
            <w:r w:rsidRPr="005A2414">
              <w:rPr>
                <w:rFonts w:ascii="Gill Sans" w:hAnsi="Gill Sans" w:cs="Gill Sans"/>
                <w:i/>
                <w:szCs w:val="22"/>
              </w:rPr>
              <w:t xml:space="preserve">Student experience; </w:t>
            </w:r>
            <w:r w:rsidR="00500B09">
              <w:rPr>
                <w:rFonts w:ascii="Gill Sans" w:hAnsi="Gill Sans" w:cs="Gill Sans"/>
                <w:i/>
                <w:szCs w:val="22"/>
              </w:rPr>
              <w:t>s</w:t>
            </w:r>
            <w:r w:rsidRPr="005A2414">
              <w:rPr>
                <w:rFonts w:ascii="Gill Sans" w:hAnsi="Gill Sans" w:cs="Gill Sans"/>
                <w:i/>
                <w:szCs w:val="22"/>
              </w:rPr>
              <w:t xml:space="preserve">tudent transition; </w:t>
            </w:r>
            <w:r w:rsidR="00500B09">
              <w:rPr>
                <w:rFonts w:ascii="Gill Sans" w:hAnsi="Gill Sans" w:cs="Gill Sans"/>
                <w:i/>
                <w:szCs w:val="22"/>
              </w:rPr>
              <w:t>s</w:t>
            </w:r>
            <w:r w:rsidRPr="005A2414">
              <w:rPr>
                <w:rFonts w:ascii="Gill Sans" w:hAnsi="Gill Sans" w:cs="Gill Sans"/>
                <w:i/>
                <w:szCs w:val="22"/>
              </w:rPr>
              <w:t xml:space="preserve">tudent success; </w:t>
            </w:r>
            <w:r w:rsidR="00500B09">
              <w:rPr>
                <w:rFonts w:ascii="Gill Sans" w:hAnsi="Gill Sans" w:cs="Gill Sans"/>
                <w:i/>
                <w:szCs w:val="22"/>
              </w:rPr>
              <w:t>s</w:t>
            </w:r>
            <w:r w:rsidRPr="005A2414">
              <w:rPr>
                <w:rFonts w:ascii="Gill Sans" w:hAnsi="Gill Sans" w:cs="Gill Sans"/>
                <w:i/>
                <w:szCs w:val="22"/>
              </w:rPr>
              <w:t>tudent identity</w:t>
            </w:r>
          </w:p>
          <w:p w14:paraId="3C07243A" w14:textId="77777777" w:rsidR="00F934ED" w:rsidRDefault="00F934ED" w:rsidP="00F934ED">
            <w:pPr>
              <w:rPr>
                <w:rFonts w:ascii="Gill Sans" w:hAnsi="Gill Sans" w:cs="Gill Sans"/>
                <w:i/>
                <w:szCs w:val="22"/>
              </w:rPr>
            </w:pPr>
          </w:p>
          <w:p w14:paraId="19F1F01B" w14:textId="55413428" w:rsidR="00F934ED" w:rsidRPr="00E519C7" w:rsidRDefault="00F934ED" w:rsidP="00F934ED">
            <w:pPr>
              <w:rPr>
                <w:rFonts w:ascii="Gill Sans" w:hAnsi="Gill Sans" w:cs="Gill Sans"/>
                <w:b/>
                <w:szCs w:val="22"/>
              </w:rPr>
            </w:pPr>
          </w:p>
        </w:tc>
        <w:tc>
          <w:tcPr>
            <w:tcW w:w="10064" w:type="dxa"/>
          </w:tcPr>
          <w:p w14:paraId="67AA6783" w14:textId="1271804F" w:rsidR="00F934ED" w:rsidRPr="00467190"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lastRenderedPageBreak/>
              <w:t xml:space="preserve">Context: </w:t>
            </w:r>
            <w:r>
              <w:rPr>
                <w:rFonts w:ascii="Gill Sans" w:hAnsi="Gill Sans" w:cs="Gill Sans"/>
                <w:color w:val="000000"/>
                <w:szCs w:val="22"/>
                <w:lang w:val="en-AU"/>
              </w:rPr>
              <w:t xml:space="preserve">Transitioning into higher education in England; students as consumers. Equity angle described in terms of “students </w:t>
            </w:r>
            <w:r w:rsidRPr="00CF1CD1">
              <w:rPr>
                <w:rFonts w:ascii="Gill Sans" w:hAnsi="Gill Sans" w:cs="Gill Sans"/>
                <w:color w:val="000000"/>
                <w:szCs w:val="22"/>
              </w:rPr>
              <w:t>from lower-class backgrounds lack the ability to draw on a discourse of entitlement,</w:t>
            </w:r>
            <w:r>
              <w:rPr>
                <w:rFonts w:ascii="Gill Sans" w:hAnsi="Gill Sans" w:cs="Gill Sans"/>
                <w:color w:val="000000"/>
                <w:szCs w:val="22"/>
              </w:rPr>
              <w:t xml:space="preserve"> </w:t>
            </w:r>
            <w:r w:rsidRPr="00CF1CD1">
              <w:rPr>
                <w:rFonts w:ascii="Gill Sans" w:hAnsi="Gill Sans" w:cs="Gill Sans"/>
                <w:color w:val="000000"/>
                <w:szCs w:val="22"/>
              </w:rPr>
              <w:t>which their middle-class counterparts have</w:t>
            </w:r>
            <w:r>
              <w:rPr>
                <w:rFonts w:ascii="Gill Sans" w:hAnsi="Gill Sans" w:cs="Gill Sans"/>
                <w:color w:val="000000"/>
                <w:szCs w:val="22"/>
              </w:rPr>
              <w:t xml:space="preserve">” (p.820). Authors cite literature that describes the emotional and psychosocial impacts of the struggles created by transition. Authors argue against deficit view and promote using a student-centred perspective. </w:t>
            </w:r>
          </w:p>
          <w:p w14:paraId="0F51E828" w14:textId="0CC828C3" w:rsidR="00F934ED" w:rsidRPr="009B5E97"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Pr>
                <w:rFonts w:ascii="Gill Sans" w:hAnsi="Gill Sans" w:cs="Gill Sans"/>
                <w:color w:val="000000"/>
                <w:szCs w:val="22"/>
                <w:lang w:val="en-AU"/>
              </w:rPr>
              <w:t>To examine students’ transitions with specific regard to “</w:t>
            </w:r>
            <w:r w:rsidRPr="009B5E97">
              <w:rPr>
                <w:rFonts w:ascii="Gill Sans" w:hAnsi="Gill Sans" w:cs="Gill Sans"/>
                <w:color w:val="000000"/>
                <w:szCs w:val="22"/>
              </w:rPr>
              <w:t>questions regarding the identity</w:t>
            </w:r>
            <w:r>
              <w:rPr>
                <w:rFonts w:ascii="Gill Sans" w:hAnsi="Gill Sans" w:cs="Gill Sans"/>
                <w:color w:val="000000"/>
                <w:szCs w:val="22"/>
              </w:rPr>
              <w:t xml:space="preserve"> </w:t>
            </w:r>
            <w:r w:rsidRPr="009B5E97">
              <w:rPr>
                <w:rFonts w:ascii="Gill Sans" w:hAnsi="Gill Sans" w:cs="Gill Sans"/>
                <w:color w:val="000000"/>
                <w:szCs w:val="22"/>
              </w:rPr>
              <w:t xml:space="preserve">of student, </w:t>
            </w:r>
            <w:r w:rsidRPr="009B5E97">
              <w:rPr>
                <w:rFonts w:ascii="Gill Sans" w:hAnsi="Gill Sans" w:cs="Gill Sans"/>
                <w:color w:val="000000"/>
                <w:szCs w:val="22"/>
              </w:rPr>
              <w:lastRenderedPageBreak/>
              <w:t>academic writing, academic progression and what the university is remain</w:t>
            </w:r>
            <w:r>
              <w:rPr>
                <w:rFonts w:ascii="Gill Sans" w:hAnsi="Gill Sans" w:cs="Gill Sans"/>
                <w:color w:val="000000"/>
                <w:szCs w:val="22"/>
              </w:rPr>
              <w:t xml:space="preserve"> </w:t>
            </w:r>
            <w:r w:rsidRPr="009B5E97">
              <w:rPr>
                <w:rFonts w:ascii="Gill Sans" w:hAnsi="Gill Sans" w:cs="Gill Sans"/>
                <w:color w:val="000000"/>
                <w:szCs w:val="22"/>
              </w:rPr>
              <w:t>ill-defined</w:t>
            </w:r>
            <w:r>
              <w:rPr>
                <w:rFonts w:ascii="Gill Sans" w:hAnsi="Gill Sans" w:cs="Gill Sans"/>
                <w:color w:val="000000"/>
                <w:szCs w:val="22"/>
              </w:rPr>
              <w:t>” (p.821) and to provide an opportunity for students to become co-researchers.</w:t>
            </w:r>
          </w:p>
          <w:p w14:paraId="5443F8A8" w14:textId="6BEBEEDF" w:rsidR="00F934ED" w:rsidRPr="009C1AD7"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Theoretical frame:</w:t>
            </w:r>
            <w:r>
              <w:rPr>
                <w:rFonts w:ascii="Gill Sans" w:hAnsi="Gill Sans" w:cs="Gill Sans"/>
                <w:b/>
                <w:color w:val="000000"/>
                <w:szCs w:val="22"/>
                <w:lang w:val="en-AU"/>
              </w:rPr>
              <w:t xml:space="preserve"> </w:t>
            </w:r>
            <w:r>
              <w:rPr>
                <w:rFonts w:ascii="Gill Sans" w:hAnsi="Gill Sans" w:cs="Gill Sans"/>
                <w:color w:val="000000"/>
                <w:szCs w:val="22"/>
                <w:lang w:val="en-AU"/>
              </w:rPr>
              <w:t>‘Becoming’; reference to Bourdieu/ cultural capital</w:t>
            </w:r>
          </w:p>
          <w:p w14:paraId="4EA732BA" w14:textId="76A4113B" w:rsidR="00F934ED" w:rsidRPr="009C1AD7"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Pr>
                <w:rFonts w:ascii="Gill Sans" w:hAnsi="Gill Sans" w:cs="Gill Sans"/>
                <w:color w:val="000000"/>
                <w:szCs w:val="22"/>
                <w:lang w:val="en-AU"/>
              </w:rPr>
              <w:t>Small-scale qualitative inquiry with students as co-researchers; “</w:t>
            </w:r>
            <w:r w:rsidRPr="006052D8">
              <w:rPr>
                <w:rFonts w:ascii="Gill Sans" w:hAnsi="Gill Sans" w:cs="Gill Sans"/>
                <w:color w:val="000000"/>
                <w:szCs w:val="22"/>
              </w:rPr>
              <w:t>two-stage generic qualitative approach</w:t>
            </w:r>
            <w:r>
              <w:rPr>
                <w:rFonts w:ascii="Gill Sans" w:hAnsi="Gill Sans" w:cs="Gill Sans"/>
                <w:color w:val="000000"/>
                <w:szCs w:val="22"/>
              </w:rPr>
              <w:t>” (p.821): first stage = each researcher (4 academics, 4 students) “</w:t>
            </w:r>
            <w:proofErr w:type="spellStart"/>
            <w:r>
              <w:rPr>
                <w:rFonts w:ascii="Gill Sans" w:hAnsi="Gill Sans" w:cs="Gill Sans"/>
                <w:color w:val="000000"/>
                <w:szCs w:val="22"/>
              </w:rPr>
              <w:t>immers</w:t>
            </w:r>
            <w:proofErr w:type="spellEnd"/>
            <w:r>
              <w:rPr>
                <w:rFonts w:ascii="Gill Sans" w:hAnsi="Gill Sans" w:cs="Gill Sans"/>
                <w:color w:val="000000"/>
                <w:szCs w:val="22"/>
              </w:rPr>
              <w:t>[ing]</w:t>
            </w:r>
            <w:r w:rsidRPr="00973B3A">
              <w:rPr>
                <w:rFonts w:ascii="Gill Sans" w:hAnsi="Gill Sans" w:cs="Gill Sans"/>
                <w:color w:val="000000"/>
                <w:szCs w:val="22"/>
              </w:rPr>
              <w:t xml:space="preserve"> themselves in the methodology and </w:t>
            </w:r>
            <w:proofErr w:type="spellStart"/>
            <w:r w:rsidRPr="00973B3A">
              <w:rPr>
                <w:rFonts w:ascii="Gill Sans" w:hAnsi="Gill Sans" w:cs="Gill Sans"/>
                <w:color w:val="000000"/>
                <w:szCs w:val="22"/>
              </w:rPr>
              <w:t>epitomised</w:t>
            </w:r>
            <w:proofErr w:type="spellEnd"/>
            <w:r w:rsidRPr="00973B3A">
              <w:rPr>
                <w:rFonts w:ascii="Gill Sans" w:hAnsi="Gill Sans" w:cs="Gill Sans"/>
                <w:color w:val="000000"/>
                <w:szCs w:val="22"/>
              </w:rPr>
              <w:t xml:space="preserve"> the notion of</w:t>
            </w:r>
            <w:r>
              <w:rPr>
                <w:rFonts w:ascii="Gill Sans" w:hAnsi="Gill Sans" w:cs="Gill Sans"/>
                <w:color w:val="000000"/>
                <w:szCs w:val="22"/>
              </w:rPr>
              <w:t xml:space="preserve"> </w:t>
            </w:r>
            <w:r w:rsidRPr="00973B3A">
              <w:rPr>
                <w:rFonts w:ascii="Gill Sans" w:hAnsi="Gill Sans" w:cs="Gill Sans"/>
                <w:color w:val="000000"/>
                <w:szCs w:val="22"/>
              </w:rPr>
              <w:t>making experiences visible and shared, by reflecting on difficult or significant events in</w:t>
            </w:r>
            <w:r>
              <w:rPr>
                <w:rFonts w:ascii="Gill Sans" w:hAnsi="Gill Sans" w:cs="Gill Sans"/>
                <w:color w:val="000000"/>
                <w:szCs w:val="22"/>
              </w:rPr>
              <w:t xml:space="preserve"> </w:t>
            </w:r>
            <w:r w:rsidRPr="00973B3A">
              <w:rPr>
                <w:rFonts w:ascii="Gill Sans" w:hAnsi="Gill Sans" w:cs="Gill Sans"/>
                <w:color w:val="000000"/>
                <w:szCs w:val="22"/>
              </w:rPr>
              <w:t>their own transition into HE</w:t>
            </w:r>
            <w:r>
              <w:rPr>
                <w:rFonts w:ascii="Gill Sans" w:hAnsi="Gill Sans" w:cs="Gill Sans"/>
                <w:color w:val="000000"/>
                <w:szCs w:val="22"/>
              </w:rPr>
              <w:t xml:space="preserve">” (p.821). Second stage = repeat focus groups based on work from first stage (n=12; 11 of whom = ‘non-traditional’ students) </w:t>
            </w:r>
            <w:r>
              <w:rPr>
                <w:rFonts w:cs="Gill Sans"/>
                <w:color w:val="000000"/>
                <w:szCs w:val="22"/>
              </w:rPr>
              <w:t>—</w:t>
            </w:r>
            <w:r>
              <w:rPr>
                <w:rFonts w:ascii="Gill Sans" w:hAnsi="Gill Sans" w:cs="Gill Sans"/>
                <w:color w:val="000000"/>
                <w:szCs w:val="22"/>
              </w:rPr>
              <w:t xml:space="preserve"> see p.822 for details.                                                                                                                                                                                                                                                                                                                                                         </w:t>
            </w:r>
          </w:p>
          <w:p w14:paraId="67314BBF" w14:textId="77777777" w:rsidR="00F934ED"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Findings: </w:t>
            </w:r>
            <w:r>
              <w:rPr>
                <w:rFonts w:ascii="Gill Sans" w:hAnsi="Gill Sans" w:cs="Gill Sans"/>
                <w:color w:val="000000"/>
                <w:szCs w:val="22"/>
                <w:lang w:val="en-AU"/>
              </w:rPr>
              <w:t>Three themes: 1) resources; 2) networks; 3) external perceptions of ‘students’</w:t>
            </w:r>
          </w:p>
          <w:p w14:paraId="1A758BB8" w14:textId="77777777" w:rsidR="00F934ED" w:rsidRDefault="00F934ED" w:rsidP="00F934ED">
            <w:pPr>
              <w:rPr>
                <w:rFonts w:ascii="Gill Sans" w:hAnsi="Gill Sans" w:cs="Gill Sans"/>
                <w:color w:val="000000"/>
                <w:szCs w:val="22"/>
                <w:lang w:val="en-AU"/>
              </w:rPr>
            </w:pPr>
            <w:r>
              <w:rPr>
                <w:rFonts w:ascii="Gill Sans" w:hAnsi="Gill Sans" w:cs="Gill Sans"/>
                <w:i/>
                <w:color w:val="000000"/>
                <w:szCs w:val="22"/>
                <w:lang w:val="en-AU"/>
              </w:rPr>
              <w:t xml:space="preserve">Resources: </w:t>
            </w:r>
            <w:r>
              <w:rPr>
                <w:rFonts w:ascii="Gill Sans" w:hAnsi="Gill Sans" w:cs="Gill Sans"/>
                <w:color w:val="000000"/>
                <w:szCs w:val="22"/>
                <w:lang w:val="en-AU"/>
              </w:rPr>
              <w:t>time, cultural/ social capital, emotional energy, financial resources, physical space to study. Participants/ literature describes the investment of resources in terms of potential risk.</w:t>
            </w:r>
          </w:p>
          <w:p w14:paraId="0CD78EBF" w14:textId="77777777" w:rsidR="00F934ED" w:rsidRDefault="00F934ED" w:rsidP="00F934ED">
            <w:pPr>
              <w:rPr>
                <w:rFonts w:ascii="Gill Sans" w:hAnsi="Gill Sans" w:cs="Gill Sans"/>
                <w:color w:val="000000"/>
                <w:szCs w:val="22"/>
                <w:lang w:val="en-AU"/>
              </w:rPr>
            </w:pPr>
            <w:r>
              <w:rPr>
                <w:rFonts w:ascii="Gill Sans" w:hAnsi="Gill Sans" w:cs="Gill Sans"/>
                <w:i/>
                <w:color w:val="000000"/>
                <w:szCs w:val="22"/>
                <w:lang w:val="en-AU"/>
              </w:rPr>
              <w:t>Importance of student networks</w:t>
            </w:r>
            <w:r>
              <w:rPr>
                <w:rFonts w:ascii="Gill Sans" w:hAnsi="Gill Sans" w:cs="Gill Sans"/>
                <w:color w:val="000000"/>
                <w:szCs w:val="22"/>
                <w:lang w:val="en-AU"/>
              </w:rPr>
              <w:t xml:space="preserve">: significant emphasis on networks/ relationships with tutors = “core </w:t>
            </w:r>
            <w:r w:rsidRPr="0015752C">
              <w:rPr>
                <w:rFonts w:ascii="Gill Sans" w:hAnsi="Gill Sans" w:cs="Gill Sans"/>
                <w:color w:val="000000"/>
                <w:szCs w:val="22"/>
              </w:rPr>
              <w:t>in supporting their successful transition into university</w:t>
            </w:r>
            <w:r>
              <w:rPr>
                <w:rFonts w:ascii="Gill Sans" w:hAnsi="Gill Sans" w:cs="Gill Sans"/>
                <w:color w:val="000000"/>
                <w:szCs w:val="22"/>
              </w:rPr>
              <w:t xml:space="preserve"> life and study</w:t>
            </w:r>
            <w:r>
              <w:rPr>
                <w:rFonts w:ascii="Gill Sans" w:hAnsi="Gill Sans" w:cs="Gill Sans"/>
                <w:color w:val="000000"/>
                <w:szCs w:val="22"/>
                <w:lang w:val="en-AU"/>
              </w:rPr>
              <w:t xml:space="preserve">” (p.825). Participants suggest list of benefits to having strong networks (mental health, confidence, motivation, reassurance </w:t>
            </w:r>
            <w:r>
              <w:rPr>
                <w:rFonts w:cs="Gill Sans"/>
                <w:color w:val="000000"/>
                <w:szCs w:val="22"/>
                <w:lang w:val="en-AU"/>
              </w:rPr>
              <w:t>—</w:t>
            </w:r>
            <w:r>
              <w:rPr>
                <w:rFonts w:ascii="Gill Sans" w:hAnsi="Gill Sans" w:cs="Gill Sans"/>
                <w:color w:val="000000"/>
                <w:szCs w:val="22"/>
                <w:lang w:val="en-AU"/>
              </w:rPr>
              <w:t xml:space="preserve"> see p.825). Students = aware of being different to other students and a sense of being more dedicated than peers. Participants also noted benefits of spending extended periods of time (e.g. field trips) with fellow students to develop stronger bonds (but these opportunities are rare and potentially should be expanded).</w:t>
            </w:r>
          </w:p>
          <w:p w14:paraId="7446E25E" w14:textId="77777777" w:rsidR="00F934ED" w:rsidRDefault="00F934ED" w:rsidP="00F934ED">
            <w:pPr>
              <w:rPr>
                <w:rFonts w:ascii="Gill Sans" w:hAnsi="Gill Sans" w:cs="Gill Sans"/>
                <w:color w:val="000000"/>
                <w:szCs w:val="22"/>
                <w:lang w:val="en-AU"/>
              </w:rPr>
            </w:pPr>
            <w:r>
              <w:rPr>
                <w:rFonts w:ascii="Gill Sans" w:hAnsi="Gill Sans" w:cs="Gill Sans"/>
                <w:i/>
                <w:color w:val="000000"/>
                <w:szCs w:val="22"/>
                <w:lang w:val="en-AU"/>
              </w:rPr>
              <w:t>Perceptions of ‘a student’</w:t>
            </w:r>
            <w:r>
              <w:rPr>
                <w:rFonts w:ascii="Gill Sans" w:hAnsi="Gill Sans" w:cs="Gill Sans"/>
                <w:color w:val="000000"/>
                <w:szCs w:val="22"/>
                <w:lang w:val="en-AU"/>
              </w:rPr>
              <w:t>: preconceptions of ‘becoming a student’ = important for understanding how transitions unfold and why. Some participants = excited; others = apprehensive. Authors found more negative ideas than positive about who/what a student is/ should be. These negative conceptions = partly generated by perceptions from external folks (not current students) about university students (e.g. avoiding getting a ‘proper job’). Other influences included school experiences (and feeling ill-prepared), awareness of a shift in identity and potential tensions with home/ family because of growing awareness/ knowledge.</w:t>
            </w:r>
          </w:p>
          <w:p w14:paraId="7194EEE8" w14:textId="2547147A" w:rsidR="00F934ED" w:rsidRPr="0004041A" w:rsidRDefault="00F934ED" w:rsidP="00F934ED">
            <w:pPr>
              <w:rPr>
                <w:rFonts w:ascii="Gill Sans" w:hAnsi="Gill Sans" w:cs="Gill Sans"/>
                <w:color w:val="000000"/>
                <w:szCs w:val="22"/>
                <w:lang w:val="en-AU"/>
              </w:rPr>
            </w:pPr>
            <w:r>
              <w:rPr>
                <w:rFonts w:ascii="Gill Sans" w:hAnsi="Gill Sans" w:cs="Gill Sans"/>
                <w:color w:val="000000"/>
                <w:szCs w:val="22"/>
                <w:lang w:val="en-AU"/>
              </w:rPr>
              <w:t xml:space="preserve">Being on campus = strongly connected with ideas about being a student </w:t>
            </w:r>
            <w:r w:rsidRPr="00076E76">
              <w:rPr>
                <w:rFonts w:ascii="Gill Sans" w:hAnsi="Gill Sans" w:cs="Gill Sans"/>
                <w:b/>
                <w:color w:val="000000"/>
                <w:szCs w:val="22"/>
                <w:lang w:val="en-AU"/>
              </w:rPr>
              <w:br/>
              <w:t>Core argument:</w:t>
            </w:r>
            <w:r>
              <w:rPr>
                <w:rFonts w:ascii="Gill Sans" w:hAnsi="Gill Sans" w:cs="Gill Sans"/>
                <w:b/>
                <w:color w:val="000000"/>
                <w:szCs w:val="22"/>
                <w:lang w:val="en-AU"/>
              </w:rPr>
              <w:t xml:space="preserve"> </w:t>
            </w:r>
            <w:r>
              <w:rPr>
                <w:rFonts w:ascii="Gill Sans" w:hAnsi="Gill Sans" w:cs="Gill Sans"/>
                <w:color w:val="000000"/>
                <w:szCs w:val="22"/>
                <w:lang w:val="en-AU"/>
              </w:rPr>
              <w:t>“</w:t>
            </w:r>
            <w:proofErr w:type="gramStart"/>
            <w:r>
              <w:rPr>
                <w:rFonts w:ascii="Gill Sans" w:hAnsi="Gill Sans" w:cs="Gill Sans"/>
                <w:color w:val="000000"/>
                <w:szCs w:val="22"/>
                <w:lang w:val="en-AU"/>
              </w:rPr>
              <w:t>…</w:t>
            </w:r>
            <w:r w:rsidRPr="0004041A">
              <w:rPr>
                <w:rFonts w:ascii="Gill Sans" w:hAnsi="Gill Sans" w:cs="Gill Sans"/>
                <w:color w:val="000000"/>
                <w:szCs w:val="22"/>
              </w:rPr>
              <w:t>‘</w:t>
            </w:r>
            <w:proofErr w:type="gramEnd"/>
            <w:r w:rsidRPr="0004041A">
              <w:rPr>
                <w:rFonts w:ascii="Gill Sans" w:hAnsi="Gill Sans" w:cs="Gill Sans"/>
                <w:color w:val="000000"/>
                <w:szCs w:val="22"/>
              </w:rPr>
              <w:t>becoming student’ is not as straightforward or as easily understood</w:t>
            </w:r>
            <w:r>
              <w:rPr>
                <w:rFonts w:ascii="Gill Sans" w:hAnsi="Gill Sans" w:cs="Gill Sans"/>
                <w:color w:val="000000"/>
                <w:szCs w:val="22"/>
              </w:rPr>
              <w:t xml:space="preserve"> </w:t>
            </w:r>
            <w:r w:rsidRPr="0004041A">
              <w:rPr>
                <w:rFonts w:ascii="Gill Sans" w:hAnsi="Gill Sans" w:cs="Gill Sans"/>
                <w:color w:val="000000"/>
                <w:szCs w:val="22"/>
              </w:rPr>
              <w:t>a process as may be implied in the marketing literature and the general discourse</w:t>
            </w:r>
            <w:r>
              <w:rPr>
                <w:rFonts w:ascii="Gill Sans" w:hAnsi="Gill Sans" w:cs="Gill Sans"/>
                <w:color w:val="000000"/>
                <w:szCs w:val="22"/>
              </w:rPr>
              <w:t xml:space="preserve"> </w:t>
            </w:r>
            <w:r w:rsidRPr="0004041A">
              <w:rPr>
                <w:rFonts w:ascii="Gill Sans" w:hAnsi="Gill Sans" w:cs="Gill Sans"/>
                <w:color w:val="000000"/>
                <w:szCs w:val="22"/>
              </w:rPr>
              <w:t>around neoliberal society’s need for graduates</w:t>
            </w:r>
            <w:r>
              <w:rPr>
                <w:rFonts w:ascii="Gill Sans" w:hAnsi="Gill Sans" w:cs="Gill Sans"/>
                <w:color w:val="000000"/>
                <w:szCs w:val="22"/>
              </w:rPr>
              <w:t>” (p.831)</w:t>
            </w:r>
          </w:p>
        </w:tc>
      </w:tr>
      <w:tr w:rsidR="00F934ED" w:rsidRPr="00076E76" w14:paraId="28EBCA90" w14:textId="77777777" w:rsidTr="002E557C">
        <w:tc>
          <w:tcPr>
            <w:tcW w:w="5529" w:type="dxa"/>
          </w:tcPr>
          <w:p w14:paraId="5C1F7AFF" w14:textId="5E672988" w:rsidR="00F934ED" w:rsidRPr="00076E76" w:rsidRDefault="00F934ED" w:rsidP="00F934ED">
            <w:pPr>
              <w:rPr>
                <w:rFonts w:ascii="Gill Sans" w:hAnsi="Gill Sans" w:cs="Gill Sans"/>
                <w:szCs w:val="22"/>
              </w:rPr>
            </w:pPr>
            <w:proofErr w:type="spellStart"/>
            <w:r w:rsidRPr="00076E76">
              <w:rPr>
                <w:rFonts w:ascii="Gill Sans" w:hAnsi="Gill Sans" w:cs="Gill Sans"/>
                <w:szCs w:val="22"/>
              </w:rPr>
              <w:lastRenderedPageBreak/>
              <w:t>Goggins</w:t>
            </w:r>
            <w:proofErr w:type="spellEnd"/>
            <w:r w:rsidRPr="00076E76">
              <w:rPr>
                <w:rFonts w:ascii="Gill Sans" w:hAnsi="Gill Sans" w:cs="Gill Sans"/>
                <w:szCs w:val="22"/>
              </w:rPr>
              <w:t xml:space="preserve">, T.; Rankin, S.; Geerlings, P. &amp; Taggart, A. (2016). </w:t>
            </w:r>
            <w:hyperlink r:id="rId65" w:history="1">
              <w:r w:rsidRPr="0070407D">
                <w:rPr>
                  <w:rStyle w:val="Hyperlink"/>
                  <w:rFonts w:ascii="Gill Sans" w:hAnsi="Gill Sans" w:cs="Gill Sans"/>
                  <w:szCs w:val="22"/>
                </w:rPr>
                <w:t>Catching them before they fall: a Vygotskian approach to transitioning students from high school to university</w:t>
              </w:r>
            </w:hyperlink>
            <w:r w:rsidRPr="00076E76">
              <w:rPr>
                <w:rFonts w:ascii="Gill Sans" w:hAnsi="Gill Sans" w:cs="Gill Sans"/>
                <w:szCs w:val="22"/>
              </w:rPr>
              <w:t xml:space="preserve">, </w:t>
            </w:r>
            <w:r w:rsidRPr="00076E76">
              <w:rPr>
                <w:rFonts w:ascii="Gill Sans" w:hAnsi="Gill Sans" w:cs="Gill Sans"/>
                <w:i/>
                <w:szCs w:val="22"/>
              </w:rPr>
              <w:t xml:space="preserve">Higher Education Research &amp; Development, </w:t>
            </w:r>
            <w:r>
              <w:rPr>
                <w:rFonts w:ascii="Gill Sans" w:hAnsi="Gill Sans" w:cs="Gill Sans"/>
                <w:szCs w:val="22"/>
              </w:rPr>
              <w:t>35(4), 698–</w:t>
            </w:r>
            <w:r w:rsidRPr="00076E76">
              <w:rPr>
                <w:rFonts w:ascii="Gill Sans" w:hAnsi="Gill Sans" w:cs="Gill Sans"/>
                <w:szCs w:val="22"/>
              </w:rPr>
              <w:t>711.</w:t>
            </w:r>
          </w:p>
          <w:p w14:paraId="4185F402" w14:textId="77777777" w:rsidR="00F934ED" w:rsidRPr="00076E76" w:rsidRDefault="00F934ED" w:rsidP="00F934ED">
            <w:pPr>
              <w:rPr>
                <w:rFonts w:ascii="Gill Sans" w:hAnsi="Gill Sans" w:cs="Gill Sans"/>
                <w:szCs w:val="22"/>
              </w:rPr>
            </w:pPr>
          </w:p>
          <w:p w14:paraId="4AEEC313" w14:textId="77777777" w:rsidR="00F934ED" w:rsidRPr="00076E76" w:rsidRDefault="00F934ED" w:rsidP="00F934ED">
            <w:pPr>
              <w:rPr>
                <w:rFonts w:ascii="Gill Sans" w:hAnsi="Gill Sans" w:cs="Gill Sans"/>
                <w:szCs w:val="22"/>
              </w:rPr>
            </w:pPr>
            <w:r w:rsidRPr="00076E76">
              <w:rPr>
                <w:rFonts w:ascii="Gill Sans" w:hAnsi="Gill Sans" w:cs="Gill Sans"/>
                <w:szCs w:val="22"/>
              </w:rPr>
              <w:lastRenderedPageBreak/>
              <w:t>AUS</w:t>
            </w:r>
          </w:p>
          <w:p w14:paraId="46183028"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44BE7B48" w14:textId="77777777" w:rsidR="00F934ED" w:rsidRPr="00076E76" w:rsidRDefault="00F934ED" w:rsidP="00F934ED">
            <w:pPr>
              <w:rPr>
                <w:rFonts w:ascii="Gill Sans" w:hAnsi="Gill Sans" w:cs="Gill Sans"/>
                <w:szCs w:val="22"/>
              </w:rPr>
            </w:pPr>
          </w:p>
          <w:p w14:paraId="131CB7A3" w14:textId="77777777" w:rsidR="00F934ED" w:rsidRPr="00076E76" w:rsidRDefault="00F934ED" w:rsidP="00F934ED">
            <w:pPr>
              <w:rPr>
                <w:rFonts w:ascii="Gill Sans" w:hAnsi="Gill Sans" w:cs="Gill Sans"/>
                <w:szCs w:val="22"/>
              </w:rPr>
            </w:pPr>
            <w:r w:rsidRPr="00076E76">
              <w:rPr>
                <w:rFonts w:ascii="Gill Sans" w:hAnsi="Gill Sans" w:cs="Gill Sans"/>
                <w:szCs w:val="22"/>
              </w:rPr>
              <w:t xml:space="preserve">Keywords: </w:t>
            </w:r>
            <w:r w:rsidRPr="00076E76">
              <w:rPr>
                <w:rFonts w:ascii="Gill Sans" w:hAnsi="Gill Sans" w:cs="Gill Sans"/>
                <w:i/>
                <w:szCs w:val="22"/>
              </w:rPr>
              <w:t>Access; enabling programs; first-year experience; Vygotsky; zone of proximal development</w:t>
            </w:r>
          </w:p>
          <w:p w14:paraId="36ABF6C0" w14:textId="77777777" w:rsidR="00F934ED" w:rsidRPr="00076E76" w:rsidRDefault="00F934ED" w:rsidP="00F934ED">
            <w:pPr>
              <w:rPr>
                <w:rFonts w:ascii="Gill Sans" w:hAnsi="Gill Sans" w:cs="Gill Sans"/>
                <w:b/>
                <w:szCs w:val="22"/>
              </w:rPr>
            </w:pPr>
          </w:p>
          <w:p w14:paraId="77D93924" w14:textId="4BEC49E8" w:rsidR="00F934ED" w:rsidRPr="00076E76" w:rsidRDefault="00F934ED" w:rsidP="00F934ED">
            <w:pPr>
              <w:rPr>
                <w:rFonts w:ascii="Gill Sans" w:hAnsi="Gill Sans" w:cs="Gill Sans"/>
                <w:szCs w:val="22"/>
              </w:rPr>
            </w:pPr>
          </w:p>
        </w:tc>
        <w:tc>
          <w:tcPr>
            <w:tcW w:w="10064" w:type="dxa"/>
          </w:tcPr>
          <w:p w14:paraId="4B7A68AA" w14:textId="10F14625" w:rsidR="00F934ED" w:rsidRPr="00076E76" w:rsidRDefault="00F934ED" w:rsidP="00F934ED">
            <w:pPr>
              <w:rPr>
                <w:rFonts w:ascii="Gill Sans" w:hAnsi="Gill Sans" w:cs="Gill Sans"/>
                <w:color w:val="000000"/>
                <w:szCs w:val="22"/>
              </w:rPr>
            </w:pPr>
            <w:r w:rsidRPr="00076E76">
              <w:rPr>
                <w:rFonts w:ascii="Gill Sans" w:hAnsi="Gill Sans" w:cs="Gill Sans"/>
                <w:b/>
                <w:color w:val="000000"/>
                <w:szCs w:val="22"/>
                <w:lang w:val="en-AU"/>
              </w:rPr>
              <w:lastRenderedPageBreak/>
              <w:t xml:space="preserve">Context: </w:t>
            </w:r>
            <w:r w:rsidRPr="00076E76">
              <w:rPr>
                <w:rFonts w:ascii="Gill Sans" w:hAnsi="Gill Sans" w:cs="Gill Sans"/>
                <w:color w:val="000000"/>
                <w:szCs w:val="22"/>
                <w:lang w:val="en-AU"/>
              </w:rPr>
              <w:t>Examines transition from school to university in context of enabling program (Murdoch: TLC) in Australian higher education.  TLC = for low SES school students (Year 12) who did not get ATAR needed – identifies students “ – achieved through ‘dynamic assessment’ based on progressive cognitive development (Vygotsky’s ZPD) = unique compared to other alternative entry pathways/ enabling programs due to use of ZPD and early recognition of Year 12 students: “</w:t>
            </w:r>
            <w:r w:rsidRPr="00076E76">
              <w:rPr>
                <w:rFonts w:ascii="Gill Sans" w:hAnsi="Gill Sans" w:cs="Gill Sans"/>
                <w:color w:val="000000"/>
                <w:szCs w:val="22"/>
              </w:rPr>
              <w:t xml:space="preserve">the program is focused on catching students before they fall </w:t>
            </w:r>
            <w:r w:rsidRPr="00076E76">
              <w:rPr>
                <w:rFonts w:ascii="Gill Sans" w:hAnsi="Gill Sans" w:cs="Gill Sans"/>
                <w:color w:val="000000"/>
                <w:szCs w:val="22"/>
              </w:rPr>
              <w:lastRenderedPageBreak/>
              <w:t>out of the educational system” (p.699). Scopes literature on study and career aspirations/ expectations for low SES communities. TLC = provides a ‘seamless transition’ (see p.701)- students study TLC alongside HSC subjects on local campus. TLC = tracks cognitive development</w:t>
            </w:r>
            <w:proofErr w:type="gramStart"/>
            <w:r w:rsidRPr="00076E76">
              <w:rPr>
                <w:rFonts w:ascii="Gill Sans" w:hAnsi="Gill Sans" w:cs="Gill Sans"/>
                <w:color w:val="000000"/>
                <w:szCs w:val="22"/>
              </w:rPr>
              <w:t>:  “</w:t>
            </w:r>
            <w:proofErr w:type="gramEnd"/>
            <w:r w:rsidRPr="00076E76">
              <w:rPr>
                <w:rFonts w:ascii="Gill Sans" w:hAnsi="Gill Sans" w:cs="Gill Sans"/>
                <w:color w:val="000000"/>
                <w:szCs w:val="22"/>
              </w:rPr>
              <w:t>In keeping with the concept of ZPD, the unit focuses on the identification of the transitional readiness of students and the facilitation of their capacity to move from borderline patterns of critical and academic thought towards established cognitive formations” (p.702).</w:t>
            </w:r>
          </w:p>
          <w:p w14:paraId="320E2916" w14:textId="6D98336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sidRPr="00076E76">
              <w:rPr>
                <w:rFonts w:ascii="Gill Sans" w:hAnsi="Gill Sans" w:cs="Gill Sans"/>
                <w:color w:val="000000"/>
                <w:szCs w:val="22"/>
                <w:lang w:val="en-AU"/>
              </w:rPr>
              <w:t>To describe TLC</w:t>
            </w:r>
          </w:p>
          <w:p w14:paraId="644AF6F9" w14:textId="2D27A940"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Theoretical frame:</w:t>
            </w:r>
            <w:r w:rsidRPr="00076E76">
              <w:rPr>
                <w:rFonts w:ascii="Gill Sans" w:hAnsi="Gill Sans" w:cs="Gill Sans"/>
                <w:sz w:val="21"/>
                <w:szCs w:val="21"/>
              </w:rPr>
              <w:t xml:space="preserve"> </w:t>
            </w:r>
            <w:r w:rsidRPr="00076E76">
              <w:rPr>
                <w:rFonts w:ascii="Gill Sans" w:hAnsi="Gill Sans" w:cs="Gill Sans"/>
                <w:color w:val="000000"/>
                <w:szCs w:val="22"/>
              </w:rPr>
              <w:t>Vygotsky’s theorization of the zone of proximal development (ZPD)</w:t>
            </w:r>
          </w:p>
          <w:p w14:paraId="2AF1A153" w14:textId="4C016BFA"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Description of program and links to theory of ZPD</w:t>
            </w:r>
          </w:p>
          <w:p w14:paraId="02F8F19B" w14:textId="77777777" w:rsidR="00F934ED" w:rsidRPr="00076E76" w:rsidRDefault="00F934ED" w:rsidP="00F934ED">
            <w:pPr>
              <w:rPr>
                <w:rFonts w:ascii="Gill Sans" w:hAnsi="Gill Sans" w:cs="Gill Sans"/>
                <w:b/>
                <w:color w:val="000000"/>
                <w:szCs w:val="22"/>
                <w:lang w:val="en-AU"/>
              </w:rPr>
            </w:pPr>
            <w:r w:rsidRPr="00076E76">
              <w:rPr>
                <w:rFonts w:ascii="Gill Sans" w:hAnsi="Gill Sans" w:cs="Gill Sans"/>
                <w:b/>
                <w:color w:val="000000"/>
                <w:szCs w:val="22"/>
                <w:lang w:val="en-AU"/>
              </w:rPr>
              <w:t xml:space="preserve">Findings: </w:t>
            </w:r>
          </w:p>
          <w:p w14:paraId="4D4D1E3E"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Describes TLC/ ZPD in detail (p.702-6). Success of students’ transitions measured by:</w:t>
            </w:r>
          </w:p>
          <w:p w14:paraId="3A54BE0A" w14:textId="7777777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rPr>
              <w:t>(</w:t>
            </w:r>
            <w:proofErr w:type="spellStart"/>
            <w:r w:rsidRPr="00076E76">
              <w:rPr>
                <w:rFonts w:ascii="Gill Sans" w:hAnsi="Gill Sans" w:cs="Gill Sans"/>
                <w:color w:val="000000"/>
                <w:szCs w:val="22"/>
              </w:rPr>
              <w:t>i</w:t>
            </w:r>
            <w:proofErr w:type="spellEnd"/>
            <w:r w:rsidRPr="00076E76">
              <w:rPr>
                <w:rFonts w:ascii="Gill Sans" w:hAnsi="Gill Sans" w:cs="Gill Sans"/>
                <w:color w:val="000000"/>
                <w:szCs w:val="22"/>
              </w:rPr>
              <w:t>) enrolment at MU following successful completion of TLC, (ii) first-year retention at university and (iii) GPA for all units studied during their first year at MU [SB: very linear notion of transition]</w:t>
            </w:r>
          </w:p>
          <w:p w14:paraId="203FF080"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89% of students who finished TLC demonstrated ‘critical and academic skills’</w:t>
            </w:r>
          </w:p>
          <w:p w14:paraId="3EFBCF5D"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75% of students enrol at Murdoch [no note about whether students enrol in HE elsewhere]</w:t>
            </w:r>
          </w:p>
          <w:p w14:paraId="7B1425E8"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TLC students record similar GPA to other students</w:t>
            </w:r>
          </w:p>
          <w:p w14:paraId="637209B8" w14:textId="6865CAF9"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w:t>
            </w:r>
            <w:r w:rsidRPr="00076E76">
              <w:rPr>
                <w:rFonts w:ascii="Gill Sans" w:hAnsi="Gill Sans" w:cs="Gill Sans"/>
                <w:color w:val="000000"/>
                <w:szCs w:val="22"/>
              </w:rPr>
              <w:t>The successful transition measured by high retention and GPA is likely to be associated with positive attrition within TLC” (p.707).</w:t>
            </w:r>
            <w:r w:rsidRPr="00076E76">
              <w:rPr>
                <w:rFonts w:ascii="Gill Sans" w:hAnsi="Gill Sans" w:cs="Gill Sans"/>
                <w:b/>
                <w:color w:val="000000"/>
                <w:szCs w:val="22"/>
                <w:lang w:val="en-AU"/>
              </w:rPr>
              <w:br/>
              <w:t xml:space="preserve">Core argument: </w:t>
            </w:r>
            <w:r w:rsidRPr="00076E76">
              <w:rPr>
                <w:rFonts w:ascii="Gill Sans" w:hAnsi="Gill Sans" w:cs="Gill Sans"/>
                <w:color w:val="000000"/>
                <w:szCs w:val="22"/>
                <w:lang w:val="en-AU"/>
              </w:rPr>
              <w:t>TLC helps to ‘catch low SES students before they fall out of the system’</w:t>
            </w:r>
          </w:p>
        </w:tc>
      </w:tr>
      <w:tr w:rsidR="00F934ED" w:rsidRPr="00076E76" w14:paraId="21D93B24" w14:textId="77777777" w:rsidTr="006F734E">
        <w:tc>
          <w:tcPr>
            <w:tcW w:w="5529" w:type="dxa"/>
            <w:shd w:val="clear" w:color="auto" w:fill="auto"/>
          </w:tcPr>
          <w:p w14:paraId="016FE454" w14:textId="7346DA4C" w:rsidR="00F934ED" w:rsidRPr="00076E76" w:rsidRDefault="00F934ED" w:rsidP="00F934ED">
            <w:pPr>
              <w:rPr>
                <w:rFonts w:ascii="Gill Sans" w:hAnsi="Gill Sans" w:cs="Gill Sans"/>
                <w:szCs w:val="22"/>
              </w:rPr>
            </w:pPr>
            <w:r>
              <w:rPr>
                <w:rFonts w:ascii="Gill Sans" w:hAnsi="Gill Sans" w:cs="Gill Sans"/>
                <w:szCs w:val="22"/>
              </w:rPr>
              <w:lastRenderedPageBreak/>
              <w:t>Goodchild, A. (2019</w:t>
            </w:r>
            <w:r w:rsidRPr="00076E76">
              <w:rPr>
                <w:rFonts w:ascii="Gill Sans" w:hAnsi="Gill Sans" w:cs="Gill Sans"/>
                <w:szCs w:val="22"/>
              </w:rPr>
              <w:t xml:space="preserve">). </w:t>
            </w:r>
            <w:hyperlink r:id="rId66" w:history="1">
              <w:r w:rsidRPr="00D45B56">
                <w:rPr>
                  <w:rStyle w:val="Hyperlink"/>
                  <w:rFonts w:ascii="Gill Sans" w:hAnsi="Gill Sans" w:cs="Gill Sans"/>
                  <w:szCs w:val="22"/>
                </w:rPr>
                <w:t>Part-time students in transition: supporting a successful start to higher education</w:t>
              </w:r>
            </w:hyperlink>
            <w:r w:rsidRPr="00076E76">
              <w:rPr>
                <w:rFonts w:ascii="Gill Sans" w:hAnsi="Gill Sans" w:cs="Gill Sans"/>
                <w:szCs w:val="22"/>
              </w:rPr>
              <w:t xml:space="preserve">, </w:t>
            </w:r>
            <w:r w:rsidRPr="00076E76">
              <w:rPr>
                <w:rFonts w:ascii="Gill Sans" w:hAnsi="Gill Sans" w:cs="Gill Sans"/>
                <w:i/>
                <w:szCs w:val="22"/>
              </w:rPr>
              <w:t>Journal of Further and Higher Education,</w:t>
            </w:r>
            <w:r>
              <w:rPr>
                <w:rFonts w:ascii="Gill Sans" w:hAnsi="Gill Sans" w:cs="Gill Sans"/>
                <w:i/>
                <w:szCs w:val="22"/>
              </w:rPr>
              <w:t xml:space="preserve"> </w:t>
            </w:r>
            <w:r>
              <w:rPr>
                <w:rFonts w:ascii="Gill Sans" w:hAnsi="Gill Sans" w:cs="Gill Sans"/>
                <w:szCs w:val="22"/>
              </w:rPr>
              <w:t>43(6), 774–787</w:t>
            </w:r>
            <w:r w:rsidRPr="00076E76">
              <w:rPr>
                <w:rFonts w:ascii="Gill Sans" w:hAnsi="Gill Sans" w:cs="Gill Sans"/>
                <w:i/>
                <w:szCs w:val="22"/>
              </w:rPr>
              <w:t xml:space="preserve"> </w:t>
            </w:r>
          </w:p>
          <w:p w14:paraId="3C970A36" w14:textId="77777777" w:rsidR="00F934ED" w:rsidRPr="00076E76" w:rsidRDefault="00F934ED" w:rsidP="00F934ED">
            <w:pPr>
              <w:rPr>
                <w:rFonts w:ascii="Gill Sans" w:hAnsi="Gill Sans" w:cs="Gill Sans"/>
                <w:szCs w:val="22"/>
              </w:rPr>
            </w:pPr>
          </w:p>
          <w:p w14:paraId="178477A3" w14:textId="77777777" w:rsidR="00F934ED" w:rsidRPr="00076E76" w:rsidRDefault="00F934ED" w:rsidP="00F934ED">
            <w:pPr>
              <w:rPr>
                <w:rFonts w:ascii="Gill Sans" w:hAnsi="Gill Sans" w:cs="Gill Sans"/>
                <w:szCs w:val="22"/>
              </w:rPr>
            </w:pPr>
            <w:r w:rsidRPr="00076E76">
              <w:rPr>
                <w:rFonts w:ascii="Gill Sans" w:hAnsi="Gill Sans" w:cs="Gill Sans"/>
                <w:szCs w:val="22"/>
              </w:rPr>
              <w:t>UK</w:t>
            </w:r>
          </w:p>
          <w:p w14:paraId="079FD426"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05BC2CED" w14:textId="77777777" w:rsidR="00F934ED" w:rsidRPr="00076E76" w:rsidRDefault="00F934ED" w:rsidP="00F934ED">
            <w:pPr>
              <w:rPr>
                <w:rFonts w:ascii="Gill Sans" w:hAnsi="Gill Sans" w:cs="Gill Sans"/>
                <w:szCs w:val="22"/>
              </w:rPr>
            </w:pPr>
          </w:p>
          <w:p w14:paraId="1CD35885" w14:textId="05740530" w:rsidR="00F934ED" w:rsidRPr="00076E76" w:rsidRDefault="00F934ED" w:rsidP="00F934ED">
            <w:pPr>
              <w:rPr>
                <w:rFonts w:ascii="Gill Sans" w:hAnsi="Gill Sans" w:cs="Gill Sans"/>
                <w:i/>
                <w:szCs w:val="22"/>
              </w:rPr>
            </w:pPr>
            <w:r w:rsidRPr="00076E76">
              <w:rPr>
                <w:rFonts w:ascii="Gill Sans" w:hAnsi="Gill Sans" w:cs="Gill Sans"/>
                <w:szCs w:val="22"/>
              </w:rPr>
              <w:t xml:space="preserve">Keywords: </w:t>
            </w:r>
            <w:r w:rsidRPr="00076E76">
              <w:rPr>
                <w:rFonts w:ascii="Gill Sans" w:hAnsi="Gill Sans" w:cs="Gill Sans"/>
                <w:i/>
                <w:szCs w:val="22"/>
              </w:rPr>
              <w:t>Transition; higher education; part-time; mature learners</w:t>
            </w:r>
          </w:p>
        </w:tc>
        <w:tc>
          <w:tcPr>
            <w:tcW w:w="10064" w:type="dxa"/>
          </w:tcPr>
          <w:p w14:paraId="06C79B16" w14:textId="45E55DBC" w:rsidR="00F934ED" w:rsidRPr="00597F64"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Pr>
                <w:rFonts w:ascii="Gill Sans" w:hAnsi="Gill Sans" w:cs="Gill Sans"/>
                <w:color w:val="000000"/>
                <w:szCs w:val="22"/>
                <w:lang w:val="en-AU"/>
              </w:rPr>
              <w:t>Part-time students transitioning into higher education (because most of the literature focuses on full-time students) in England; author notes the diminishing number of part-time learners in English higher education, and laments the focus on full-time (young) students, which could hinder the achievement of WP targets by 2020. Author takes aim at the homogenising/ labelling fetish in higher education policy, particularly with regard to the ‘non-traditional’ label: “</w:t>
            </w:r>
            <w:r w:rsidRPr="0083272D">
              <w:rPr>
                <w:rFonts w:ascii="Gill Sans" w:hAnsi="Gill Sans" w:cs="Gill Sans"/>
                <w:color w:val="000000"/>
                <w:szCs w:val="22"/>
              </w:rPr>
              <w:t>grouping students according</w:t>
            </w:r>
            <w:r>
              <w:rPr>
                <w:rFonts w:ascii="Gill Sans" w:hAnsi="Gill Sans" w:cs="Gill Sans"/>
                <w:color w:val="000000"/>
                <w:szCs w:val="22"/>
              </w:rPr>
              <w:t xml:space="preserve"> </w:t>
            </w:r>
            <w:r w:rsidRPr="0083272D">
              <w:rPr>
                <w:rFonts w:ascii="Gill Sans" w:hAnsi="Gill Sans" w:cs="Gill Sans"/>
                <w:color w:val="000000"/>
                <w:szCs w:val="22"/>
              </w:rPr>
              <w:t>to their dominant characteristic such as gender, ethnicity, cultural background or socio-economic</w:t>
            </w:r>
            <w:r>
              <w:rPr>
                <w:rFonts w:ascii="Gill Sans" w:hAnsi="Gill Sans" w:cs="Gill Sans"/>
                <w:color w:val="000000"/>
                <w:szCs w:val="22"/>
              </w:rPr>
              <w:t xml:space="preserve"> </w:t>
            </w:r>
            <w:r w:rsidRPr="0083272D">
              <w:rPr>
                <w:rFonts w:ascii="Gill Sans" w:hAnsi="Gill Sans" w:cs="Gill Sans"/>
                <w:color w:val="000000"/>
                <w:szCs w:val="22"/>
              </w:rPr>
              <w:t>group as a focus for widening participation policy discourse creates further marginalisation as such a</w:t>
            </w:r>
            <w:r>
              <w:rPr>
                <w:rFonts w:ascii="Gill Sans" w:hAnsi="Gill Sans" w:cs="Gill Sans"/>
                <w:color w:val="000000"/>
                <w:szCs w:val="22"/>
              </w:rPr>
              <w:t xml:space="preserve"> </w:t>
            </w:r>
            <w:r w:rsidRPr="0083272D">
              <w:rPr>
                <w:rFonts w:ascii="Gill Sans" w:hAnsi="Gill Sans" w:cs="Gill Sans"/>
                <w:color w:val="000000"/>
                <w:szCs w:val="22"/>
              </w:rPr>
              <w:t>process fails to recognise the multiple characteristics that an individual might possess (Morgan 2013)</w:t>
            </w:r>
            <w:r>
              <w:rPr>
                <w:rFonts w:ascii="Gill Sans" w:hAnsi="Gill Sans" w:cs="Gill Sans"/>
                <w:color w:val="000000"/>
                <w:szCs w:val="22"/>
              </w:rPr>
              <w:t>” (p.775)</w:t>
            </w:r>
            <w:r w:rsidRPr="0083272D">
              <w:rPr>
                <w:rFonts w:ascii="Gill Sans" w:hAnsi="Gill Sans" w:cs="Gill Sans"/>
                <w:color w:val="000000"/>
                <w:szCs w:val="22"/>
              </w:rPr>
              <w:t>.</w:t>
            </w:r>
            <w:r>
              <w:rPr>
                <w:rFonts w:ascii="Gill Sans" w:hAnsi="Gill Sans" w:cs="Gill Sans"/>
                <w:color w:val="000000"/>
                <w:szCs w:val="22"/>
              </w:rPr>
              <w:t xml:space="preserve"> Author argues there is little scholarly literature that explores the transitional experiences of part-time students, but she makes a connection with the literature that explores the experiences of mature age students, noting several challenges (time away from studies, caring and work responsibilities, institutional constraints, ‘learning shock’ of returning to study; p.776)</w:t>
            </w:r>
          </w:p>
          <w:p w14:paraId="32956074" w14:textId="4ADE7082" w:rsidR="00F934ED" w:rsidRPr="00526BD9"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Pr>
                <w:rFonts w:ascii="Gill Sans" w:hAnsi="Gill Sans" w:cs="Gill Sans"/>
                <w:color w:val="000000"/>
                <w:szCs w:val="22"/>
                <w:lang w:val="en-AU"/>
              </w:rPr>
              <w:t>To “</w:t>
            </w:r>
            <w:r w:rsidRPr="00526BD9">
              <w:rPr>
                <w:rFonts w:ascii="Gill Sans" w:hAnsi="Gill Sans" w:cs="Gill Sans"/>
                <w:color w:val="000000"/>
                <w:szCs w:val="22"/>
              </w:rPr>
              <w:t>investigate the</w:t>
            </w:r>
            <w:r>
              <w:rPr>
                <w:rFonts w:ascii="Gill Sans" w:hAnsi="Gill Sans" w:cs="Gill Sans"/>
                <w:color w:val="000000"/>
                <w:szCs w:val="22"/>
              </w:rPr>
              <w:t xml:space="preserve"> </w:t>
            </w:r>
            <w:r w:rsidRPr="00526BD9">
              <w:rPr>
                <w:rFonts w:ascii="Gill Sans" w:hAnsi="Gill Sans" w:cs="Gill Sans"/>
                <w:color w:val="000000"/>
                <w:szCs w:val="22"/>
              </w:rPr>
              <w:t>initial experiences of a group of part-time undergraduates who have chosen</w:t>
            </w:r>
            <w:r>
              <w:rPr>
                <w:rFonts w:ascii="Gill Sans" w:hAnsi="Gill Sans" w:cs="Gill Sans"/>
                <w:color w:val="000000"/>
                <w:szCs w:val="22"/>
              </w:rPr>
              <w:t xml:space="preserve"> </w:t>
            </w:r>
            <w:r w:rsidRPr="00526BD9">
              <w:rPr>
                <w:rFonts w:ascii="Gill Sans" w:hAnsi="Gill Sans" w:cs="Gill Sans"/>
                <w:color w:val="000000"/>
                <w:szCs w:val="22"/>
              </w:rPr>
              <w:t>to undertake a degree at a small study centre run by one university</w:t>
            </w:r>
            <w:r>
              <w:rPr>
                <w:rFonts w:ascii="Gill Sans" w:hAnsi="Gill Sans" w:cs="Gill Sans"/>
                <w:color w:val="000000"/>
                <w:szCs w:val="22"/>
              </w:rPr>
              <w:t>” (abstract)</w:t>
            </w:r>
          </w:p>
          <w:p w14:paraId="0D8906DB" w14:textId="6A206C80" w:rsidR="00F934ED" w:rsidRPr="00310895" w:rsidRDefault="00F934ED" w:rsidP="00F934ED">
            <w:pPr>
              <w:rPr>
                <w:rFonts w:ascii="Gill Sans" w:hAnsi="Gill Sans" w:cs="Gill Sans"/>
                <w:color w:val="000000"/>
                <w:szCs w:val="22"/>
                <w:lang w:val="en-AU"/>
              </w:rPr>
            </w:pPr>
            <w:r>
              <w:rPr>
                <w:rFonts w:ascii="Gill Sans" w:hAnsi="Gill Sans" w:cs="Gill Sans"/>
                <w:b/>
                <w:color w:val="000000"/>
                <w:szCs w:val="22"/>
                <w:lang w:val="en-AU"/>
              </w:rPr>
              <w:lastRenderedPageBreak/>
              <w:t>M</w:t>
            </w:r>
            <w:r w:rsidRPr="00076E76">
              <w:rPr>
                <w:rFonts w:ascii="Gill Sans" w:hAnsi="Gill Sans" w:cs="Gill Sans"/>
                <w:b/>
                <w:color w:val="000000"/>
                <w:szCs w:val="22"/>
                <w:lang w:val="en-AU"/>
              </w:rPr>
              <w:t xml:space="preserve">ethodology: </w:t>
            </w:r>
            <w:r>
              <w:rPr>
                <w:rFonts w:ascii="Gill Sans" w:hAnsi="Gill Sans" w:cs="Gill Sans"/>
                <w:color w:val="000000"/>
                <w:szCs w:val="22"/>
                <w:lang w:val="en-AU"/>
              </w:rPr>
              <w:t>Mixed methods; students = studying in BA (Hons) Applied Education Studies program on a satellite campus. Questionnaire + interviews. Most participants (n=?) were working in school settings (as per entry requirements for the course); 90% = female; 49% had A-levels; 9% had GCSEs as highest qualification</w:t>
            </w:r>
          </w:p>
          <w:p w14:paraId="290A171C" w14:textId="042E65E7" w:rsidR="00F934ED" w:rsidRPr="009D0615"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Findings: </w:t>
            </w:r>
            <w:r>
              <w:rPr>
                <w:rFonts w:ascii="Gill Sans" w:hAnsi="Gill Sans" w:cs="Gill Sans"/>
                <w:color w:val="000000"/>
                <w:szCs w:val="22"/>
                <w:lang w:val="en-AU"/>
              </w:rPr>
              <w:t>Early transition = characterised [unsurprisingly] by sense of trepidation.</w:t>
            </w:r>
          </w:p>
          <w:p w14:paraId="6A0F8D60" w14:textId="24D927B9" w:rsidR="00F934ED" w:rsidRDefault="00F934ED" w:rsidP="00F934ED">
            <w:pPr>
              <w:rPr>
                <w:rFonts w:ascii="Gill Sans" w:hAnsi="Gill Sans" w:cs="Gill Sans"/>
                <w:color w:val="000000"/>
                <w:szCs w:val="22"/>
              </w:rPr>
            </w:pPr>
            <w:r>
              <w:rPr>
                <w:rFonts w:ascii="Gill Sans" w:hAnsi="Gill Sans" w:cs="Gill Sans"/>
                <w:color w:val="000000"/>
                <w:szCs w:val="22"/>
                <w:lang w:val="en-AU"/>
              </w:rPr>
              <w:t>Questionnaire: main driver for studying on the course = opportunity to move into PGCE/ be able to eventually teach. Participants were motivated by praise from teachers in work settings, which continued as confidence-building motivation to persist (important because many suggested feelings of low self-efficacy/ fear of failure in 77% - see p.783). Time to study = most common positive/ relevant response for participants choosing this course/ part-time study; “</w:t>
            </w:r>
            <w:r w:rsidRPr="005036AC">
              <w:rPr>
                <w:rFonts w:ascii="Gill Sans" w:hAnsi="Gill Sans" w:cs="Gill Sans"/>
                <w:color w:val="000000"/>
                <w:szCs w:val="22"/>
              </w:rPr>
              <w:t>The data also implies that, whatever the life circumstance, part-time undergraduates do not have the</w:t>
            </w:r>
            <w:r>
              <w:rPr>
                <w:rFonts w:ascii="Gill Sans" w:hAnsi="Gill Sans" w:cs="Gill Sans"/>
                <w:color w:val="000000"/>
                <w:szCs w:val="22"/>
              </w:rPr>
              <w:t xml:space="preserve"> </w:t>
            </w:r>
            <w:r w:rsidRPr="005036AC">
              <w:rPr>
                <w:rFonts w:ascii="Gill Sans" w:hAnsi="Gill Sans" w:cs="Gill Sans"/>
                <w:color w:val="000000"/>
                <w:szCs w:val="22"/>
              </w:rPr>
              <w:t>same opportunity afforded to full-time undergraduates to build their lives around the HE experience,</w:t>
            </w:r>
            <w:r>
              <w:rPr>
                <w:rFonts w:ascii="Gill Sans" w:hAnsi="Gill Sans" w:cs="Gill Sans"/>
                <w:color w:val="000000"/>
                <w:szCs w:val="22"/>
              </w:rPr>
              <w:t xml:space="preserve"> </w:t>
            </w:r>
            <w:r w:rsidRPr="005036AC">
              <w:rPr>
                <w:rFonts w:ascii="Gill Sans" w:hAnsi="Gill Sans" w:cs="Gill Sans"/>
                <w:color w:val="000000"/>
                <w:szCs w:val="22"/>
              </w:rPr>
              <w:t>rather they need to fit their studies around their other commitments</w:t>
            </w:r>
            <w:r>
              <w:rPr>
                <w:rFonts w:ascii="Gill Sans" w:hAnsi="Gill Sans" w:cs="Gill Sans"/>
                <w:color w:val="000000"/>
                <w:szCs w:val="22"/>
              </w:rPr>
              <w:t>” (p.781)</w:t>
            </w:r>
            <w:r w:rsidRPr="005036AC">
              <w:rPr>
                <w:rFonts w:ascii="Gill Sans" w:hAnsi="Gill Sans" w:cs="Gill Sans"/>
                <w:color w:val="000000"/>
                <w:szCs w:val="22"/>
              </w:rPr>
              <w:t>.</w:t>
            </w:r>
          </w:p>
          <w:p w14:paraId="39D5BC79" w14:textId="77777777" w:rsidR="00F934ED" w:rsidRDefault="00F934ED" w:rsidP="00F934ED">
            <w:pPr>
              <w:rPr>
                <w:rFonts w:ascii="Gill Sans" w:hAnsi="Gill Sans" w:cs="Gill Sans"/>
                <w:color w:val="000000"/>
                <w:szCs w:val="22"/>
              </w:rPr>
            </w:pPr>
            <w:r>
              <w:rPr>
                <w:rFonts w:ascii="Gill Sans" w:hAnsi="Gill Sans" w:cs="Gill Sans"/>
                <w:color w:val="000000"/>
                <w:szCs w:val="22"/>
              </w:rPr>
              <w:t>Students did not appear to find the induction offered very useful (less than 40% said it was ‘very beneficial’) in the questionnaire, although the participants spoke positively about it in interviews</w:t>
            </w:r>
          </w:p>
          <w:p w14:paraId="72F7A747" w14:textId="35AAF4B7" w:rsidR="00F934ED" w:rsidRPr="00076E76" w:rsidRDefault="00F934ED" w:rsidP="00F934ED">
            <w:pPr>
              <w:rPr>
                <w:rFonts w:ascii="Gill Sans" w:hAnsi="Gill Sans" w:cs="Gill Sans"/>
                <w:b/>
                <w:color w:val="000000"/>
                <w:szCs w:val="22"/>
                <w:lang w:val="en-AU"/>
              </w:rPr>
            </w:pPr>
            <w:r>
              <w:rPr>
                <w:rFonts w:ascii="Gill Sans" w:hAnsi="Gill Sans" w:cs="Gill Sans"/>
                <w:color w:val="000000"/>
                <w:szCs w:val="22"/>
                <w:lang w:val="en-AU"/>
              </w:rPr>
              <w:t>Diversity evident not only in demographic details, but also in dispositions, personality traits and attitudes (p.783)</w:t>
            </w:r>
            <w:r w:rsidRPr="00076E76">
              <w:rPr>
                <w:rFonts w:ascii="Gill Sans" w:hAnsi="Gill Sans" w:cs="Gill Sans"/>
                <w:b/>
                <w:color w:val="000000"/>
                <w:szCs w:val="22"/>
                <w:lang w:val="en-AU"/>
              </w:rPr>
              <w:br/>
              <w:t>Core argument:</w:t>
            </w:r>
            <w:r>
              <w:rPr>
                <w:rFonts w:ascii="Gill Sans" w:hAnsi="Gill Sans" w:cs="Gill Sans"/>
                <w:b/>
                <w:color w:val="000000"/>
                <w:szCs w:val="22"/>
                <w:lang w:val="en-AU"/>
              </w:rPr>
              <w:t xml:space="preserve"> </w:t>
            </w:r>
            <w:r>
              <w:rPr>
                <w:rFonts w:ascii="Gill Sans" w:hAnsi="Gill Sans" w:cs="Gill Sans"/>
                <w:color w:val="000000"/>
                <w:szCs w:val="22"/>
              </w:rPr>
              <w:t>Part-time students are a diverse and heterogeneous group but there are benefits to recognizing some commonality in experience: “</w:t>
            </w:r>
            <w:r w:rsidRPr="009D0615">
              <w:rPr>
                <w:rFonts w:ascii="Gill Sans" w:hAnsi="Gill Sans" w:cs="Gill Sans"/>
                <w:color w:val="000000"/>
                <w:szCs w:val="22"/>
              </w:rPr>
              <w:t>That said, while ‘pigeon-holing’ students into a few number of types has been shown to be a fallacious</w:t>
            </w:r>
            <w:r>
              <w:rPr>
                <w:rFonts w:ascii="Gill Sans" w:hAnsi="Gill Sans" w:cs="Gill Sans"/>
                <w:color w:val="000000"/>
                <w:szCs w:val="22"/>
              </w:rPr>
              <w:t xml:space="preserve"> </w:t>
            </w:r>
            <w:r w:rsidRPr="009D0615">
              <w:rPr>
                <w:rFonts w:ascii="Gill Sans" w:hAnsi="Gill Sans" w:cs="Gill Sans"/>
                <w:color w:val="000000"/>
                <w:szCs w:val="22"/>
              </w:rPr>
              <w:t>undertaking, this knowledge is useful when devising strategies to</w:t>
            </w:r>
            <w:r>
              <w:rPr>
                <w:rFonts w:ascii="Gill Sans" w:hAnsi="Gill Sans" w:cs="Gill Sans"/>
                <w:color w:val="000000"/>
                <w:szCs w:val="22"/>
              </w:rPr>
              <w:t xml:space="preserve"> improve the transition process” (p.783).</w:t>
            </w:r>
          </w:p>
        </w:tc>
      </w:tr>
      <w:tr w:rsidR="00F934ED" w:rsidRPr="00076E76" w14:paraId="256E1EED" w14:textId="77777777" w:rsidTr="002E557C">
        <w:tc>
          <w:tcPr>
            <w:tcW w:w="5529" w:type="dxa"/>
          </w:tcPr>
          <w:p w14:paraId="60B27139" w14:textId="2A2D113B" w:rsidR="00F934ED" w:rsidRPr="00076E76" w:rsidRDefault="00F934ED" w:rsidP="00F934ED">
            <w:pPr>
              <w:rPr>
                <w:rFonts w:ascii="Gill Sans" w:hAnsi="Gill Sans" w:cs="Gill Sans"/>
                <w:szCs w:val="22"/>
              </w:rPr>
            </w:pPr>
            <w:proofErr w:type="spellStart"/>
            <w:r w:rsidRPr="00076E76">
              <w:rPr>
                <w:rFonts w:ascii="Gill Sans" w:hAnsi="Gill Sans" w:cs="Gill Sans"/>
                <w:szCs w:val="22"/>
              </w:rPr>
              <w:lastRenderedPageBreak/>
              <w:t>Gourlay</w:t>
            </w:r>
            <w:proofErr w:type="spellEnd"/>
            <w:r w:rsidRPr="00076E76">
              <w:rPr>
                <w:rFonts w:ascii="Gill Sans" w:hAnsi="Gill Sans" w:cs="Gill Sans"/>
                <w:szCs w:val="22"/>
              </w:rPr>
              <w:t xml:space="preserve">, L. (2009). </w:t>
            </w:r>
            <w:hyperlink r:id="rId67" w:history="1">
              <w:r w:rsidRPr="002B578B">
                <w:rPr>
                  <w:rStyle w:val="Hyperlink"/>
                  <w:rFonts w:ascii="Gill Sans" w:hAnsi="Gill Sans" w:cs="Gill Sans"/>
                  <w:szCs w:val="22"/>
                </w:rPr>
                <w:t>Threshold practices: becoming a student through academic literacies</w:t>
              </w:r>
            </w:hyperlink>
            <w:r w:rsidRPr="00076E76">
              <w:rPr>
                <w:rFonts w:ascii="Gill Sans" w:hAnsi="Gill Sans" w:cs="Gill Sans"/>
                <w:szCs w:val="22"/>
              </w:rPr>
              <w:t xml:space="preserve">, </w:t>
            </w:r>
            <w:r w:rsidRPr="00076E76">
              <w:rPr>
                <w:rFonts w:ascii="Gill Sans" w:hAnsi="Gill Sans" w:cs="Gill Sans"/>
                <w:i/>
                <w:szCs w:val="22"/>
              </w:rPr>
              <w:t xml:space="preserve">London Review of Education, </w:t>
            </w:r>
            <w:r>
              <w:rPr>
                <w:rFonts w:ascii="Gill Sans" w:hAnsi="Gill Sans" w:cs="Gill Sans"/>
                <w:szCs w:val="22"/>
              </w:rPr>
              <w:t>7(2),</w:t>
            </w:r>
            <w:r w:rsidRPr="00076E76">
              <w:rPr>
                <w:rFonts w:ascii="Gill Sans" w:hAnsi="Gill Sans" w:cs="Gill Sans"/>
                <w:szCs w:val="22"/>
              </w:rPr>
              <w:t xml:space="preserve"> 181</w:t>
            </w:r>
            <w:r>
              <w:rPr>
                <w:rFonts w:ascii="Gill Sans" w:hAnsi="Gill Sans" w:cs="Gill Sans"/>
                <w:szCs w:val="22"/>
              </w:rPr>
              <w:t>–</w:t>
            </w:r>
            <w:r w:rsidRPr="00076E76">
              <w:rPr>
                <w:rFonts w:ascii="Gill Sans" w:hAnsi="Gill Sans" w:cs="Gill Sans"/>
                <w:szCs w:val="22"/>
              </w:rPr>
              <w:t>192.</w:t>
            </w:r>
          </w:p>
          <w:p w14:paraId="1ABF1192" w14:textId="77777777" w:rsidR="00F934ED" w:rsidRPr="00076E76" w:rsidRDefault="00F934ED" w:rsidP="00F934ED">
            <w:pPr>
              <w:rPr>
                <w:rFonts w:ascii="Gill Sans" w:hAnsi="Gill Sans" w:cs="Gill Sans"/>
                <w:szCs w:val="22"/>
              </w:rPr>
            </w:pPr>
          </w:p>
          <w:p w14:paraId="2F11E003" w14:textId="77777777" w:rsidR="00F934ED" w:rsidRPr="00076E76" w:rsidRDefault="00F934ED" w:rsidP="00F934ED">
            <w:pPr>
              <w:rPr>
                <w:rFonts w:ascii="Gill Sans" w:hAnsi="Gill Sans" w:cs="Gill Sans"/>
                <w:szCs w:val="22"/>
              </w:rPr>
            </w:pPr>
            <w:r w:rsidRPr="00076E76">
              <w:rPr>
                <w:rFonts w:ascii="Gill Sans" w:hAnsi="Gill Sans" w:cs="Gill Sans"/>
                <w:szCs w:val="22"/>
              </w:rPr>
              <w:t>UK</w:t>
            </w:r>
          </w:p>
          <w:p w14:paraId="28FC3F9C"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2E124B04" w14:textId="77777777" w:rsidR="00F934ED" w:rsidRPr="00076E76" w:rsidRDefault="00F934ED" w:rsidP="00F934ED">
            <w:pPr>
              <w:rPr>
                <w:rFonts w:ascii="Gill Sans" w:hAnsi="Gill Sans" w:cs="Gill Sans"/>
                <w:szCs w:val="22"/>
              </w:rPr>
            </w:pPr>
          </w:p>
          <w:p w14:paraId="4AF2BCBA" w14:textId="77777777" w:rsidR="00F934ED" w:rsidRPr="00076E76" w:rsidRDefault="00F934ED" w:rsidP="00F934ED">
            <w:pPr>
              <w:rPr>
                <w:rFonts w:ascii="Gill Sans" w:hAnsi="Gill Sans" w:cs="Gill Sans"/>
                <w:i/>
                <w:szCs w:val="22"/>
              </w:rPr>
            </w:pPr>
            <w:r w:rsidRPr="00076E76">
              <w:rPr>
                <w:rFonts w:ascii="Gill Sans" w:hAnsi="Gill Sans" w:cs="Gill Sans"/>
                <w:szCs w:val="22"/>
              </w:rPr>
              <w:t xml:space="preserve">Keywords: </w:t>
            </w:r>
            <w:r w:rsidRPr="00076E76">
              <w:rPr>
                <w:rFonts w:ascii="Gill Sans" w:hAnsi="Gill Sans" w:cs="Gill Sans"/>
                <w:i/>
                <w:szCs w:val="22"/>
              </w:rPr>
              <w:t>the first year; academic literacies; literacy practices; communities of practice; liminality; threshold concepts; transitions</w:t>
            </w:r>
          </w:p>
          <w:p w14:paraId="5D3EFDD7" w14:textId="77777777" w:rsidR="00F934ED" w:rsidRPr="00076E76" w:rsidRDefault="00F934ED" w:rsidP="00F934ED">
            <w:pPr>
              <w:rPr>
                <w:rFonts w:ascii="Gill Sans" w:hAnsi="Gill Sans" w:cs="Gill Sans"/>
                <w:i/>
                <w:szCs w:val="22"/>
              </w:rPr>
            </w:pPr>
          </w:p>
          <w:p w14:paraId="5DC58D75" w14:textId="42DC28F7" w:rsidR="00F934ED" w:rsidRPr="00076E76" w:rsidRDefault="00F934ED" w:rsidP="00F934ED">
            <w:pPr>
              <w:rPr>
                <w:rFonts w:ascii="Gill Sans" w:hAnsi="Gill Sans" w:cs="Gill Sans"/>
                <w:b/>
                <w:szCs w:val="22"/>
              </w:rPr>
            </w:pPr>
          </w:p>
        </w:tc>
        <w:tc>
          <w:tcPr>
            <w:tcW w:w="10064" w:type="dxa"/>
          </w:tcPr>
          <w:p w14:paraId="038AEAE7" w14:textId="70F2642F"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sidRPr="00076E76">
              <w:rPr>
                <w:rFonts w:ascii="Gill Sans" w:hAnsi="Gill Sans" w:cs="Gill Sans"/>
                <w:color w:val="000000"/>
                <w:szCs w:val="22"/>
                <w:lang w:val="en-AU"/>
              </w:rPr>
              <w:t>Set in context of students’ transitions [note deliberate use of plural] into university with regard to identity/ies and challenges. Scopes literature on models of transition and writing; resists ‘apprenticeship’ from more traditional model of higher education and argues that with more diverse student body, “</w:t>
            </w:r>
            <w:r w:rsidRPr="00076E76">
              <w:rPr>
                <w:rFonts w:ascii="Gill Sans" w:hAnsi="Gill Sans" w:cs="Gill Sans"/>
                <w:color w:val="000000"/>
                <w:szCs w:val="22"/>
              </w:rPr>
              <w:t xml:space="preserve">students cannot be assumed to learn practices and adopt new identities simply through exposure to the environment” (p.182). Notes literacies/ writing research and critiques ‘remedial, extra-curricular’ study skills support. Skirts literacy event/ practice. </w:t>
            </w:r>
            <w:proofErr w:type="gramStart"/>
            <w:r w:rsidRPr="00076E76">
              <w:rPr>
                <w:rFonts w:ascii="Gill Sans" w:hAnsi="Gill Sans" w:cs="Gill Sans"/>
                <w:color w:val="000000"/>
                <w:szCs w:val="22"/>
              </w:rPr>
              <w:t>Also</w:t>
            </w:r>
            <w:proofErr w:type="gramEnd"/>
            <w:r w:rsidRPr="00076E76">
              <w:rPr>
                <w:rFonts w:ascii="Gill Sans" w:hAnsi="Gill Sans" w:cs="Gill Sans"/>
                <w:color w:val="000000"/>
                <w:szCs w:val="22"/>
              </w:rPr>
              <w:t xml:space="preserve"> scopes Lave &amp; Wenger’s community of practice – notes Mary Lea’s concern with application of CoP to student writing because students and staff do not necessarily share enterprises, and students = positioned ‘permanent novices’ (2005, 193). Scopes literature on emotion in transformation of identities and literature on language practices, writing and identities</w:t>
            </w:r>
          </w:p>
          <w:p w14:paraId="1DEF83DA"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sidRPr="00076E76">
              <w:rPr>
                <w:rFonts w:ascii="Gill Sans" w:hAnsi="Gill Sans" w:cs="Gill Sans"/>
                <w:color w:val="000000"/>
                <w:szCs w:val="22"/>
                <w:lang w:val="en-AU"/>
              </w:rPr>
              <w:t xml:space="preserve">To argue: </w:t>
            </w:r>
          </w:p>
          <w:p w14:paraId="4C1AADF6" w14:textId="7777777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lang w:val="en-AU"/>
              </w:rPr>
              <w:t>“</w:t>
            </w:r>
            <w:r w:rsidRPr="00076E76">
              <w:rPr>
                <w:rFonts w:ascii="Gill Sans" w:hAnsi="Gill Sans" w:cs="Gill Sans"/>
                <w:color w:val="000000"/>
                <w:szCs w:val="22"/>
              </w:rPr>
              <w:t>(</w:t>
            </w:r>
            <w:proofErr w:type="spellStart"/>
            <w:r w:rsidRPr="00076E76">
              <w:rPr>
                <w:rFonts w:ascii="Gill Sans" w:hAnsi="Gill Sans" w:cs="Gill Sans"/>
                <w:color w:val="000000"/>
                <w:szCs w:val="22"/>
              </w:rPr>
              <w:t>i</w:t>
            </w:r>
            <w:proofErr w:type="spellEnd"/>
            <w:r w:rsidRPr="00076E76">
              <w:rPr>
                <w:rFonts w:ascii="Gill Sans" w:hAnsi="Gill Sans" w:cs="Gill Sans"/>
                <w:color w:val="000000"/>
                <w:szCs w:val="22"/>
              </w:rPr>
              <w:t xml:space="preserve">) that commonly-applied models of transition, in particular the notion of ‘communities of practice’ do not adequately account for new students’ experiences of academic writing; </w:t>
            </w:r>
          </w:p>
          <w:p w14:paraId="5A7D04D5" w14:textId="7777777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rPr>
              <w:t xml:space="preserve">(ii) that confusion, indeterminacy and emotional destabilization may be seen as ‘normal’ features of the </w:t>
            </w:r>
            <w:r w:rsidRPr="00076E76">
              <w:rPr>
                <w:rFonts w:ascii="Gill Sans" w:hAnsi="Gill Sans" w:cs="Gill Sans"/>
                <w:color w:val="000000"/>
                <w:szCs w:val="22"/>
              </w:rPr>
              <w:lastRenderedPageBreak/>
              <w:t xml:space="preserve">student transition; and that </w:t>
            </w:r>
          </w:p>
          <w:p w14:paraId="733A3072" w14:textId="7777777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rPr>
              <w:t xml:space="preserve">(iii) writing plays </w:t>
            </w:r>
            <w:proofErr w:type="gramStart"/>
            <w:r w:rsidRPr="00076E76">
              <w:rPr>
                <w:rFonts w:ascii="Gill Sans" w:hAnsi="Gill Sans" w:cs="Gill Sans"/>
                <w:color w:val="000000"/>
                <w:szCs w:val="22"/>
              </w:rPr>
              <w:t>an</w:t>
            </w:r>
            <w:proofErr w:type="gramEnd"/>
            <w:r w:rsidRPr="00076E76">
              <w:rPr>
                <w:rFonts w:ascii="Gill Sans" w:hAnsi="Gill Sans" w:cs="Gill Sans"/>
                <w:color w:val="000000"/>
                <w:szCs w:val="22"/>
              </w:rPr>
              <w:t xml:space="preserve"> role in student identity formation. </w:t>
            </w:r>
          </w:p>
          <w:p w14:paraId="03624802" w14:textId="59E8CDB2"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rPr>
              <w:t>It will then analyse first year journal and interview data focused on transition experiences and academic writing” and will argue for ‘liminality analysis’ and argue for academic literacies as ‘threshold practices’ (p.181).</w:t>
            </w:r>
          </w:p>
          <w:p w14:paraId="6C712F05" w14:textId="02898C41"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Theoretical frame: </w:t>
            </w:r>
            <w:r w:rsidRPr="00076E76">
              <w:rPr>
                <w:rFonts w:ascii="Gill Sans" w:hAnsi="Gill Sans" w:cs="Gill Sans"/>
                <w:color w:val="000000"/>
                <w:szCs w:val="22"/>
                <w:lang w:val="en-AU"/>
              </w:rPr>
              <w:t>Liminality and threshold practices; academic literacies; CoP</w:t>
            </w:r>
          </w:p>
          <w:p w14:paraId="726C8F15" w14:textId="49BA19BB"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Qualitative/ longitudinal: study of new students (n=9) in post-1992 university in UK. Methods = journaling, 3x semi-structured interviews in first year based on themes from journals</w:t>
            </w:r>
          </w:p>
          <w:p w14:paraId="0379F394" w14:textId="77777777" w:rsidR="00F934ED" w:rsidRPr="00076E76" w:rsidRDefault="00F934ED" w:rsidP="00F934ED">
            <w:pPr>
              <w:rPr>
                <w:rFonts w:ascii="Gill Sans" w:hAnsi="Gill Sans" w:cs="Gill Sans"/>
                <w:b/>
                <w:color w:val="000000"/>
                <w:szCs w:val="22"/>
                <w:lang w:val="en-AU"/>
              </w:rPr>
            </w:pPr>
            <w:r w:rsidRPr="00076E76">
              <w:rPr>
                <w:rFonts w:ascii="Gill Sans" w:hAnsi="Gill Sans" w:cs="Gill Sans"/>
                <w:b/>
                <w:color w:val="000000"/>
                <w:szCs w:val="22"/>
                <w:lang w:val="en-AU"/>
              </w:rPr>
              <w:t xml:space="preserve">Findings: </w:t>
            </w:r>
          </w:p>
          <w:p w14:paraId="311E3552" w14:textId="77777777" w:rsidR="00F934ED" w:rsidRPr="00076E76" w:rsidRDefault="00F934ED" w:rsidP="00F934ED">
            <w:pPr>
              <w:rPr>
                <w:rFonts w:ascii="Gill Sans" w:hAnsi="Gill Sans" w:cs="Gill Sans"/>
                <w:color w:val="000000"/>
                <w:szCs w:val="22"/>
              </w:rPr>
            </w:pPr>
            <w:r w:rsidRPr="00076E76">
              <w:rPr>
                <w:rFonts w:ascii="Gill Sans" w:hAnsi="Gill Sans" w:cs="Gill Sans"/>
                <w:i/>
                <w:color w:val="000000"/>
                <w:szCs w:val="22"/>
                <w:lang w:val="en-AU"/>
              </w:rPr>
              <w:t>Indeterminacy and emotions around academic writing</w:t>
            </w:r>
            <w:r w:rsidRPr="00076E76">
              <w:rPr>
                <w:rFonts w:ascii="Gill Sans" w:hAnsi="Gill Sans" w:cs="Gill Sans"/>
                <w:color w:val="000000"/>
                <w:szCs w:val="22"/>
                <w:lang w:val="en-AU"/>
              </w:rPr>
              <w:t>: reactions to feedback, not knowing requirements: “</w:t>
            </w:r>
            <w:r w:rsidRPr="00076E76">
              <w:rPr>
                <w:rFonts w:ascii="Gill Sans" w:hAnsi="Gill Sans" w:cs="Gill Sans"/>
                <w:color w:val="000000"/>
                <w:szCs w:val="22"/>
              </w:rPr>
              <w:t>all the students report worry, fear, anger or a combination of these as a result of their confusion surrounding academic writing requirements” (p.185)</w:t>
            </w:r>
          </w:p>
          <w:p w14:paraId="505808A9" w14:textId="77777777" w:rsidR="00F934ED" w:rsidRPr="00076E76" w:rsidRDefault="00F934ED" w:rsidP="00F934ED">
            <w:pPr>
              <w:rPr>
                <w:rFonts w:ascii="Gill Sans" w:hAnsi="Gill Sans" w:cs="Gill Sans"/>
                <w:color w:val="000000"/>
                <w:szCs w:val="22"/>
              </w:rPr>
            </w:pPr>
            <w:r w:rsidRPr="00076E76">
              <w:rPr>
                <w:rFonts w:ascii="Gill Sans" w:hAnsi="Gill Sans" w:cs="Gill Sans"/>
                <w:i/>
                <w:color w:val="000000"/>
                <w:szCs w:val="22"/>
              </w:rPr>
              <w:t>Status ambiguity</w:t>
            </w:r>
            <w:r w:rsidRPr="00076E76">
              <w:rPr>
                <w:rFonts w:ascii="Gill Sans" w:hAnsi="Gill Sans" w:cs="Gill Sans"/>
                <w:color w:val="000000"/>
                <w:szCs w:val="22"/>
              </w:rPr>
              <w:t xml:space="preserve">: all students described feeling “tentative and ambivalent” about student status in first semester + “fragile sense of legitimacy and a troubled ‘in-between’ status” evident in students’ journals and visual representations (see e.g. of </w:t>
            </w:r>
            <w:proofErr w:type="spellStart"/>
            <w:r w:rsidRPr="00076E76">
              <w:rPr>
                <w:rFonts w:ascii="Gill Sans" w:hAnsi="Gill Sans" w:cs="Gill Sans"/>
                <w:color w:val="000000"/>
                <w:szCs w:val="22"/>
              </w:rPr>
              <w:t>Mico</w:t>
            </w:r>
            <w:proofErr w:type="spellEnd"/>
            <w:r w:rsidRPr="00076E76">
              <w:rPr>
                <w:rFonts w:ascii="Gill Sans" w:hAnsi="Gill Sans" w:cs="Gill Sans"/>
                <w:color w:val="000000"/>
                <w:szCs w:val="22"/>
              </w:rPr>
              <w:t xml:space="preserve"> = low SES, first-in-family student, p.186-7)</w:t>
            </w:r>
          </w:p>
          <w:p w14:paraId="7ED0A59B" w14:textId="77CD501F" w:rsidR="00F934ED" w:rsidRPr="00076E76" w:rsidRDefault="00F934ED" w:rsidP="00F934ED">
            <w:pPr>
              <w:rPr>
                <w:rFonts w:ascii="Gill Sans" w:hAnsi="Gill Sans" w:cs="Gill Sans"/>
                <w:color w:val="000000"/>
                <w:szCs w:val="22"/>
                <w:lang w:val="en-AU"/>
              </w:rPr>
            </w:pPr>
            <w:r w:rsidRPr="00076E76">
              <w:rPr>
                <w:rFonts w:ascii="Gill Sans" w:hAnsi="Gill Sans" w:cs="Gill Sans"/>
                <w:i/>
                <w:color w:val="000000"/>
                <w:szCs w:val="22"/>
              </w:rPr>
              <w:t>Turning points, thresholds and literacy practices</w:t>
            </w:r>
            <w:r w:rsidRPr="00076E76">
              <w:rPr>
                <w:rFonts w:ascii="Gill Sans" w:hAnsi="Gill Sans" w:cs="Gill Sans"/>
                <w:color w:val="000000"/>
                <w:szCs w:val="22"/>
              </w:rPr>
              <w:t>: friendships and social dimension emerged as significant for feeling of belonging; feeling more confident = connected to receiving good marks and getting good feedback on writing (p.187) – leading to idea that academic writing requirements = tantamount to ‘threshold practices’ - but not linear: “There is a danger that the metaphor can lead to an oversimplified notion of a clear transition point; unlike in social ritual where the theory was developed, the notion of the ‘threshold’ cannot stand here for a clear temporal moment or observable set of rites. Although the students in the data seemed to report a sense of breakthrough, they will face new challenges. Instead it may be more useful to use the notion as one means of understanding aspects of a messy and complex process of learning and transformation over time” (p.189).</w:t>
            </w:r>
            <w:r w:rsidRPr="00076E76">
              <w:rPr>
                <w:rFonts w:ascii="Gill Sans" w:hAnsi="Gill Sans" w:cs="Gill Sans"/>
                <w:b/>
                <w:color w:val="000000"/>
                <w:szCs w:val="22"/>
                <w:lang w:val="en-AU"/>
              </w:rPr>
              <w:br/>
              <w:t xml:space="preserve">Core argument: </w:t>
            </w:r>
            <w:r w:rsidRPr="00076E76">
              <w:rPr>
                <w:rFonts w:ascii="Gill Sans" w:hAnsi="Gill Sans" w:cs="Gill Sans"/>
                <w:color w:val="000000"/>
                <w:szCs w:val="22"/>
                <w:lang w:val="en-AU"/>
              </w:rPr>
              <w:t>Liminality and notion of academic literacies as ‘threshold practices’ = very useful for unpacking emotional dimension of becoming a student</w:t>
            </w:r>
            <w:r w:rsidRPr="00076E76">
              <w:rPr>
                <w:rFonts w:ascii="Gill Sans" w:hAnsi="Gill Sans" w:cs="Gill Sans"/>
                <w:color w:val="292526"/>
                <w:sz w:val="20"/>
                <w:szCs w:val="20"/>
              </w:rPr>
              <w:t xml:space="preserve"> and “</w:t>
            </w:r>
            <w:r w:rsidRPr="00076E76">
              <w:rPr>
                <w:rFonts w:ascii="Gill Sans" w:hAnsi="Gill Sans" w:cs="Gill Sans"/>
                <w:color w:val="000000"/>
                <w:szCs w:val="22"/>
              </w:rPr>
              <w:t>could open up discussion of tacit practices” (p.189). Ultimately, it could help to ‘</w:t>
            </w:r>
            <w:proofErr w:type="spellStart"/>
            <w:r w:rsidRPr="00076E76">
              <w:rPr>
                <w:rFonts w:ascii="Gill Sans" w:hAnsi="Gill Sans" w:cs="Gill Sans"/>
                <w:color w:val="000000"/>
                <w:szCs w:val="22"/>
              </w:rPr>
              <w:t>normalise</w:t>
            </w:r>
            <w:proofErr w:type="spellEnd"/>
            <w:r w:rsidRPr="00076E76">
              <w:rPr>
                <w:rFonts w:ascii="Gill Sans" w:hAnsi="Gill Sans" w:cs="Gill Sans"/>
                <w:color w:val="000000"/>
                <w:szCs w:val="22"/>
              </w:rPr>
              <w:t>’ the messy, emotional struggle of transition and help to move away from deficit perspectives.</w:t>
            </w:r>
          </w:p>
        </w:tc>
      </w:tr>
      <w:tr w:rsidR="00F934ED" w:rsidRPr="00076E76" w14:paraId="2F436092" w14:textId="77777777" w:rsidTr="00EE424E">
        <w:tc>
          <w:tcPr>
            <w:tcW w:w="5529" w:type="dxa"/>
            <w:shd w:val="clear" w:color="auto" w:fill="auto"/>
          </w:tcPr>
          <w:p w14:paraId="2A0225C9" w14:textId="77777777" w:rsidR="00F934ED" w:rsidRDefault="00F934ED" w:rsidP="00F934ED">
            <w:pPr>
              <w:rPr>
                <w:rFonts w:ascii="Gill Sans" w:hAnsi="Gill Sans" w:cs="Gill Sans"/>
                <w:i/>
                <w:iCs/>
                <w:szCs w:val="22"/>
              </w:rPr>
            </w:pPr>
            <w:proofErr w:type="spellStart"/>
            <w:r>
              <w:rPr>
                <w:rFonts w:ascii="Gill Sans" w:hAnsi="Gill Sans" w:cs="Gill Sans"/>
                <w:szCs w:val="22"/>
              </w:rPr>
              <w:lastRenderedPageBreak/>
              <w:t>Gravett</w:t>
            </w:r>
            <w:proofErr w:type="spellEnd"/>
            <w:r>
              <w:rPr>
                <w:rFonts w:ascii="Gill Sans" w:hAnsi="Gill Sans" w:cs="Gill Sans"/>
                <w:szCs w:val="22"/>
              </w:rPr>
              <w:t xml:space="preserve">, K. (2019). </w:t>
            </w:r>
            <w:hyperlink r:id="rId68" w:history="1">
              <w:r w:rsidRPr="00F934ED">
                <w:rPr>
                  <w:rStyle w:val="Hyperlink"/>
                  <w:rFonts w:ascii="Gill Sans" w:hAnsi="Gill Sans" w:cs="Gill Sans"/>
                  <w:szCs w:val="22"/>
                </w:rPr>
                <w:t xml:space="preserve">Troubling transitions and celebrating </w:t>
              </w:r>
              <w:proofErr w:type="spellStart"/>
              <w:r w:rsidRPr="00F934ED">
                <w:rPr>
                  <w:rStyle w:val="Hyperlink"/>
                  <w:rFonts w:ascii="Gill Sans" w:hAnsi="Gill Sans" w:cs="Gill Sans"/>
                  <w:szCs w:val="22"/>
                </w:rPr>
                <w:t>becomings</w:t>
              </w:r>
              <w:proofErr w:type="spellEnd"/>
              <w:r w:rsidRPr="00F934ED">
                <w:rPr>
                  <w:rStyle w:val="Hyperlink"/>
                  <w:rFonts w:ascii="Gill Sans" w:hAnsi="Gill Sans" w:cs="Gill Sans"/>
                  <w:szCs w:val="22"/>
                </w:rPr>
                <w:t>: from pathway to rhizome</w:t>
              </w:r>
            </w:hyperlink>
            <w:r>
              <w:rPr>
                <w:rFonts w:ascii="Gill Sans" w:hAnsi="Gill Sans" w:cs="Gill Sans"/>
                <w:szCs w:val="22"/>
              </w:rPr>
              <w:t xml:space="preserve">, </w:t>
            </w:r>
            <w:r>
              <w:rPr>
                <w:rFonts w:ascii="Gill Sans" w:hAnsi="Gill Sans" w:cs="Gill Sans"/>
                <w:i/>
                <w:iCs/>
                <w:szCs w:val="22"/>
              </w:rPr>
              <w:t xml:space="preserve">Studies in Higher Education, </w:t>
            </w:r>
          </w:p>
          <w:p w14:paraId="042D0A88" w14:textId="77777777" w:rsidR="00F934ED" w:rsidRDefault="00F934ED" w:rsidP="00F934ED">
            <w:pPr>
              <w:rPr>
                <w:rFonts w:ascii="Gill Sans" w:hAnsi="Gill Sans" w:cs="Gill Sans"/>
                <w:i/>
                <w:iCs/>
                <w:szCs w:val="22"/>
              </w:rPr>
            </w:pPr>
          </w:p>
          <w:p w14:paraId="0F6B11E3" w14:textId="77777777" w:rsidR="00F934ED" w:rsidRDefault="00F934ED" w:rsidP="00F934ED">
            <w:pPr>
              <w:rPr>
                <w:rFonts w:ascii="Gill Sans" w:hAnsi="Gill Sans" w:cs="Gill Sans"/>
                <w:szCs w:val="22"/>
              </w:rPr>
            </w:pPr>
            <w:r>
              <w:rPr>
                <w:rFonts w:ascii="Gill Sans" w:hAnsi="Gill Sans" w:cs="Gill Sans"/>
                <w:szCs w:val="22"/>
              </w:rPr>
              <w:t>UK</w:t>
            </w:r>
          </w:p>
          <w:p w14:paraId="4399D910" w14:textId="77777777" w:rsidR="00F934ED" w:rsidRDefault="00F934ED" w:rsidP="00F934ED">
            <w:pPr>
              <w:rPr>
                <w:rFonts w:ascii="Gill Sans" w:hAnsi="Gill Sans" w:cs="Gill Sans"/>
                <w:szCs w:val="22"/>
              </w:rPr>
            </w:pPr>
          </w:p>
          <w:p w14:paraId="39A7A3EE" w14:textId="77777777" w:rsidR="00F934ED" w:rsidRPr="00F934ED" w:rsidRDefault="00F934ED" w:rsidP="00F934ED">
            <w:pPr>
              <w:rPr>
                <w:rFonts w:ascii="Gill Sans" w:hAnsi="Gill Sans" w:cs="Gill Sans"/>
                <w:szCs w:val="22"/>
                <w:lang w:val="en-AU"/>
              </w:rPr>
            </w:pPr>
            <w:r>
              <w:rPr>
                <w:rFonts w:ascii="Gill Sans" w:hAnsi="Gill Sans" w:cs="Gill Sans"/>
                <w:szCs w:val="22"/>
              </w:rPr>
              <w:t xml:space="preserve">Keywords: </w:t>
            </w:r>
            <w:r w:rsidRPr="00F934ED">
              <w:rPr>
                <w:rFonts w:ascii="Gill Sans" w:hAnsi="Gill Sans" w:cs="Gill Sans"/>
                <w:i/>
                <w:iCs/>
                <w:szCs w:val="22"/>
                <w:lang w:val="en-AU"/>
              </w:rPr>
              <w:t>Transitions; higher education; becoming; rhizome; threshold concepts</w:t>
            </w:r>
            <w:r w:rsidRPr="00F934ED">
              <w:rPr>
                <w:rFonts w:ascii="Gill Sans" w:hAnsi="Gill Sans" w:cs="Gill Sans"/>
                <w:szCs w:val="22"/>
                <w:lang w:val="en-AU"/>
              </w:rPr>
              <w:t xml:space="preserve"> </w:t>
            </w:r>
          </w:p>
          <w:p w14:paraId="3665345F" w14:textId="6F48B348" w:rsidR="00F934ED" w:rsidRPr="00F934ED" w:rsidRDefault="00F934ED" w:rsidP="00F934ED">
            <w:pPr>
              <w:rPr>
                <w:rFonts w:ascii="Gill Sans" w:hAnsi="Gill Sans" w:cs="Gill Sans"/>
                <w:szCs w:val="22"/>
              </w:rPr>
            </w:pPr>
          </w:p>
        </w:tc>
        <w:tc>
          <w:tcPr>
            <w:tcW w:w="10064" w:type="dxa"/>
          </w:tcPr>
          <w:p w14:paraId="05FC9A8B" w14:textId="04949D0D" w:rsidR="00321B82" w:rsidRPr="00321B82" w:rsidRDefault="00F934ED" w:rsidP="00F934ED">
            <w:pPr>
              <w:rPr>
                <w:rFonts w:ascii="Gill Sans" w:hAnsi="Gill Sans" w:cs="Gill Sans"/>
                <w:bCs/>
                <w:color w:val="000000"/>
                <w:szCs w:val="22"/>
                <w:lang w:val="en-AU"/>
              </w:rPr>
            </w:pPr>
            <w:r w:rsidRPr="00076E76">
              <w:rPr>
                <w:rFonts w:ascii="Gill Sans" w:hAnsi="Gill Sans" w:cs="Gill Sans"/>
                <w:b/>
                <w:color w:val="000000"/>
                <w:szCs w:val="22"/>
                <w:lang w:val="en-AU"/>
              </w:rPr>
              <w:lastRenderedPageBreak/>
              <w:t xml:space="preserve">Context: </w:t>
            </w:r>
            <w:r w:rsidR="00321B82">
              <w:rPr>
                <w:rFonts w:ascii="Gill Sans" w:hAnsi="Gill Sans" w:cs="Gill Sans"/>
                <w:bCs/>
                <w:color w:val="000000"/>
                <w:szCs w:val="22"/>
                <w:lang w:val="en-AU"/>
              </w:rPr>
              <w:t xml:space="preserve">Conceptualisations of student transitions; author navigates the literature according to different metaphors: building bridges/ minding gaps; ‘smooth’ transitions; pathways and journeys; ‘successful’ transitions. Within these conceptualisations, there are clear elements of thinking that helps to drive institutional responses to the challenges that students experience with their transitions, but the author notes how problems with deficit-laden, individualised notions of institutions’ roles with supporting student (which </w:t>
            </w:r>
            <w:r w:rsidR="00321B82">
              <w:rPr>
                <w:rFonts w:ascii="Gill Sans" w:hAnsi="Gill Sans" w:cs="Gill Sans"/>
                <w:bCs/>
                <w:color w:val="000000"/>
                <w:szCs w:val="22"/>
                <w:lang w:val="en-AU"/>
              </w:rPr>
              <w:lastRenderedPageBreak/>
              <w:t>are diminished</w:t>
            </w:r>
            <w:r w:rsidR="008E1624">
              <w:rPr>
                <w:rFonts w:ascii="Gill Sans" w:hAnsi="Gill Sans" w:cs="Gill Sans"/>
                <w:bCs/>
                <w:color w:val="000000"/>
                <w:szCs w:val="22"/>
                <w:lang w:val="en-AU"/>
              </w:rPr>
              <w:t xml:space="preserve"> when the individual is pushed to/ assumes responsibility for their own navigation). Similarly, when transition is viewed as a system problem, it conceals personal/ experiential factors: “</w:t>
            </w:r>
            <w:r w:rsidR="008E1624" w:rsidRPr="008E1624">
              <w:rPr>
                <w:rFonts w:ascii="Gill Sans" w:hAnsi="Gill Sans" w:cs="Gill Sans"/>
                <w:bCs/>
                <w:color w:val="000000"/>
                <w:szCs w:val="22"/>
              </w:rPr>
              <w:t>Transitions are conceptualised as attributes of systems, rather than individuals. Within this ‘process’ there is little room for individuality or diversity</w:t>
            </w:r>
            <w:r w:rsidR="008E1624">
              <w:rPr>
                <w:rFonts w:ascii="Gill Sans" w:hAnsi="Gill Sans" w:cs="Gill Sans"/>
                <w:bCs/>
                <w:color w:val="000000"/>
                <w:szCs w:val="22"/>
              </w:rPr>
              <w:t>” (p.3)</w:t>
            </w:r>
            <w:r w:rsidR="008E1624" w:rsidRPr="008E1624">
              <w:rPr>
                <w:rFonts w:ascii="Gill Sans" w:hAnsi="Gill Sans" w:cs="Gill Sans"/>
                <w:bCs/>
                <w:color w:val="000000"/>
                <w:szCs w:val="22"/>
              </w:rPr>
              <w:t xml:space="preserve">. </w:t>
            </w:r>
            <w:r w:rsidR="008E1624">
              <w:rPr>
                <w:rFonts w:ascii="Gill Sans" w:hAnsi="Gill Sans" w:cs="Gill Sans"/>
                <w:bCs/>
                <w:color w:val="000000"/>
                <w:szCs w:val="22"/>
              </w:rPr>
              <w:t>Moreover, when viewed as ritualized pathway, the complexity and messiness of individuals’ circumstances gets lost, and focusing on ‘successful’ transitions reflects dominant institutional ideas of ‘success’ (driven by metrics around retention and achievement) as opposed to what is considered meaningful by the individual.</w:t>
            </w:r>
          </w:p>
          <w:p w14:paraId="67EC2B1D" w14:textId="34E039B1" w:rsidR="00F934ED" w:rsidRPr="00321B82" w:rsidRDefault="00F934ED" w:rsidP="00F934ED">
            <w:pPr>
              <w:rPr>
                <w:rFonts w:ascii="Gill Sans" w:hAnsi="Gill Sans" w:cs="Gill Sans"/>
                <w:bCs/>
                <w:color w:val="000000"/>
                <w:szCs w:val="22"/>
              </w:rPr>
            </w:pPr>
            <w:r w:rsidRPr="00076E76">
              <w:rPr>
                <w:rFonts w:ascii="Gill Sans" w:hAnsi="Gill Sans" w:cs="Gill Sans"/>
                <w:b/>
                <w:color w:val="000000"/>
                <w:szCs w:val="22"/>
                <w:lang w:val="en-AU"/>
              </w:rPr>
              <w:t xml:space="preserve">Aim: </w:t>
            </w:r>
            <w:r w:rsidR="00321B82">
              <w:rPr>
                <w:rFonts w:ascii="Gill Sans" w:hAnsi="Gill Sans" w:cs="Gill Sans"/>
                <w:bCs/>
                <w:color w:val="000000"/>
                <w:szCs w:val="22"/>
                <w:lang w:val="en-AU"/>
              </w:rPr>
              <w:t>To “</w:t>
            </w:r>
            <w:r w:rsidR="00321B82" w:rsidRPr="00321B82">
              <w:rPr>
                <w:rFonts w:ascii="Gill Sans" w:hAnsi="Gill Sans" w:cs="Gill Sans"/>
                <w:bCs/>
                <w:color w:val="000000"/>
                <w:szCs w:val="22"/>
              </w:rPr>
              <w:t>re-examine our assumptions regarding both students’ transitions and the wider conception of transition and change within learning</w:t>
            </w:r>
            <w:r w:rsidR="00321B82">
              <w:rPr>
                <w:rFonts w:ascii="Gill Sans" w:hAnsi="Gill Sans" w:cs="Gill Sans"/>
                <w:bCs/>
                <w:color w:val="000000"/>
                <w:szCs w:val="22"/>
              </w:rPr>
              <w:t>” and to suggest “</w:t>
            </w:r>
            <w:r w:rsidR="00321B82" w:rsidRPr="00321B82">
              <w:rPr>
                <w:rFonts w:ascii="Gill Sans" w:hAnsi="Gill Sans" w:cs="Gill Sans"/>
                <w:bCs/>
                <w:color w:val="000000"/>
                <w:szCs w:val="22"/>
                <w:lang w:val="en-AU"/>
              </w:rPr>
              <w:t>that a new approach to conceptualising transition may be useful in enabling us to see the granularity of students’ experiences, and that individuals’ lived realities do not fit neatly into established linear grand-narratives of transition</w:t>
            </w:r>
            <w:r w:rsidR="00321B82">
              <w:rPr>
                <w:rFonts w:ascii="Gill Sans" w:hAnsi="Gill Sans" w:cs="Gill Sans"/>
                <w:bCs/>
                <w:color w:val="000000"/>
                <w:szCs w:val="22"/>
                <w:lang w:val="en-AU"/>
              </w:rPr>
              <w:t>” (</w:t>
            </w:r>
            <w:r w:rsidR="00321B82">
              <w:rPr>
                <w:rFonts w:ascii="Gill Sans" w:hAnsi="Gill Sans" w:cs="Gill Sans"/>
                <w:bCs/>
                <w:color w:val="000000"/>
                <w:szCs w:val="22"/>
              </w:rPr>
              <w:t>p.1)</w:t>
            </w:r>
            <w:r w:rsidR="008E1624">
              <w:rPr>
                <w:rFonts w:ascii="Gill Sans" w:hAnsi="Gill Sans" w:cs="Gill Sans"/>
                <w:bCs/>
                <w:color w:val="000000"/>
                <w:szCs w:val="22"/>
              </w:rPr>
              <w:t>. To respond to Gale &amp; Parker’s (2014) lament about ‘conceptual silences’ in transition literature/ transition interventions and funded projects.</w:t>
            </w:r>
          </w:p>
          <w:p w14:paraId="6A3EE574" w14:textId="25CD6EA6" w:rsidR="00F934ED" w:rsidRPr="00321B82" w:rsidRDefault="00F934ED" w:rsidP="00F934ED">
            <w:pPr>
              <w:rPr>
                <w:rFonts w:ascii="Gill Sans" w:hAnsi="Gill Sans" w:cs="Gill Sans"/>
                <w:bCs/>
                <w:color w:val="000000"/>
                <w:szCs w:val="22"/>
                <w:lang w:val="en-AU"/>
              </w:rPr>
            </w:pPr>
            <w:r w:rsidRPr="00076E76">
              <w:rPr>
                <w:rFonts w:ascii="Gill Sans" w:hAnsi="Gill Sans" w:cs="Gill Sans"/>
                <w:b/>
                <w:color w:val="000000"/>
                <w:szCs w:val="22"/>
                <w:lang w:val="en-AU"/>
              </w:rPr>
              <w:t>Theoretical frame:</w:t>
            </w:r>
            <w:r w:rsidR="00321B82">
              <w:rPr>
                <w:rFonts w:ascii="Gill Sans" w:hAnsi="Gill Sans" w:cs="Gill Sans"/>
                <w:b/>
                <w:color w:val="000000"/>
                <w:szCs w:val="22"/>
                <w:lang w:val="en-AU"/>
              </w:rPr>
              <w:t xml:space="preserve"> </w:t>
            </w:r>
            <w:r w:rsidR="00321B82">
              <w:rPr>
                <w:rFonts w:ascii="Gill Sans" w:hAnsi="Gill Sans" w:cs="Gill Sans"/>
                <w:bCs/>
                <w:color w:val="000000"/>
                <w:szCs w:val="22"/>
                <w:lang w:val="en-AU"/>
              </w:rPr>
              <w:t xml:space="preserve">Threshold concepts (Meyer &amp; Land, 2005) and the rhizome/ becoming (Deleuze &amp; </w:t>
            </w:r>
            <w:proofErr w:type="spellStart"/>
            <w:r w:rsidR="00321B82">
              <w:rPr>
                <w:rFonts w:ascii="Gill Sans" w:hAnsi="Gill Sans" w:cs="Gill Sans"/>
                <w:bCs/>
                <w:color w:val="000000"/>
                <w:szCs w:val="22"/>
                <w:lang w:val="en-AU"/>
              </w:rPr>
              <w:t>Gutarri</w:t>
            </w:r>
            <w:proofErr w:type="spellEnd"/>
            <w:r w:rsidR="00321B82">
              <w:rPr>
                <w:rFonts w:ascii="Gill Sans" w:hAnsi="Gill Sans" w:cs="Gill Sans"/>
                <w:bCs/>
                <w:color w:val="000000"/>
                <w:szCs w:val="22"/>
                <w:lang w:val="en-AU"/>
              </w:rPr>
              <w:t>, 1987)</w:t>
            </w:r>
          </w:p>
          <w:p w14:paraId="09F57EE4" w14:textId="59B418CF" w:rsidR="00F934ED" w:rsidRPr="008E1624" w:rsidRDefault="00F934ED" w:rsidP="00F934ED">
            <w:pPr>
              <w:rPr>
                <w:rFonts w:ascii="Gill Sans" w:hAnsi="Gill Sans" w:cs="Gill Sans"/>
                <w:bCs/>
                <w:color w:val="000000"/>
                <w:szCs w:val="22"/>
                <w:lang w:val="en-AU"/>
              </w:rPr>
            </w:pPr>
            <w:r w:rsidRPr="00076E76">
              <w:rPr>
                <w:rFonts w:ascii="Gill Sans" w:hAnsi="Gill Sans" w:cs="Gill Sans"/>
                <w:b/>
                <w:color w:val="000000"/>
                <w:szCs w:val="22"/>
                <w:lang w:val="en-AU"/>
              </w:rPr>
              <w:t xml:space="preserve">Methodology: </w:t>
            </w:r>
            <w:r w:rsidR="008E1624">
              <w:rPr>
                <w:rFonts w:ascii="Gill Sans" w:hAnsi="Gill Sans" w:cs="Gill Sans"/>
                <w:bCs/>
                <w:color w:val="000000"/>
                <w:szCs w:val="22"/>
                <w:lang w:val="en-AU"/>
              </w:rPr>
              <w:t>Essay</w:t>
            </w:r>
          </w:p>
          <w:p w14:paraId="39D893E9" w14:textId="77777777" w:rsidR="008E1624" w:rsidRDefault="00F934ED" w:rsidP="00F934ED">
            <w:pPr>
              <w:rPr>
                <w:rFonts w:ascii="Gill Sans" w:hAnsi="Gill Sans" w:cs="Gill Sans"/>
                <w:bCs/>
                <w:color w:val="000000"/>
                <w:szCs w:val="22"/>
                <w:lang w:val="en-AU"/>
              </w:rPr>
            </w:pPr>
            <w:r w:rsidRPr="00076E76">
              <w:rPr>
                <w:rFonts w:ascii="Gill Sans" w:hAnsi="Gill Sans" w:cs="Gill Sans"/>
                <w:b/>
                <w:color w:val="000000"/>
                <w:szCs w:val="22"/>
                <w:lang w:val="en-AU"/>
              </w:rPr>
              <w:t xml:space="preserve">Findings: </w:t>
            </w:r>
            <w:r w:rsidR="008E1624">
              <w:rPr>
                <w:rFonts w:ascii="Gill Sans" w:hAnsi="Gill Sans" w:cs="Gill Sans"/>
                <w:bCs/>
                <w:color w:val="000000"/>
                <w:szCs w:val="22"/>
                <w:lang w:val="en-AU"/>
              </w:rPr>
              <w:t>Reimagining transition</w:t>
            </w:r>
          </w:p>
          <w:p w14:paraId="46BF9AAF" w14:textId="77777777" w:rsidR="008E1624" w:rsidRDefault="008E1624" w:rsidP="008E1624">
            <w:pPr>
              <w:rPr>
                <w:rFonts w:ascii="Gill Sans" w:hAnsi="Gill Sans" w:cs="Gill Sans"/>
                <w:bCs/>
                <w:color w:val="000000"/>
                <w:szCs w:val="22"/>
              </w:rPr>
            </w:pPr>
            <w:r w:rsidRPr="008E1624">
              <w:rPr>
                <w:rFonts w:ascii="Gill Sans" w:hAnsi="Gill Sans" w:cs="Gill Sans"/>
                <w:bCs/>
                <w:i/>
                <w:iCs/>
                <w:color w:val="000000"/>
                <w:szCs w:val="22"/>
                <w:lang w:val="en-AU"/>
              </w:rPr>
              <w:t>Troublesome transitions:</w:t>
            </w:r>
            <w:r>
              <w:rPr>
                <w:rFonts w:ascii="Gill Sans" w:hAnsi="Gill Sans" w:cs="Gill Sans"/>
                <w:bCs/>
                <w:i/>
                <w:iCs/>
                <w:color w:val="000000"/>
                <w:szCs w:val="22"/>
                <w:lang w:val="en-AU"/>
              </w:rPr>
              <w:t xml:space="preserve"> </w:t>
            </w:r>
            <w:r>
              <w:rPr>
                <w:rFonts w:ascii="Gill Sans" w:hAnsi="Gill Sans" w:cs="Gill Sans"/>
                <w:bCs/>
                <w:color w:val="000000"/>
                <w:szCs w:val="22"/>
                <w:lang w:val="en-AU"/>
              </w:rPr>
              <w:t>works from Meyer &amp; Land’s (2005) notion of threshold concepts, which describes students transitions (based on notion of liminality) through disciplinary concepts/ knowledge as potentially troublesome/ uncomfortable, but which can lead to transformation; “</w:t>
            </w:r>
            <w:r w:rsidRPr="008E1624">
              <w:rPr>
                <w:rFonts w:ascii="Gill Sans" w:hAnsi="Gill Sans" w:cs="Gill Sans"/>
                <w:bCs/>
                <w:color w:val="000000"/>
                <w:szCs w:val="22"/>
              </w:rPr>
              <w:t xml:space="preserve">this viewpoint offers the potential to see the value of emotional </w:t>
            </w:r>
            <w:proofErr w:type="spellStart"/>
            <w:r w:rsidRPr="008E1624">
              <w:rPr>
                <w:rFonts w:ascii="Gill Sans" w:hAnsi="Gill Sans" w:cs="Gill Sans"/>
                <w:bCs/>
                <w:color w:val="000000"/>
                <w:szCs w:val="22"/>
              </w:rPr>
              <w:t>destabilisation</w:t>
            </w:r>
            <w:proofErr w:type="spellEnd"/>
            <w:r w:rsidRPr="008E1624">
              <w:rPr>
                <w:rFonts w:ascii="Gill Sans" w:hAnsi="Gill Sans" w:cs="Gill Sans"/>
                <w:bCs/>
                <w:color w:val="000000"/>
                <w:szCs w:val="22"/>
              </w:rPr>
              <w:t xml:space="preserve"> and indeterminacy, and the possibilities that risk, uncertainty and change can create</w:t>
            </w:r>
            <w:r>
              <w:rPr>
                <w:rFonts w:ascii="Gill Sans" w:hAnsi="Gill Sans" w:cs="Gill Sans"/>
                <w:bCs/>
                <w:color w:val="000000"/>
                <w:szCs w:val="22"/>
              </w:rPr>
              <w:t>” (p.5)</w:t>
            </w:r>
            <w:r w:rsidRPr="008E1624">
              <w:rPr>
                <w:rFonts w:ascii="Gill Sans" w:hAnsi="Gill Sans" w:cs="Gill Sans"/>
                <w:bCs/>
                <w:color w:val="000000"/>
                <w:szCs w:val="22"/>
              </w:rPr>
              <w:t>.</w:t>
            </w:r>
          </w:p>
          <w:p w14:paraId="3C4570E8" w14:textId="45CF0C11" w:rsidR="008E1624" w:rsidRDefault="008E1624" w:rsidP="008E1624">
            <w:pPr>
              <w:rPr>
                <w:rFonts w:ascii="Gill Sans" w:hAnsi="Gill Sans" w:cs="Gill Sans"/>
                <w:bCs/>
                <w:color w:val="000000"/>
                <w:szCs w:val="22"/>
              </w:rPr>
            </w:pPr>
            <w:r w:rsidRPr="008E1624">
              <w:rPr>
                <w:rFonts w:ascii="Gill Sans" w:hAnsi="Gill Sans" w:cs="Gill Sans"/>
                <w:bCs/>
                <w:i/>
                <w:iCs/>
                <w:color w:val="000000"/>
                <w:szCs w:val="22"/>
              </w:rPr>
              <w:t>Transition as rhizomatic</w:t>
            </w:r>
            <w:r>
              <w:rPr>
                <w:rFonts w:ascii="Gill Sans" w:hAnsi="Gill Sans" w:cs="Gill Sans"/>
                <w:bCs/>
                <w:color w:val="000000"/>
                <w:szCs w:val="22"/>
              </w:rPr>
              <w:t xml:space="preserve">: works from Deleuze &amp; </w:t>
            </w:r>
            <w:proofErr w:type="spellStart"/>
            <w:r>
              <w:rPr>
                <w:rFonts w:ascii="Gill Sans" w:hAnsi="Gill Sans" w:cs="Gill Sans"/>
                <w:bCs/>
                <w:color w:val="000000"/>
                <w:szCs w:val="22"/>
              </w:rPr>
              <w:t>Gutarri</w:t>
            </w:r>
            <w:proofErr w:type="spellEnd"/>
            <w:r>
              <w:rPr>
                <w:rFonts w:ascii="Gill Sans" w:hAnsi="Gill Sans" w:cs="Gill Sans"/>
                <w:bCs/>
                <w:color w:val="000000"/>
                <w:szCs w:val="22"/>
              </w:rPr>
              <w:t xml:space="preserve"> (1987) and their thinking on the rhizome</w:t>
            </w:r>
            <w:r w:rsidRPr="008E1624">
              <w:rPr>
                <w:rFonts w:ascii="Gill Sans" w:hAnsi="Gill Sans" w:cs="Gill Sans"/>
                <w:bCs/>
                <w:color w:val="000000"/>
                <w:szCs w:val="22"/>
              </w:rPr>
              <w:t xml:space="preserve"> </w:t>
            </w:r>
            <w:r>
              <w:rPr>
                <w:rFonts w:ascii="Gill Sans" w:hAnsi="Gill Sans" w:cs="Gill Sans"/>
                <w:bCs/>
                <w:color w:val="000000"/>
                <w:szCs w:val="22"/>
              </w:rPr>
              <w:t>as a critique of/ departure from reliance on ideas linear movement</w:t>
            </w:r>
            <w:r w:rsidR="00B34F54">
              <w:rPr>
                <w:rFonts w:ascii="Gill Sans" w:hAnsi="Gill Sans" w:cs="Gill Sans"/>
                <w:bCs/>
                <w:color w:val="000000"/>
                <w:szCs w:val="22"/>
              </w:rPr>
              <w:t>; “</w:t>
            </w:r>
            <w:r w:rsidR="00B34F54" w:rsidRPr="00B34F54">
              <w:rPr>
                <w:rFonts w:ascii="Gill Sans" w:hAnsi="Gill Sans" w:cs="Gill Sans"/>
                <w:bCs/>
                <w:color w:val="000000"/>
                <w:szCs w:val="22"/>
              </w:rPr>
              <w:t>Seen through this lens, there are no uniform pathways: transitions are divergent, fluid and multiple</w:t>
            </w:r>
            <w:r w:rsidR="00B34F54">
              <w:rPr>
                <w:rFonts w:ascii="Gill Sans" w:hAnsi="Gill Sans" w:cs="Gill Sans"/>
                <w:bCs/>
                <w:color w:val="000000"/>
                <w:szCs w:val="22"/>
              </w:rPr>
              <w:t>” (p.6). From this perspective, the idea of transitions being normative or predictable is challenged.</w:t>
            </w:r>
          </w:p>
          <w:p w14:paraId="41C55D49" w14:textId="77777777" w:rsidR="00B34F54" w:rsidRDefault="00B34F54" w:rsidP="00B34F54">
            <w:pPr>
              <w:rPr>
                <w:rFonts w:ascii="Gill Sans" w:hAnsi="Gill Sans" w:cs="Gill Sans"/>
                <w:bCs/>
                <w:color w:val="000000"/>
                <w:szCs w:val="22"/>
              </w:rPr>
            </w:pPr>
            <w:r>
              <w:rPr>
                <w:rFonts w:ascii="Gill Sans" w:hAnsi="Gill Sans" w:cs="Gill Sans"/>
                <w:bCs/>
                <w:i/>
                <w:iCs/>
                <w:color w:val="000000"/>
                <w:szCs w:val="22"/>
              </w:rPr>
              <w:t xml:space="preserve">Transition as becoming: </w:t>
            </w:r>
            <w:r>
              <w:rPr>
                <w:rFonts w:ascii="Gill Sans" w:hAnsi="Gill Sans" w:cs="Gill Sans"/>
                <w:bCs/>
                <w:color w:val="000000"/>
                <w:szCs w:val="22"/>
              </w:rPr>
              <w:t xml:space="preserve">works from Deleuze &amp; </w:t>
            </w:r>
            <w:proofErr w:type="spellStart"/>
            <w:r>
              <w:rPr>
                <w:rFonts w:ascii="Gill Sans" w:hAnsi="Gill Sans" w:cs="Gill Sans"/>
                <w:bCs/>
                <w:color w:val="000000"/>
                <w:szCs w:val="22"/>
              </w:rPr>
              <w:t>Gutarri</w:t>
            </w:r>
            <w:proofErr w:type="spellEnd"/>
            <w:r>
              <w:rPr>
                <w:rFonts w:ascii="Gill Sans" w:hAnsi="Gill Sans" w:cs="Gill Sans"/>
                <w:bCs/>
                <w:color w:val="000000"/>
                <w:szCs w:val="22"/>
              </w:rPr>
              <w:t xml:space="preserve"> (1987) and their thinking on becoming — challenging the idea of beginning and end </w:t>
            </w:r>
            <w:proofErr w:type="gramStart"/>
            <w:r>
              <w:rPr>
                <w:rFonts w:ascii="Gill Sans" w:hAnsi="Gill Sans" w:cs="Gill Sans"/>
                <w:bCs/>
                <w:color w:val="000000"/>
                <w:szCs w:val="22"/>
              </w:rPr>
              <w:t>points, and</w:t>
            </w:r>
            <w:proofErr w:type="gramEnd"/>
            <w:r>
              <w:rPr>
                <w:rFonts w:ascii="Gill Sans" w:hAnsi="Gill Sans" w:cs="Gill Sans"/>
                <w:bCs/>
                <w:color w:val="000000"/>
                <w:szCs w:val="22"/>
              </w:rPr>
              <w:t xml:space="preserve"> seeing transitions as ongoing.</w:t>
            </w:r>
          </w:p>
          <w:p w14:paraId="6396E7B1" w14:textId="7D2AF04D" w:rsidR="00F934ED" w:rsidRPr="00B34F54" w:rsidRDefault="00B34F54" w:rsidP="00B34F54">
            <w:pPr>
              <w:rPr>
                <w:rFonts w:ascii="Gill Sans" w:hAnsi="Gill Sans" w:cs="Gill Sans"/>
                <w:bCs/>
                <w:color w:val="000000"/>
                <w:szCs w:val="22"/>
              </w:rPr>
            </w:pPr>
            <w:r>
              <w:rPr>
                <w:rFonts w:ascii="Gill Sans" w:hAnsi="Gill Sans" w:cs="Gill Sans"/>
                <w:bCs/>
                <w:color w:val="000000"/>
                <w:szCs w:val="22"/>
              </w:rPr>
              <w:t>Taken together, these conceptions pull a new way of thinking about/ researching/ supporting educational transitions: “</w:t>
            </w:r>
            <w:r w:rsidRPr="00B34F54">
              <w:rPr>
                <w:rFonts w:ascii="Gill Sans" w:hAnsi="Gill Sans" w:cs="Gill Sans"/>
                <w:bCs/>
                <w:color w:val="000000"/>
                <w:szCs w:val="22"/>
              </w:rPr>
              <w:t xml:space="preserve">Notions of trouble- some knowledge and liminality illuminate the possibilities that risk, uncertainty and change can create. The concept of the rhizome </w:t>
            </w:r>
            <w:proofErr w:type="spellStart"/>
            <w:r w:rsidRPr="00B34F54">
              <w:rPr>
                <w:rFonts w:ascii="Gill Sans" w:hAnsi="Gill Sans" w:cs="Gill Sans"/>
                <w:bCs/>
                <w:color w:val="000000"/>
                <w:szCs w:val="22"/>
              </w:rPr>
              <w:t>symbolises</w:t>
            </w:r>
            <w:proofErr w:type="spellEnd"/>
            <w:r w:rsidRPr="00B34F54">
              <w:rPr>
                <w:rFonts w:ascii="Gill Sans" w:hAnsi="Gill Sans" w:cs="Gill Sans"/>
                <w:bCs/>
                <w:color w:val="000000"/>
                <w:szCs w:val="22"/>
              </w:rPr>
              <w:t xml:space="preserve"> the diversity and multiplicity of not just experiences but of the self, and the concept of becoming indicates the ongoing and evolving nature of transition</w:t>
            </w:r>
            <w:r>
              <w:rPr>
                <w:rFonts w:ascii="Gill Sans" w:hAnsi="Gill Sans" w:cs="Gill Sans"/>
                <w:bCs/>
                <w:color w:val="000000"/>
                <w:szCs w:val="22"/>
              </w:rPr>
              <w:t xml:space="preserve">” (p.7). This requires a radical shift away from existing/ dominant/ ‘traditional’ ways of thinking and </w:t>
            </w:r>
            <w:r>
              <w:rPr>
                <w:rFonts w:ascii="Gill Sans" w:hAnsi="Gill Sans" w:cs="Gill Sans"/>
                <w:bCs/>
                <w:color w:val="000000"/>
                <w:szCs w:val="22"/>
              </w:rPr>
              <w:lastRenderedPageBreak/>
              <w:t>doing with regard to students’ transitions. One implication is that institutions could move away from ‘managing’ students’ transitions to being clearer/ more honest in communications about the discomforting elements of moving into new ways of learning (and being, knowing and doing), and taking an ongoing rather than bounded approach to student support. Institutions could also shift to a strengths-based view of what students can do/ bring with them to their studies and support students to see how they can build on these, rather than tacitly imposing deficit views on students</w:t>
            </w:r>
            <w:r w:rsidR="00F934ED" w:rsidRPr="00076E76">
              <w:rPr>
                <w:rFonts w:ascii="Gill Sans" w:hAnsi="Gill Sans" w:cs="Gill Sans"/>
                <w:b/>
                <w:color w:val="000000"/>
                <w:szCs w:val="22"/>
                <w:lang w:val="en-AU"/>
              </w:rPr>
              <w:br/>
              <w:t>Core argument:</w:t>
            </w:r>
            <w:r w:rsidR="00321B82">
              <w:rPr>
                <w:rFonts w:ascii="Gill Sans" w:hAnsi="Gill Sans" w:cs="Gill Sans"/>
                <w:b/>
                <w:color w:val="000000"/>
                <w:szCs w:val="22"/>
                <w:lang w:val="en-AU"/>
              </w:rPr>
              <w:t xml:space="preserve"> </w:t>
            </w:r>
            <w:r w:rsidR="00321B82">
              <w:rPr>
                <w:rFonts w:ascii="Gill Sans" w:hAnsi="Gill Sans" w:cs="Gill Sans"/>
                <w:bCs/>
                <w:color w:val="000000"/>
                <w:szCs w:val="22"/>
                <w:lang w:val="en-AU"/>
              </w:rPr>
              <w:t xml:space="preserve">Transitions research and practice should be guided by understandings that transitions are involve three interrelated conceptions: </w:t>
            </w:r>
            <w:r w:rsidR="00321B82" w:rsidRPr="00321B82">
              <w:rPr>
                <w:rFonts w:ascii="Gill Sans" w:hAnsi="Gill Sans" w:cs="Gill Sans"/>
                <w:bCs/>
                <w:i/>
                <w:iCs/>
                <w:color w:val="000000"/>
                <w:szCs w:val="22"/>
              </w:rPr>
              <w:t xml:space="preserve">transitions as rhizomatic, transitions as troublesome </w:t>
            </w:r>
            <w:r w:rsidR="00321B82" w:rsidRPr="00321B82">
              <w:rPr>
                <w:rFonts w:ascii="Gill Sans" w:hAnsi="Gill Sans" w:cs="Gill Sans"/>
                <w:bCs/>
                <w:color w:val="000000"/>
                <w:szCs w:val="22"/>
              </w:rPr>
              <w:t>and</w:t>
            </w:r>
            <w:r w:rsidR="00321B82" w:rsidRPr="00321B82">
              <w:rPr>
                <w:rFonts w:ascii="Gill Sans" w:hAnsi="Gill Sans" w:cs="Gill Sans"/>
                <w:bCs/>
                <w:i/>
                <w:iCs/>
                <w:color w:val="000000"/>
                <w:szCs w:val="22"/>
              </w:rPr>
              <w:t xml:space="preserve"> transitions as becoming</w:t>
            </w:r>
            <w:r>
              <w:rPr>
                <w:rFonts w:ascii="Gill Sans" w:hAnsi="Gill Sans" w:cs="Gill Sans"/>
                <w:bCs/>
                <w:i/>
                <w:iCs/>
                <w:color w:val="000000"/>
                <w:szCs w:val="22"/>
              </w:rPr>
              <w:t xml:space="preserve">. </w:t>
            </w:r>
            <w:r>
              <w:rPr>
                <w:rFonts w:ascii="Gill Sans" w:hAnsi="Gill Sans" w:cs="Gill Sans"/>
                <w:bCs/>
                <w:color w:val="000000"/>
                <w:szCs w:val="22"/>
              </w:rPr>
              <w:t>By reimagining transition, it may be possible to disrupt the status quo to improve students’ experiences and teaching and learning in higher education.</w:t>
            </w:r>
          </w:p>
        </w:tc>
      </w:tr>
      <w:tr w:rsidR="00F934ED" w:rsidRPr="00076E76" w14:paraId="5B9033CE" w14:textId="77777777" w:rsidTr="00EE424E">
        <w:tc>
          <w:tcPr>
            <w:tcW w:w="5529" w:type="dxa"/>
            <w:shd w:val="clear" w:color="auto" w:fill="auto"/>
          </w:tcPr>
          <w:p w14:paraId="5028988D" w14:textId="77777777" w:rsidR="00F934ED" w:rsidRDefault="00DA3138" w:rsidP="00DA3138">
            <w:pPr>
              <w:rPr>
                <w:rFonts w:ascii="Gill Sans" w:hAnsi="Gill Sans" w:cs="Gill Sans"/>
                <w:i/>
                <w:iCs/>
                <w:szCs w:val="22"/>
              </w:rPr>
            </w:pPr>
            <w:proofErr w:type="spellStart"/>
            <w:r>
              <w:rPr>
                <w:rFonts w:ascii="Gill Sans" w:hAnsi="Gill Sans" w:cs="Gill Sans"/>
                <w:szCs w:val="22"/>
              </w:rPr>
              <w:lastRenderedPageBreak/>
              <w:t>Gravett</w:t>
            </w:r>
            <w:proofErr w:type="spellEnd"/>
            <w:r>
              <w:rPr>
                <w:rFonts w:ascii="Gill Sans" w:hAnsi="Gill Sans" w:cs="Gill Sans"/>
                <w:szCs w:val="22"/>
              </w:rPr>
              <w:t xml:space="preserve">, K. &amp; </w:t>
            </w:r>
            <w:proofErr w:type="spellStart"/>
            <w:r>
              <w:rPr>
                <w:rFonts w:ascii="Gill Sans" w:hAnsi="Gill Sans" w:cs="Gill Sans"/>
                <w:szCs w:val="22"/>
              </w:rPr>
              <w:t>Winstone</w:t>
            </w:r>
            <w:proofErr w:type="spellEnd"/>
            <w:r>
              <w:rPr>
                <w:rFonts w:ascii="Gill Sans" w:hAnsi="Gill Sans" w:cs="Gill Sans"/>
                <w:szCs w:val="22"/>
              </w:rPr>
              <w:t xml:space="preserve">, N. (2019). </w:t>
            </w:r>
            <w:hyperlink r:id="rId69" w:history="1">
              <w:r w:rsidRPr="00DA3138">
                <w:rPr>
                  <w:rStyle w:val="Hyperlink"/>
                  <w:rFonts w:ascii="Gill Sans" w:hAnsi="Gill Sans" w:cs="Gill Sans"/>
                  <w:szCs w:val="22"/>
                </w:rPr>
                <w:t xml:space="preserve">Storying students’ </w:t>
              </w:r>
              <w:proofErr w:type="spellStart"/>
              <w:r w:rsidRPr="00DA3138">
                <w:rPr>
                  <w:rStyle w:val="Hyperlink"/>
                  <w:rFonts w:ascii="Gill Sans" w:hAnsi="Gill Sans" w:cs="Gill Sans"/>
                  <w:szCs w:val="22"/>
                </w:rPr>
                <w:t>becomings</w:t>
              </w:r>
              <w:proofErr w:type="spellEnd"/>
              <w:r w:rsidRPr="00DA3138">
                <w:rPr>
                  <w:rStyle w:val="Hyperlink"/>
                  <w:rFonts w:ascii="Gill Sans" w:hAnsi="Gill Sans" w:cs="Gill Sans"/>
                  <w:szCs w:val="22"/>
                </w:rPr>
                <w:t xml:space="preserve"> into and through higher education</w:t>
              </w:r>
            </w:hyperlink>
            <w:r w:rsidRPr="00DA3138">
              <w:rPr>
                <w:rFonts w:ascii="Gill Sans" w:hAnsi="Gill Sans" w:cs="Gill Sans"/>
                <w:szCs w:val="22"/>
              </w:rPr>
              <w:t xml:space="preserve">, </w:t>
            </w:r>
            <w:r w:rsidRPr="00DA3138">
              <w:rPr>
                <w:rFonts w:ascii="Gill Sans" w:hAnsi="Gill Sans" w:cs="Gill Sans"/>
                <w:i/>
                <w:iCs/>
                <w:szCs w:val="22"/>
              </w:rPr>
              <w:t>Studies in Higher Education</w:t>
            </w:r>
          </w:p>
          <w:p w14:paraId="0C0DF0EC" w14:textId="77777777" w:rsidR="00DA3138" w:rsidRDefault="00DA3138" w:rsidP="00DA3138">
            <w:pPr>
              <w:rPr>
                <w:rFonts w:ascii="Gill Sans" w:hAnsi="Gill Sans" w:cs="Gill Sans"/>
                <w:szCs w:val="22"/>
                <w:u w:val="single"/>
              </w:rPr>
            </w:pPr>
          </w:p>
          <w:p w14:paraId="1E06FA9E" w14:textId="77777777" w:rsidR="00DA3138" w:rsidRPr="00DA3138" w:rsidRDefault="00DA3138" w:rsidP="00DA3138">
            <w:pPr>
              <w:rPr>
                <w:rFonts w:ascii="Gill Sans" w:hAnsi="Gill Sans" w:cs="Gill Sans"/>
                <w:szCs w:val="22"/>
              </w:rPr>
            </w:pPr>
            <w:r w:rsidRPr="00DA3138">
              <w:rPr>
                <w:rFonts w:ascii="Gill Sans" w:hAnsi="Gill Sans" w:cs="Gill Sans"/>
                <w:szCs w:val="22"/>
              </w:rPr>
              <w:t>UK</w:t>
            </w:r>
          </w:p>
          <w:p w14:paraId="1F4C9A8E" w14:textId="19D0A019" w:rsidR="00DA3138" w:rsidRPr="00500B09" w:rsidRDefault="00500B09" w:rsidP="00DA3138">
            <w:pPr>
              <w:rPr>
                <w:rFonts w:ascii="Gill Sans" w:hAnsi="Gill Sans" w:cs="Gill Sans"/>
                <w:szCs w:val="22"/>
              </w:rPr>
            </w:pPr>
            <w:r>
              <w:rPr>
                <w:rFonts w:ascii="Gill Sans" w:hAnsi="Gill Sans" w:cs="Gill Sans"/>
                <w:szCs w:val="22"/>
              </w:rPr>
              <w:t>Annotation by Sally Baker</w:t>
            </w:r>
          </w:p>
          <w:p w14:paraId="432F46AF" w14:textId="77777777" w:rsidR="00500B09" w:rsidRDefault="00500B09" w:rsidP="00DA3138">
            <w:pPr>
              <w:rPr>
                <w:rFonts w:ascii="Gill Sans" w:hAnsi="Gill Sans" w:cs="Gill Sans"/>
                <w:szCs w:val="22"/>
                <w:u w:val="single"/>
              </w:rPr>
            </w:pPr>
          </w:p>
          <w:p w14:paraId="20626D95" w14:textId="77777777" w:rsidR="00DA3138" w:rsidRPr="00DA3138" w:rsidRDefault="00DA3138" w:rsidP="00DA3138">
            <w:pPr>
              <w:rPr>
                <w:rFonts w:ascii="Gill Sans" w:hAnsi="Gill Sans" w:cs="Gill Sans"/>
                <w:szCs w:val="22"/>
                <w:lang w:val="en-AU"/>
              </w:rPr>
            </w:pPr>
            <w:r>
              <w:rPr>
                <w:rFonts w:ascii="Gill Sans" w:hAnsi="Gill Sans" w:cs="Gill Sans"/>
                <w:szCs w:val="22"/>
              </w:rPr>
              <w:t xml:space="preserve">Keywords: </w:t>
            </w:r>
            <w:r w:rsidRPr="00DA3138">
              <w:rPr>
                <w:rFonts w:ascii="Gill Sans" w:hAnsi="Gill Sans" w:cs="Gill Sans"/>
                <w:i/>
                <w:iCs/>
                <w:szCs w:val="22"/>
                <w:lang w:val="en-AU"/>
              </w:rPr>
              <w:t xml:space="preserve">Transitions; story completion; higher education; rhizome; becoming; </w:t>
            </w:r>
            <w:proofErr w:type="spellStart"/>
            <w:r w:rsidRPr="00DA3138">
              <w:rPr>
                <w:rFonts w:ascii="Gill Sans" w:hAnsi="Gill Sans" w:cs="Gill Sans"/>
                <w:i/>
                <w:iCs/>
                <w:szCs w:val="22"/>
                <w:lang w:val="en-AU"/>
              </w:rPr>
              <w:t>timescapes</w:t>
            </w:r>
            <w:proofErr w:type="spellEnd"/>
            <w:r w:rsidRPr="00DA3138">
              <w:rPr>
                <w:rFonts w:ascii="Gill Sans" w:hAnsi="Gill Sans" w:cs="Gill Sans"/>
                <w:szCs w:val="22"/>
                <w:lang w:val="en-AU"/>
              </w:rPr>
              <w:t xml:space="preserve"> </w:t>
            </w:r>
          </w:p>
          <w:p w14:paraId="265CBCFD" w14:textId="7B12B847" w:rsidR="00DA3138" w:rsidRPr="00DA3138" w:rsidRDefault="00DA3138" w:rsidP="00DA3138">
            <w:pPr>
              <w:rPr>
                <w:rFonts w:ascii="Gill Sans" w:hAnsi="Gill Sans" w:cs="Gill Sans"/>
                <w:szCs w:val="22"/>
              </w:rPr>
            </w:pPr>
          </w:p>
        </w:tc>
        <w:tc>
          <w:tcPr>
            <w:tcW w:w="10064" w:type="dxa"/>
          </w:tcPr>
          <w:p w14:paraId="4ABBCD3A" w14:textId="1E0E2D7B" w:rsidR="00A65888" w:rsidRPr="00A65888" w:rsidRDefault="00F934ED" w:rsidP="00A65888">
            <w:pPr>
              <w:rPr>
                <w:rFonts w:ascii="Gill Sans" w:hAnsi="Gill Sans" w:cs="Gill Sans"/>
                <w:bCs/>
                <w:color w:val="000000"/>
                <w:szCs w:val="22"/>
              </w:rPr>
            </w:pPr>
            <w:r w:rsidRPr="00076E76">
              <w:rPr>
                <w:rFonts w:ascii="Gill Sans" w:hAnsi="Gill Sans" w:cs="Gill Sans"/>
                <w:b/>
                <w:color w:val="000000"/>
                <w:szCs w:val="22"/>
                <w:lang w:val="en-AU"/>
              </w:rPr>
              <w:t xml:space="preserve">Context: </w:t>
            </w:r>
            <w:r w:rsidR="00A65888">
              <w:rPr>
                <w:rFonts w:ascii="Gill Sans" w:hAnsi="Gill Sans" w:cs="Gill Sans"/>
                <w:bCs/>
                <w:color w:val="000000"/>
                <w:szCs w:val="22"/>
                <w:lang w:val="en-AU"/>
              </w:rPr>
              <w:t xml:space="preserve">Student transitions; set against normative, linear/ homogenous notions/ understandings of transitions that reflect institutional </w:t>
            </w:r>
            <w:proofErr w:type="spellStart"/>
            <w:r w:rsidR="00A65888">
              <w:rPr>
                <w:rFonts w:ascii="Gill Sans" w:hAnsi="Gill Sans" w:cs="Gill Sans"/>
                <w:bCs/>
                <w:color w:val="000000"/>
                <w:szCs w:val="22"/>
                <w:lang w:val="en-AU"/>
              </w:rPr>
              <w:t>timescapes</w:t>
            </w:r>
            <w:proofErr w:type="spellEnd"/>
            <w:r w:rsidR="00A65888">
              <w:rPr>
                <w:rFonts w:ascii="Gill Sans" w:hAnsi="Gill Sans" w:cs="Gill Sans"/>
                <w:bCs/>
                <w:color w:val="000000"/>
                <w:szCs w:val="22"/>
                <w:lang w:val="en-AU"/>
              </w:rPr>
              <w:t xml:space="preserve"> that deny the complex lives that students bring with them to their studies; “</w:t>
            </w:r>
            <w:r w:rsidR="00A65888" w:rsidRPr="00A65888">
              <w:rPr>
                <w:rFonts w:ascii="Gill Sans" w:hAnsi="Gill Sans" w:cs="Gill Sans"/>
                <w:bCs/>
                <w:color w:val="000000"/>
                <w:szCs w:val="22"/>
              </w:rPr>
              <w:t>Within student transition too, the intense focus on fixed time frames and outcomes can also be seen to alter the ‘</w:t>
            </w:r>
            <w:proofErr w:type="spellStart"/>
            <w:r w:rsidR="00A65888" w:rsidRPr="00A65888">
              <w:rPr>
                <w:rFonts w:ascii="Gill Sans" w:hAnsi="Gill Sans" w:cs="Gill Sans"/>
                <w:bCs/>
                <w:color w:val="000000"/>
                <w:szCs w:val="22"/>
              </w:rPr>
              <w:t>timescapes</w:t>
            </w:r>
            <w:proofErr w:type="spellEnd"/>
            <w:r w:rsidR="00A65888" w:rsidRPr="00A65888">
              <w:rPr>
                <w:rFonts w:ascii="Gill Sans" w:hAnsi="Gill Sans" w:cs="Gill Sans"/>
                <w:bCs/>
                <w:color w:val="000000"/>
                <w:szCs w:val="22"/>
              </w:rPr>
              <w:t>’ of higher education, presenting a view of time and of transition that may exclude individual lived temporal rhythms</w:t>
            </w:r>
            <w:r w:rsidR="00A65888">
              <w:rPr>
                <w:rFonts w:ascii="Gill Sans" w:hAnsi="Gill Sans" w:cs="Gill Sans"/>
                <w:bCs/>
                <w:color w:val="000000"/>
                <w:szCs w:val="22"/>
              </w:rPr>
              <w:t>” (p.2)</w:t>
            </w:r>
            <w:r w:rsidR="00A65888" w:rsidRPr="00A65888">
              <w:rPr>
                <w:rFonts w:ascii="Gill Sans" w:hAnsi="Gill Sans" w:cs="Gill Sans"/>
                <w:bCs/>
                <w:color w:val="000000"/>
                <w:szCs w:val="22"/>
              </w:rPr>
              <w:t xml:space="preserve">. </w:t>
            </w:r>
          </w:p>
          <w:p w14:paraId="703C54F6" w14:textId="7DCCAC4E" w:rsidR="00F934ED" w:rsidRDefault="00F934ED" w:rsidP="00F934ED">
            <w:pPr>
              <w:rPr>
                <w:rFonts w:ascii="Gill Sans" w:hAnsi="Gill Sans" w:cs="Gill Sans"/>
                <w:bCs/>
                <w:color w:val="000000"/>
                <w:szCs w:val="22"/>
                <w:lang w:val="en-AU"/>
              </w:rPr>
            </w:pPr>
            <w:r w:rsidRPr="00076E76">
              <w:rPr>
                <w:rFonts w:ascii="Gill Sans" w:hAnsi="Gill Sans" w:cs="Gill Sans"/>
                <w:b/>
                <w:color w:val="000000"/>
                <w:szCs w:val="22"/>
                <w:lang w:val="en-AU"/>
              </w:rPr>
              <w:t xml:space="preserve">Aim: </w:t>
            </w:r>
            <w:r w:rsidR="00A65888">
              <w:rPr>
                <w:rFonts w:ascii="Gill Sans" w:hAnsi="Gill Sans" w:cs="Gill Sans"/>
                <w:bCs/>
                <w:color w:val="000000"/>
                <w:szCs w:val="22"/>
                <w:lang w:val="en-AU"/>
              </w:rPr>
              <w:t xml:space="preserve">To offer student narratives of transition that foreground multiplicities of experiences; to highlight experiences that happen in the gaps and margins (p.2); to operationalise the conception of transition (as troublesome, rhizomatic, as becoming) put forward in </w:t>
            </w:r>
            <w:proofErr w:type="spellStart"/>
            <w:r w:rsidR="00A65888">
              <w:rPr>
                <w:rFonts w:ascii="Gill Sans" w:hAnsi="Gill Sans" w:cs="Gill Sans"/>
                <w:bCs/>
                <w:color w:val="000000"/>
                <w:szCs w:val="22"/>
                <w:lang w:val="en-AU"/>
              </w:rPr>
              <w:t>Gravett</w:t>
            </w:r>
            <w:proofErr w:type="spellEnd"/>
            <w:r w:rsidR="00A65888">
              <w:rPr>
                <w:rFonts w:ascii="Gill Sans" w:hAnsi="Gill Sans" w:cs="Gill Sans"/>
                <w:bCs/>
                <w:color w:val="000000"/>
                <w:szCs w:val="22"/>
                <w:lang w:val="en-AU"/>
              </w:rPr>
              <w:t>, 2019; to respond to this RQ:</w:t>
            </w:r>
          </w:p>
          <w:p w14:paraId="2FFB292B" w14:textId="207DE429" w:rsidR="00A65888" w:rsidRPr="00A65888" w:rsidRDefault="00A65888" w:rsidP="00F934ED">
            <w:pPr>
              <w:rPr>
                <w:rFonts w:ascii="Gill Sans" w:hAnsi="Gill Sans" w:cs="Gill Sans"/>
                <w:bCs/>
                <w:color w:val="000000"/>
                <w:szCs w:val="22"/>
                <w:lang w:val="en-AU"/>
              </w:rPr>
            </w:pPr>
            <w:r>
              <w:rPr>
                <w:rFonts w:ascii="Gill Sans" w:hAnsi="Gill Sans" w:cs="Gill Sans"/>
                <w:bCs/>
                <w:color w:val="000000"/>
                <w:szCs w:val="22"/>
                <w:lang w:val="en-AU"/>
              </w:rPr>
              <w:t>“</w:t>
            </w:r>
            <w:r w:rsidRPr="00A65888">
              <w:rPr>
                <w:rFonts w:ascii="Gill Sans" w:hAnsi="Gill Sans" w:cs="Gill Sans"/>
                <w:bCs/>
                <w:color w:val="000000"/>
                <w:szCs w:val="22"/>
                <w:lang w:val="en-AU"/>
              </w:rPr>
              <w:t>what will these stories tell us about students’ understandings of transition and becoming within higher education, and how will these narratives compare to the pervasive grand-narratives of research, policy, practice?</w:t>
            </w:r>
            <w:r>
              <w:rPr>
                <w:rFonts w:ascii="Gill Sans" w:hAnsi="Gill Sans" w:cs="Gill Sans"/>
                <w:bCs/>
                <w:color w:val="000000"/>
                <w:szCs w:val="22"/>
                <w:lang w:val="en-AU"/>
              </w:rPr>
              <w:t>” (p.2)</w:t>
            </w:r>
          </w:p>
          <w:p w14:paraId="559455CF" w14:textId="3ACDDEC8" w:rsidR="00F934ED" w:rsidRPr="00A65888" w:rsidRDefault="00F934ED" w:rsidP="00F934ED">
            <w:pPr>
              <w:rPr>
                <w:rFonts w:ascii="Gill Sans" w:hAnsi="Gill Sans" w:cs="Gill Sans"/>
                <w:bCs/>
                <w:color w:val="000000"/>
                <w:szCs w:val="22"/>
                <w:lang w:val="en-AU"/>
              </w:rPr>
            </w:pPr>
            <w:r w:rsidRPr="00076E76">
              <w:rPr>
                <w:rFonts w:ascii="Gill Sans" w:hAnsi="Gill Sans" w:cs="Gill Sans"/>
                <w:b/>
                <w:color w:val="000000"/>
                <w:szCs w:val="22"/>
                <w:lang w:val="en-AU"/>
              </w:rPr>
              <w:t>Theoretical frame:</w:t>
            </w:r>
            <w:r w:rsidR="00A65888">
              <w:rPr>
                <w:rFonts w:ascii="Gill Sans" w:hAnsi="Gill Sans" w:cs="Gill Sans"/>
                <w:b/>
                <w:color w:val="000000"/>
                <w:szCs w:val="22"/>
                <w:lang w:val="en-AU"/>
              </w:rPr>
              <w:t xml:space="preserve"> </w:t>
            </w:r>
            <w:r w:rsidR="00A65888">
              <w:rPr>
                <w:rFonts w:ascii="Gill Sans" w:hAnsi="Gill Sans" w:cs="Gill Sans"/>
                <w:bCs/>
                <w:color w:val="000000"/>
                <w:szCs w:val="22"/>
                <w:lang w:val="en-AU"/>
              </w:rPr>
              <w:t xml:space="preserve">See </w:t>
            </w:r>
            <w:proofErr w:type="spellStart"/>
            <w:r w:rsidR="00A65888">
              <w:rPr>
                <w:rFonts w:ascii="Gill Sans" w:hAnsi="Gill Sans" w:cs="Gill Sans"/>
                <w:bCs/>
                <w:color w:val="000000"/>
                <w:szCs w:val="22"/>
                <w:lang w:val="en-AU"/>
              </w:rPr>
              <w:t>Gravett</w:t>
            </w:r>
            <w:proofErr w:type="spellEnd"/>
            <w:r w:rsidR="00A65888">
              <w:rPr>
                <w:rFonts w:ascii="Gill Sans" w:hAnsi="Gill Sans" w:cs="Gill Sans"/>
                <w:bCs/>
                <w:color w:val="000000"/>
                <w:szCs w:val="22"/>
                <w:lang w:val="en-AU"/>
              </w:rPr>
              <w:t xml:space="preserve"> 2019</w:t>
            </w:r>
          </w:p>
          <w:p w14:paraId="09873967" w14:textId="30CC312F" w:rsidR="00C6179E" w:rsidRPr="00C6179E" w:rsidRDefault="00F934ED" w:rsidP="00C6179E">
            <w:pPr>
              <w:rPr>
                <w:rFonts w:ascii="Gill Sans" w:hAnsi="Gill Sans" w:cs="Gill Sans"/>
                <w:bCs/>
                <w:color w:val="000000"/>
                <w:szCs w:val="22"/>
              </w:rPr>
            </w:pPr>
            <w:r w:rsidRPr="00076E76">
              <w:rPr>
                <w:rFonts w:ascii="Gill Sans" w:hAnsi="Gill Sans" w:cs="Gill Sans"/>
                <w:b/>
                <w:color w:val="000000"/>
                <w:szCs w:val="22"/>
                <w:lang w:val="en-AU"/>
              </w:rPr>
              <w:t xml:space="preserve">Methodology: </w:t>
            </w:r>
            <w:r w:rsidR="00A65888">
              <w:rPr>
                <w:rFonts w:ascii="Gill Sans" w:hAnsi="Gill Sans" w:cs="Gill Sans"/>
                <w:bCs/>
                <w:color w:val="000000"/>
                <w:szCs w:val="22"/>
                <w:lang w:val="en-AU"/>
              </w:rPr>
              <w:t>Story completion and story-mediated interviews; project designed to explore students’ experiences of becoming university students. Story completion as “sense-making exercise” (p.3)</w:t>
            </w:r>
            <w:r w:rsidR="00C6179E">
              <w:rPr>
                <w:rFonts w:ascii="Gill Sans" w:hAnsi="Gill Sans" w:cs="Gill Sans"/>
                <w:bCs/>
                <w:color w:val="000000"/>
                <w:szCs w:val="22"/>
                <w:lang w:val="en-AU"/>
              </w:rPr>
              <w:t>. Two story stems used (see p.4); authors speculate whether using gender-neutral names may have been more effective. Story completion used because 1) can help participants to “e</w:t>
            </w:r>
            <w:r w:rsidR="00C6179E" w:rsidRPr="00C6179E">
              <w:rPr>
                <w:rFonts w:ascii="Gill Sans" w:hAnsi="Gill Sans" w:cs="Gill Sans"/>
                <w:bCs/>
                <w:color w:val="000000"/>
                <w:szCs w:val="22"/>
                <w:lang w:val="en-AU"/>
              </w:rPr>
              <w:t>ngage more readily and openly with the topic presented</w:t>
            </w:r>
            <w:r w:rsidR="00C6179E">
              <w:rPr>
                <w:rFonts w:ascii="Gill Sans" w:hAnsi="Gill Sans" w:cs="Gill Sans"/>
                <w:bCs/>
                <w:color w:val="000000"/>
                <w:szCs w:val="22"/>
                <w:lang w:val="en-AU"/>
              </w:rPr>
              <w:t>” (p.4) because it offers distance/ hypothetical situation to test out ideas; 2) opens space for discourses to emerge, rather than seeking ‘truth’; 3) it offers participants relative autonomy over research process. Analysis described as rhizomatic, which involved “</w:t>
            </w:r>
            <w:r w:rsidR="00C6179E" w:rsidRPr="00C6179E">
              <w:rPr>
                <w:rFonts w:ascii="Gill Sans" w:hAnsi="Gill Sans" w:cs="Gill Sans"/>
                <w:bCs/>
                <w:color w:val="000000"/>
                <w:szCs w:val="22"/>
              </w:rPr>
              <w:t>actively look</w:t>
            </w:r>
            <w:r w:rsidR="00C6179E">
              <w:rPr>
                <w:rFonts w:ascii="Gill Sans" w:hAnsi="Gill Sans" w:cs="Gill Sans"/>
                <w:bCs/>
                <w:color w:val="000000"/>
                <w:szCs w:val="22"/>
              </w:rPr>
              <w:t>[ing]</w:t>
            </w:r>
            <w:r w:rsidR="00C6179E" w:rsidRPr="00C6179E">
              <w:rPr>
                <w:rFonts w:ascii="Gill Sans" w:hAnsi="Gill Sans" w:cs="Gill Sans"/>
                <w:bCs/>
                <w:color w:val="000000"/>
                <w:szCs w:val="22"/>
              </w:rPr>
              <w:t xml:space="preserve"> for ways of working with data in its nuances, differences, and singularities</w:t>
            </w:r>
            <w:r w:rsidR="00C6179E">
              <w:rPr>
                <w:rFonts w:ascii="Gill Sans" w:hAnsi="Gill Sans" w:cs="Gill Sans"/>
                <w:bCs/>
                <w:color w:val="000000"/>
                <w:szCs w:val="22"/>
              </w:rPr>
              <w:t>” (p.5), looking for ‘data hotspots’ that captured their interests and cross-reading/ interpreting.</w:t>
            </w:r>
            <w:r w:rsidR="00C6179E" w:rsidRPr="00C6179E">
              <w:rPr>
                <w:rFonts w:ascii="Gill Sans" w:hAnsi="Gill Sans" w:cs="Gill Sans"/>
                <w:bCs/>
                <w:color w:val="000000"/>
                <w:szCs w:val="22"/>
              </w:rPr>
              <w:t xml:space="preserve"> </w:t>
            </w:r>
          </w:p>
          <w:p w14:paraId="1F4FA3C5" w14:textId="77777777" w:rsidR="00C6179E" w:rsidRDefault="00F934ED" w:rsidP="00F934ED">
            <w:pPr>
              <w:rPr>
                <w:rFonts w:ascii="Gill Sans" w:hAnsi="Gill Sans" w:cs="Gill Sans"/>
                <w:bCs/>
                <w:color w:val="000000"/>
                <w:szCs w:val="22"/>
                <w:lang w:val="en-AU"/>
              </w:rPr>
            </w:pPr>
            <w:r w:rsidRPr="00076E76">
              <w:rPr>
                <w:rFonts w:ascii="Gill Sans" w:hAnsi="Gill Sans" w:cs="Gill Sans"/>
                <w:b/>
                <w:color w:val="000000"/>
                <w:szCs w:val="22"/>
                <w:lang w:val="en-AU"/>
              </w:rPr>
              <w:t xml:space="preserve">Findings: </w:t>
            </w:r>
            <w:r w:rsidR="00C6179E">
              <w:rPr>
                <w:rFonts w:ascii="Gill Sans" w:hAnsi="Gill Sans" w:cs="Gill Sans"/>
                <w:bCs/>
                <w:color w:val="000000"/>
                <w:szCs w:val="22"/>
                <w:lang w:val="en-AU"/>
              </w:rPr>
              <w:t xml:space="preserve">Participants’ stories yielded “emotional and vivid” data (p.6), which often indexed conventional/ </w:t>
            </w:r>
            <w:r w:rsidR="00C6179E">
              <w:rPr>
                <w:rFonts w:ascii="Gill Sans" w:hAnsi="Gill Sans" w:cs="Gill Sans"/>
                <w:bCs/>
                <w:color w:val="000000"/>
                <w:szCs w:val="22"/>
                <w:lang w:val="en-AU"/>
              </w:rPr>
              <w:lastRenderedPageBreak/>
              <w:t>normative discourses about transition. Interview data suggests more individualised, divergent and diverse experiences.</w:t>
            </w:r>
          </w:p>
          <w:p w14:paraId="01256A07" w14:textId="5E3FE602" w:rsidR="00C6179E" w:rsidRDefault="00C6179E" w:rsidP="00F934ED">
            <w:pPr>
              <w:rPr>
                <w:rFonts w:ascii="Gill Sans" w:hAnsi="Gill Sans" w:cs="Gill Sans"/>
                <w:bCs/>
                <w:color w:val="000000"/>
                <w:szCs w:val="22"/>
                <w:lang w:val="en-AU"/>
              </w:rPr>
            </w:pPr>
            <w:r w:rsidRPr="00C6179E">
              <w:rPr>
                <w:rFonts w:ascii="Gill Sans" w:hAnsi="Gill Sans" w:cs="Gill Sans"/>
                <w:bCs/>
                <w:i/>
                <w:iCs/>
                <w:color w:val="000000"/>
                <w:szCs w:val="22"/>
                <w:lang w:val="en-AU"/>
              </w:rPr>
              <w:t>Unlearning/ learning in new context and environment</w:t>
            </w:r>
            <w:r>
              <w:rPr>
                <w:rFonts w:ascii="Gill Sans" w:hAnsi="Gill Sans" w:cs="Gill Sans"/>
                <w:bCs/>
                <w:i/>
                <w:iCs/>
                <w:color w:val="000000"/>
                <w:szCs w:val="22"/>
                <w:lang w:val="en-AU"/>
              </w:rPr>
              <w:t xml:space="preserve">: </w:t>
            </w:r>
            <w:r>
              <w:rPr>
                <w:rFonts w:ascii="Gill Sans" w:hAnsi="Gill Sans" w:cs="Gill Sans"/>
                <w:bCs/>
                <w:color w:val="000000"/>
                <w:szCs w:val="22"/>
                <w:lang w:val="en-AU"/>
              </w:rPr>
              <w:t>dissonance between previous educational experiences and expectations of university, including epistemological shifts and shifts in academic practices; authors make connection with threshold concepts (Meyer &amp; Land, 2005), which leads to discomfort for some students.</w:t>
            </w:r>
          </w:p>
          <w:p w14:paraId="11914A96" w14:textId="169391CF" w:rsidR="00C6179E" w:rsidRPr="00C6179E" w:rsidRDefault="00C6179E" w:rsidP="00C6179E">
            <w:pPr>
              <w:rPr>
                <w:rFonts w:ascii="Gill Sans" w:hAnsi="Gill Sans" w:cs="Gill Sans"/>
                <w:bCs/>
                <w:color w:val="000000"/>
                <w:szCs w:val="22"/>
              </w:rPr>
            </w:pPr>
            <w:r w:rsidRPr="00C6179E">
              <w:rPr>
                <w:rFonts w:ascii="Gill Sans" w:hAnsi="Gill Sans" w:cs="Gill Sans"/>
                <w:bCs/>
                <w:i/>
                <w:iCs/>
                <w:color w:val="000000"/>
                <w:szCs w:val="22"/>
                <w:lang w:val="en-AU"/>
              </w:rPr>
              <w:t>Individual/ micro-experiences of transition:</w:t>
            </w:r>
            <w:r>
              <w:rPr>
                <w:rFonts w:ascii="Gill Sans" w:hAnsi="Gill Sans" w:cs="Gill Sans"/>
                <w:bCs/>
                <w:i/>
                <w:iCs/>
                <w:color w:val="000000"/>
                <w:szCs w:val="22"/>
                <w:lang w:val="en-AU"/>
              </w:rPr>
              <w:t xml:space="preserve"> </w:t>
            </w:r>
            <w:r>
              <w:rPr>
                <w:rFonts w:ascii="Gill Sans" w:hAnsi="Gill Sans" w:cs="Gill Sans"/>
                <w:bCs/>
                <w:color w:val="000000"/>
                <w:szCs w:val="22"/>
                <w:lang w:val="en-AU"/>
              </w:rPr>
              <w:t>students’ transitions were more than shifts in academic practices; they covered a range of aspects: “</w:t>
            </w:r>
            <w:r w:rsidRPr="00C6179E">
              <w:rPr>
                <w:rFonts w:ascii="Gill Sans" w:hAnsi="Gill Sans" w:cs="Gill Sans"/>
                <w:bCs/>
                <w:color w:val="000000"/>
                <w:szCs w:val="22"/>
              </w:rPr>
              <w:t>relationships, emotions, social, affective, material and spatial elements, and reached far beyond the acquisition of study skills, the development of subject knowledge, or adaptation to institutional norms</w:t>
            </w:r>
            <w:r>
              <w:rPr>
                <w:rFonts w:ascii="Gill Sans" w:hAnsi="Gill Sans" w:cs="Gill Sans"/>
                <w:bCs/>
                <w:color w:val="000000"/>
                <w:szCs w:val="22"/>
              </w:rPr>
              <w:t>” (p.7)</w:t>
            </w:r>
            <w:r w:rsidR="00095417">
              <w:rPr>
                <w:rFonts w:ascii="Gill Sans" w:hAnsi="Gill Sans" w:cs="Gill Sans"/>
                <w:bCs/>
                <w:color w:val="000000"/>
                <w:szCs w:val="22"/>
              </w:rPr>
              <w:t xml:space="preserve">. Examples given include food shopping, fitting in socially without drinking alcohol, living away from home, having friends outside of ‘university bubble’ (see p.7). </w:t>
            </w:r>
            <w:r w:rsidRPr="00C6179E">
              <w:rPr>
                <w:rFonts w:ascii="Gill Sans" w:hAnsi="Gill Sans" w:cs="Gill Sans"/>
                <w:bCs/>
                <w:color w:val="000000"/>
                <w:szCs w:val="22"/>
              </w:rPr>
              <w:t xml:space="preserve"> </w:t>
            </w:r>
          </w:p>
          <w:p w14:paraId="310C8FB1" w14:textId="77777777" w:rsidR="00095417" w:rsidRDefault="00095417" w:rsidP="00F934ED">
            <w:pPr>
              <w:rPr>
                <w:rFonts w:ascii="Gill Sans" w:hAnsi="Gill Sans" w:cs="Gill Sans"/>
                <w:bCs/>
                <w:color w:val="000000"/>
                <w:szCs w:val="22"/>
                <w:lang w:val="en-AU"/>
              </w:rPr>
            </w:pPr>
            <w:r>
              <w:rPr>
                <w:rFonts w:ascii="Gill Sans" w:hAnsi="Gill Sans" w:cs="Gill Sans"/>
                <w:bCs/>
                <w:i/>
                <w:iCs/>
                <w:color w:val="000000"/>
                <w:szCs w:val="22"/>
                <w:lang w:val="en-AU"/>
              </w:rPr>
              <w:t xml:space="preserve">Fluidity and change: </w:t>
            </w:r>
            <w:r>
              <w:rPr>
                <w:rFonts w:ascii="Gill Sans" w:hAnsi="Gill Sans" w:cs="Gill Sans"/>
                <w:bCs/>
                <w:color w:val="000000"/>
                <w:szCs w:val="22"/>
                <w:lang w:val="en-AU"/>
              </w:rPr>
              <w:t xml:space="preserve">data suggest students’ transitions = “ongoing series of </w:t>
            </w:r>
            <w:proofErr w:type="spellStart"/>
            <w:r>
              <w:rPr>
                <w:rFonts w:ascii="Gill Sans" w:hAnsi="Gill Sans" w:cs="Gill Sans"/>
                <w:bCs/>
                <w:color w:val="000000"/>
                <w:szCs w:val="22"/>
                <w:lang w:val="en-AU"/>
              </w:rPr>
              <w:t>becomings</w:t>
            </w:r>
            <w:proofErr w:type="spellEnd"/>
            <w:r>
              <w:rPr>
                <w:rFonts w:ascii="Gill Sans" w:hAnsi="Gill Sans" w:cs="Gill Sans"/>
                <w:bCs/>
                <w:color w:val="000000"/>
                <w:szCs w:val="22"/>
                <w:lang w:val="en-AU"/>
              </w:rPr>
              <w:t>” (p.7), which are ill-reflected by institutional rhythms which chime against the “</w:t>
            </w:r>
            <w:r w:rsidRPr="00095417">
              <w:rPr>
                <w:rFonts w:ascii="Gill Sans" w:hAnsi="Gill Sans" w:cs="Gill Sans"/>
                <w:bCs/>
                <w:color w:val="000000"/>
                <w:szCs w:val="22"/>
                <w:lang w:val="en-AU"/>
              </w:rPr>
              <w:t xml:space="preserve">experiences of first year students, where </w:t>
            </w:r>
            <w:proofErr w:type="spellStart"/>
            <w:r w:rsidRPr="00095417">
              <w:rPr>
                <w:rFonts w:ascii="Gill Sans" w:hAnsi="Gill Sans" w:cs="Gill Sans"/>
                <w:bCs/>
                <w:color w:val="000000"/>
                <w:szCs w:val="22"/>
                <w:lang w:val="en-AU"/>
              </w:rPr>
              <w:t>the</w:t>
            </w:r>
            <w:proofErr w:type="spellEnd"/>
            <w:r w:rsidRPr="00095417">
              <w:rPr>
                <w:rFonts w:ascii="Gill Sans" w:hAnsi="Gill Sans" w:cs="Gill Sans"/>
                <w:bCs/>
                <w:color w:val="000000"/>
                <w:szCs w:val="22"/>
                <w:lang w:val="en-AU"/>
              </w:rPr>
              <w:t xml:space="preserve"> lived rhythms of learning do not fit neatly into ‘assimilationist pedagogies’</w:t>
            </w:r>
            <w:r>
              <w:rPr>
                <w:rFonts w:ascii="Gill Sans" w:hAnsi="Gill Sans" w:cs="Gill Sans"/>
                <w:bCs/>
                <w:color w:val="000000"/>
                <w:szCs w:val="22"/>
                <w:lang w:val="en-AU"/>
              </w:rPr>
              <w:t>” (</w:t>
            </w:r>
            <w:proofErr w:type="spellStart"/>
            <w:r>
              <w:rPr>
                <w:rFonts w:ascii="Gill Sans" w:hAnsi="Gill Sans" w:cs="Gill Sans"/>
                <w:bCs/>
                <w:color w:val="000000"/>
                <w:szCs w:val="22"/>
                <w:lang w:val="en-AU"/>
              </w:rPr>
              <w:t>Manathunga’s</w:t>
            </w:r>
            <w:proofErr w:type="spellEnd"/>
            <w:r>
              <w:rPr>
                <w:rFonts w:ascii="Gill Sans" w:hAnsi="Gill Sans" w:cs="Gill Sans"/>
                <w:bCs/>
                <w:color w:val="000000"/>
                <w:szCs w:val="22"/>
                <w:lang w:val="en-AU"/>
              </w:rPr>
              <w:t>, 2019 term; on p.8).</w:t>
            </w:r>
          </w:p>
          <w:p w14:paraId="4ECAF7C6" w14:textId="24091B47" w:rsidR="00F934ED" w:rsidRPr="00095417" w:rsidRDefault="00095417" w:rsidP="00F934ED">
            <w:pPr>
              <w:rPr>
                <w:rFonts w:ascii="Gill Sans" w:hAnsi="Gill Sans" w:cs="Gill Sans"/>
                <w:bCs/>
                <w:color w:val="000000"/>
                <w:szCs w:val="22"/>
                <w:lang w:val="en-AU"/>
              </w:rPr>
            </w:pPr>
            <w:r w:rsidRPr="00095417">
              <w:rPr>
                <w:rFonts w:ascii="Gill Sans" w:hAnsi="Gill Sans" w:cs="Gill Sans"/>
                <w:bCs/>
                <w:color w:val="000000"/>
                <w:szCs w:val="22"/>
                <w:lang w:val="en-AU"/>
              </w:rPr>
              <w:t>Data also</w:t>
            </w:r>
            <w:r>
              <w:rPr>
                <w:rFonts w:ascii="Gill Sans" w:hAnsi="Gill Sans" w:cs="Gill Sans"/>
                <w:bCs/>
                <w:color w:val="000000"/>
                <w:szCs w:val="22"/>
                <w:lang w:val="en-AU"/>
              </w:rPr>
              <w:t xml:space="preserve"> suggest that students’ experienced positive transitions (positive comparisons with school). However, students who commute [rather than moving to university town as is more common in UK] appeared to view themselves as different/ having a different experience compared with peers.</w:t>
            </w:r>
            <w:r>
              <w:rPr>
                <w:rFonts w:ascii="Gill Sans" w:hAnsi="Gill Sans" w:cs="Gill Sans"/>
                <w:b/>
                <w:color w:val="000000"/>
                <w:szCs w:val="22"/>
                <w:lang w:val="en-AU"/>
              </w:rPr>
              <w:t xml:space="preserve"> </w:t>
            </w:r>
            <w:r w:rsidR="00F934ED" w:rsidRPr="00076E76">
              <w:rPr>
                <w:rFonts w:ascii="Gill Sans" w:hAnsi="Gill Sans" w:cs="Gill Sans"/>
                <w:b/>
                <w:color w:val="000000"/>
                <w:szCs w:val="22"/>
                <w:lang w:val="en-AU"/>
              </w:rPr>
              <w:br/>
              <w:t>Core argument:</w:t>
            </w:r>
            <w:r>
              <w:rPr>
                <w:rFonts w:ascii="Gill Sans" w:hAnsi="Gill Sans" w:cs="Gill Sans"/>
                <w:b/>
                <w:color w:val="000000"/>
                <w:szCs w:val="22"/>
                <w:lang w:val="en-AU"/>
              </w:rPr>
              <w:t xml:space="preserve"> </w:t>
            </w:r>
            <w:r>
              <w:rPr>
                <w:rFonts w:ascii="Gill Sans" w:hAnsi="Gill Sans" w:cs="Gill Sans"/>
                <w:bCs/>
                <w:color w:val="000000"/>
                <w:szCs w:val="22"/>
                <w:lang w:val="en-AU"/>
              </w:rPr>
              <w:t>Transition is complicated, individually experienced and messy; “</w:t>
            </w:r>
            <w:r w:rsidRPr="00095417">
              <w:rPr>
                <w:rFonts w:ascii="Gill Sans" w:hAnsi="Gill Sans" w:cs="Gill Sans"/>
                <w:bCs/>
                <w:color w:val="000000"/>
                <w:szCs w:val="22"/>
                <w:lang w:val="en-AU"/>
              </w:rPr>
              <w:t xml:space="preserve">Rather than transition signifying a neat process where skills are acquired and students follow a linear pathway into and through university, transition changes with individual context, and can be better understood as students’ perpetual and ongoing </w:t>
            </w:r>
            <w:proofErr w:type="spellStart"/>
            <w:r w:rsidRPr="00095417">
              <w:rPr>
                <w:rFonts w:ascii="Gill Sans" w:hAnsi="Gill Sans" w:cs="Gill Sans"/>
                <w:bCs/>
                <w:color w:val="000000"/>
                <w:szCs w:val="22"/>
                <w:lang w:val="en-AU"/>
              </w:rPr>
              <w:t>becomings</w:t>
            </w:r>
            <w:proofErr w:type="spellEnd"/>
            <w:r>
              <w:rPr>
                <w:rFonts w:ascii="Gill Sans" w:hAnsi="Gill Sans" w:cs="Gill Sans"/>
                <w:bCs/>
                <w:color w:val="000000"/>
                <w:szCs w:val="22"/>
                <w:lang w:val="en-AU"/>
              </w:rPr>
              <w:t>” (p.10)</w:t>
            </w:r>
            <w:r w:rsidRPr="00095417">
              <w:rPr>
                <w:rFonts w:ascii="Gill Sans" w:hAnsi="Gill Sans" w:cs="Gill Sans"/>
                <w:bCs/>
                <w:color w:val="000000"/>
                <w:szCs w:val="22"/>
                <w:lang w:val="en-AU"/>
              </w:rPr>
              <w:t>.</w:t>
            </w:r>
            <w:r>
              <w:rPr>
                <w:rFonts w:ascii="Gill Sans" w:hAnsi="Gill Sans" w:cs="Gill Sans"/>
                <w:bCs/>
                <w:color w:val="000000"/>
                <w:szCs w:val="22"/>
                <w:lang w:val="en-AU"/>
              </w:rPr>
              <w:t xml:space="preserve"> Institutions should/ could consider reorienting their approaches to supporting students so that this rich individuality and ongoing nature of transition is operationalised to better support students.</w:t>
            </w:r>
          </w:p>
        </w:tc>
      </w:tr>
      <w:tr w:rsidR="00095417" w:rsidRPr="00076E76" w14:paraId="0F67AB3F" w14:textId="77777777" w:rsidTr="00EE424E">
        <w:tc>
          <w:tcPr>
            <w:tcW w:w="5529" w:type="dxa"/>
            <w:shd w:val="clear" w:color="auto" w:fill="auto"/>
          </w:tcPr>
          <w:p w14:paraId="6B4155E9" w14:textId="77777777" w:rsidR="00095417" w:rsidRDefault="00E75BB4" w:rsidP="00DA3138">
            <w:pPr>
              <w:rPr>
                <w:rFonts w:ascii="Gill Sans" w:hAnsi="Gill Sans" w:cs="Gill Sans"/>
                <w:i/>
                <w:iCs/>
                <w:szCs w:val="22"/>
              </w:rPr>
            </w:pPr>
            <w:proofErr w:type="spellStart"/>
            <w:r>
              <w:rPr>
                <w:rFonts w:ascii="Gill Sans" w:hAnsi="Gill Sans" w:cs="Gill Sans"/>
                <w:szCs w:val="22"/>
              </w:rPr>
              <w:lastRenderedPageBreak/>
              <w:t>Gravett</w:t>
            </w:r>
            <w:proofErr w:type="spellEnd"/>
            <w:r>
              <w:rPr>
                <w:rFonts w:ascii="Gill Sans" w:hAnsi="Gill Sans" w:cs="Gill Sans"/>
                <w:szCs w:val="22"/>
              </w:rPr>
              <w:t xml:space="preserve">, K.; </w:t>
            </w:r>
            <w:proofErr w:type="spellStart"/>
            <w:r>
              <w:rPr>
                <w:rFonts w:ascii="Gill Sans" w:hAnsi="Gill Sans" w:cs="Gill Sans"/>
                <w:szCs w:val="22"/>
              </w:rPr>
              <w:t>Kinchin</w:t>
            </w:r>
            <w:proofErr w:type="spellEnd"/>
            <w:r>
              <w:rPr>
                <w:rFonts w:ascii="Gill Sans" w:hAnsi="Gill Sans" w:cs="Gill Sans"/>
                <w:szCs w:val="22"/>
              </w:rPr>
              <w:t xml:space="preserve">, I. &amp; </w:t>
            </w:r>
            <w:proofErr w:type="spellStart"/>
            <w:r>
              <w:rPr>
                <w:rFonts w:ascii="Gill Sans" w:hAnsi="Gill Sans" w:cs="Gill Sans"/>
                <w:szCs w:val="22"/>
              </w:rPr>
              <w:t>Winstone</w:t>
            </w:r>
            <w:proofErr w:type="spellEnd"/>
            <w:r>
              <w:rPr>
                <w:rFonts w:ascii="Gill Sans" w:hAnsi="Gill Sans" w:cs="Gill Sans"/>
                <w:szCs w:val="22"/>
              </w:rPr>
              <w:t>, N. (2020).</w:t>
            </w:r>
            <w:r>
              <w:t xml:space="preserve"> </w:t>
            </w:r>
            <w:hyperlink r:id="rId70" w:history="1">
              <w:r w:rsidRPr="00E75BB4">
                <w:rPr>
                  <w:rStyle w:val="Hyperlink"/>
                  <w:rFonts w:ascii="Gill Sans" w:hAnsi="Gill Sans" w:cs="Gill Sans"/>
                  <w:szCs w:val="22"/>
                </w:rPr>
                <w:t>Frailty in transition? Troubling the norms, boundaries and limitations of transition theory and practice</w:t>
              </w:r>
            </w:hyperlink>
            <w:r w:rsidRPr="00E75BB4">
              <w:rPr>
                <w:rFonts w:ascii="Gill Sans" w:hAnsi="Gill Sans" w:cs="Gill Sans"/>
                <w:szCs w:val="22"/>
              </w:rPr>
              <w:t xml:space="preserve">, </w:t>
            </w:r>
            <w:r w:rsidRPr="00E75BB4">
              <w:rPr>
                <w:rFonts w:ascii="Gill Sans" w:hAnsi="Gill Sans" w:cs="Gill Sans"/>
                <w:i/>
                <w:iCs/>
                <w:szCs w:val="22"/>
              </w:rPr>
              <w:t>Higher Education Research &amp; Developmen</w:t>
            </w:r>
            <w:r>
              <w:rPr>
                <w:rFonts w:ascii="Gill Sans" w:hAnsi="Gill Sans" w:cs="Gill Sans"/>
                <w:i/>
                <w:iCs/>
                <w:szCs w:val="22"/>
              </w:rPr>
              <w:t>t</w:t>
            </w:r>
          </w:p>
          <w:p w14:paraId="750D9932" w14:textId="77777777" w:rsidR="00E75BB4" w:rsidRDefault="00E75BB4" w:rsidP="00DA3138">
            <w:pPr>
              <w:rPr>
                <w:rFonts w:ascii="Gill Sans" w:hAnsi="Gill Sans" w:cs="Gill Sans"/>
                <w:i/>
                <w:iCs/>
                <w:szCs w:val="22"/>
              </w:rPr>
            </w:pPr>
          </w:p>
          <w:p w14:paraId="211D62AC" w14:textId="739A9B06" w:rsidR="00E75BB4" w:rsidRDefault="00E75BB4" w:rsidP="00DA3138">
            <w:pPr>
              <w:rPr>
                <w:rFonts w:ascii="Gill Sans" w:hAnsi="Gill Sans" w:cs="Gill Sans"/>
                <w:szCs w:val="22"/>
              </w:rPr>
            </w:pPr>
            <w:r>
              <w:rPr>
                <w:rFonts w:ascii="Gill Sans" w:hAnsi="Gill Sans" w:cs="Gill Sans"/>
                <w:szCs w:val="22"/>
              </w:rPr>
              <w:t>UK</w:t>
            </w:r>
          </w:p>
          <w:p w14:paraId="0D3A1B03" w14:textId="0A4D93B4" w:rsidR="00500B09" w:rsidRDefault="00500B09" w:rsidP="00DA3138">
            <w:pPr>
              <w:rPr>
                <w:rFonts w:ascii="Gill Sans" w:hAnsi="Gill Sans" w:cs="Gill Sans"/>
                <w:szCs w:val="22"/>
              </w:rPr>
            </w:pPr>
            <w:r>
              <w:rPr>
                <w:rFonts w:ascii="Gill Sans" w:hAnsi="Gill Sans" w:cs="Gill Sans"/>
                <w:szCs w:val="22"/>
              </w:rPr>
              <w:t>Annotation by Sally Baker</w:t>
            </w:r>
          </w:p>
          <w:p w14:paraId="7F456240" w14:textId="77777777" w:rsidR="00E75BB4" w:rsidRDefault="00E75BB4" w:rsidP="00DA3138">
            <w:pPr>
              <w:rPr>
                <w:rFonts w:ascii="Gill Sans" w:hAnsi="Gill Sans" w:cs="Gill Sans"/>
                <w:szCs w:val="22"/>
              </w:rPr>
            </w:pPr>
          </w:p>
          <w:p w14:paraId="48A9ED22" w14:textId="6E790D84" w:rsidR="00E75BB4" w:rsidRPr="00E75BB4" w:rsidRDefault="00E75BB4" w:rsidP="00E75BB4">
            <w:pPr>
              <w:rPr>
                <w:rFonts w:ascii="Gill Sans" w:hAnsi="Gill Sans" w:cs="Gill Sans"/>
                <w:szCs w:val="22"/>
                <w:lang w:val="en-AU"/>
              </w:rPr>
            </w:pPr>
            <w:r>
              <w:rPr>
                <w:rFonts w:ascii="Gill Sans" w:hAnsi="Gill Sans" w:cs="Gill Sans"/>
                <w:szCs w:val="22"/>
              </w:rPr>
              <w:t>Keywords:</w:t>
            </w:r>
            <w:r w:rsidRPr="00E75BB4">
              <w:rPr>
                <w:rFonts w:ascii="AdvOT5fcf1b24" w:eastAsia="Times New Roman" w:hAnsi="AdvOT5fcf1b24" w:cs="Times New Roman"/>
                <w:sz w:val="16"/>
                <w:szCs w:val="16"/>
                <w:lang w:val="en-AU" w:eastAsia="en-GB"/>
              </w:rPr>
              <w:t xml:space="preserve"> </w:t>
            </w:r>
            <w:r w:rsidRPr="00E75BB4">
              <w:rPr>
                <w:rFonts w:ascii="Gill Sans" w:hAnsi="Gill Sans" w:cs="Gill Sans"/>
                <w:i/>
                <w:iCs/>
                <w:szCs w:val="22"/>
                <w:lang w:val="en-AU"/>
              </w:rPr>
              <w:t>Student transition; higher education; pedagogic frailty; concept mapping</w:t>
            </w:r>
            <w:r w:rsidRPr="00E75BB4">
              <w:rPr>
                <w:rFonts w:ascii="Gill Sans" w:hAnsi="Gill Sans" w:cs="Gill Sans"/>
                <w:szCs w:val="22"/>
                <w:lang w:val="en-AU"/>
              </w:rPr>
              <w:t xml:space="preserve"> </w:t>
            </w:r>
          </w:p>
          <w:p w14:paraId="3DF67751" w14:textId="39FB0845" w:rsidR="00E75BB4" w:rsidRPr="00E75BB4" w:rsidRDefault="00E75BB4" w:rsidP="00DA3138">
            <w:pPr>
              <w:rPr>
                <w:rFonts w:ascii="Gill Sans" w:hAnsi="Gill Sans" w:cs="Gill Sans"/>
                <w:szCs w:val="22"/>
              </w:rPr>
            </w:pPr>
          </w:p>
        </w:tc>
        <w:tc>
          <w:tcPr>
            <w:tcW w:w="10064" w:type="dxa"/>
          </w:tcPr>
          <w:p w14:paraId="26FC91CE" w14:textId="69363506" w:rsidR="00675BC5" w:rsidRPr="00675BC5" w:rsidRDefault="00E75BB4" w:rsidP="00E75BB4">
            <w:pPr>
              <w:rPr>
                <w:rFonts w:ascii="Gill Sans" w:hAnsi="Gill Sans" w:cs="Gill Sans"/>
                <w:bCs/>
                <w:color w:val="000000"/>
                <w:szCs w:val="22"/>
                <w:lang w:val="en-AU"/>
              </w:rPr>
            </w:pPr>
            <w:r w:rsidRPr="00076E76">
              <w:rPr>
                <w:rFonts w:ascii="Gill Sans" w:hAnsi="Gill Sans" w:cs="Gill Sans"/>
                <w:b/>
                <w:color w:val="000000"/>
                <w:szCs w:val="22"/>
                <w:lang w:val="en-AU"/>
              </w:rPr>
              <w:lastRenderedPageBreak/>
              <w:t xml:space="preserve">Context: </w:t>
            </w:r>
            <w:r w:rsidR="00675BC5">
              <w:rPr>
                <w:rFonts w:ascii="Gill Sans" w:hAnsi="Gill Sans" w:cs="Gill Sans"/>
                <w:bCs/>
                <w:color w:val="000000"/>
                <w:szCs w:val="22"/>
                <w:lang w:val="en-AU"/>
              </w:rPr>
              <w:t>Educators’ perceptions of transition; transition is “</w:t>
            </w:r>
            <w:r w:rsidR="00675BC5" w:rsidRPr="00675BC5">
              <w:rPr>
                <w:rFonts w:ascii="Gill Sans" w:hAnsi="Gill Sans" w:cs="Gill Sans"/>
                <w:bCs/>
                <w:color w:val="000000"/>
                <w:szCs w:val="22"/>
              </w:rPr>
              <w:t>largely under-</w:t>
            </w:r>
            <w:proofErr w:type="spellStart"/>
            <w:r w:rsidR="00675BC5" w:rsidRPr="00675BC5">
              <w:rPr>
                <w:rFonts w:ascii="Gill Sans" w:hAnsi="Gill Sans" w:cs="Gill Sans"/>
                <w:bCs/>
                <w:color w:val="000000"/>
                <w:szCs w:val="22"/>
              </w:rPr>
              <w:t>theorised</w:t>
            </w:r>
            <w:proofErr w:type="spellEnd"/>
            <w:r w:rsidR="00675BC5" w:rsidRPr="00675BC5">
              <w:rPr>
                <w:rFonts w:ascii="Gill Sans" w:hAnsi="Gill Sans" w:cs="Gill Sans"/>
                <w:bCs/>
                <w:color w:val="000000"/>
                <w:szCs w:val="22"/>
              </w:rPr>
              <w:t>, and underpinned by unquestioned and normative assumptions regarding what transition might mean</w:t>
            </w:r>
            <w:r w:rsidR="00675BC5">
              <w:rPr>
                <w:rFonts w:ascii="Gill Sans" w:hAnsi="Gill Sans" w:cs="Gill Sans"/>
                <w:bCs/>
                <w:color w:val="000000"/>
                <w:szCs w:val="22"/>
              </w:rPr>
              <w:t>” (p.1)</w:t>
            </w:r>
            <w:r w:rsidR="001D5CDD">
              <w:rPr>
                <w:rFonts w:ascii="Gill Sans" w:hAnsi="Gill Sans" w:cs="Gill Sans"/>
                <w:bCs/>
                <w:color w:val="000000"/>
                <w:szCs w:val="22"/>
              </w:rPr>
              <w:t xml:space="preserve">, which result in grand narratives that drive reductive and overly-simplistic policy and practice. Transitions commonly understood as best if ‘smooth’, with metaphors of bridging and gaps dominant in the literature. Other discourses that circulate around discussions of transition = deficit, resilience, homogeneity, ritual, linearity, journeys, stages, pathways </w:t>
            </w:r>
          </w:p>
          <w:p w14:paraId="2E3BFCDC" w14:textId="1218D65F" w:rsidR="00E75BB4" w:rsidRPr="00675BC5" w:rsidRDefault="00E75BB4" w:rsidP="00E75BB4">
            <w:pPr>
              <w:rPr>
                <w:rFonts w:ascii="Gill Sans" w:hAnsi="Gill Sans" w:cs="Gill Sans"/>
                <w:bCs/>
                <w:color w:val="000000"/>
                <w:szCs w:val="22"/>
                <w:lang w:val="en-AU"/>
              </w:rPr>
            </w:pPr>
            <w:r w:rsidRPr="00076E76">
              <w:rPr>
                <w:rFonts w:ascii="Gill Sans" w:hAnsi="Gill Sans" w:cs="Gill Sans"/>
                <w:b/>
                <w:color w:val="000000"/>
                <w:szCs w:val="22"/>
                <w:lang w:val="en-AU"/>
              </w:rPr>
              <w:t xml:space="preserve">Aim: </w:t>
            </w:r>
            <w:r w:rsidR="00675BC5">
              <w:rPr>
                <w:rFonts w:ascii="Gill Sans" w:hAnsi="Gill Sans" w:cs="Gill Sans"/>
                <w:bCs/>
                <w:color w:val="000000"/>
                <w:szCs w:val="22"/>
                <w:lang w:val="en-AU"/>
              </w:rPr>
              <w:t>To “</w:t>
            </w:r>
            <w:r w:rsidR="00675BC5" w:rsidRPr="00675BC5">
              <w:rPr>
                <w:rFonts w:ascii="Gill Sans" w:hAnsi="Gill Sans" w:cs="Gill Sans"/>
                <w:bCs/>
                <w:color w:val="000000"/>
                <w:szCs w:val="22"/>
                <w:lang w:val="en-AU"/>
              </w:rPr>
              <w:t>examine the conceptions of transition held by academic and professional staff, who work to support students’ learning into and through higher education</w:t>
            </w:r>
            <w:r w:rsidR="00675BC5">
              <w:rPr>
                <w:rFonts w:ascii="Gill Sans" w:hAnsi="Gill Sans" w:cs="Gill Sans"/>
                <w:bCs/>
                <w:color w:val="000000"/>
                <w:szCs w:val="22"/>
                <w:lang w:val="en-AU"/>
              </w:rPr>
              <w:t>” (p.1)</w:t>
            </w:r>
          </w:p>
          <w:p w14:paraId="300B2ADF" w14:textId="77777777" w:rsidR="00741300" w:rsidRDefault="00E75BB4" w:rsidP="00E75BB4">
            <w:pPr>
              <w:rPr>
                <w:rFonts w:ascii="Gill Sans" w:hAnsi="Gill Sans" w:cs="Gill Sans"/>
                <w:b/>
                <w:color w:val="000000"/>
                <w:szCs w:val="22"/>
                <w:lang w:val="en-AU"/>
              </w:rPr>
            </w:pPr>
            <w:r w:rsidRPr="00076E76">
              <w:rPr>
                <w:rFonts w:ascii="Gill Sans" w:hAnsi="Gill Sans" w:cs="Gill Sans"/>
                <w:b/>
                <w:color w:val="000000"/>
                <w:szCs w:val="22"/>
                <w:lang w:val="en-AU"/>
              </w:rPr>
              <w:t>Theoretical frame:</w:t>
            </w:r>
            <w:r w:rsidR="001D5CDD">
              <w:rPr>
                <w:rFonts w:ascii="Gill Sans" w:hAnsi="Gill Sans" w:cs="Gill Sans"/>
                <w:b/>
                <w:color w:val="000000"/>
                <w:szCs w:val="22"/>
                <w:lang w:val="en-AU"/>
              </w:rPr>
              <w:t xml:space="preserve"> </w:t>
            </w:r>
          </w:p>
          <w:p w14:paraId="227EB18A" w14:textId="77777777" w:rsidR="00741300" w:rsidRDefault="001D5CDD" w:rsidP="00E75BB4">
            <w:pPr>
              <w:rPr>
                <w:rFonts w:ascii="Gill Sans" w:hAnsi="Gill Sans" w:cs="Gill Sans"/>
                <w:bCs/>
                <w:color w:val="000000"/>
                <w:szCs w:val="22"/>
                <w:lang w:val="en-AU"/>
              </w:rPr>
            </w:pPr>
            <w:r>
              <w:rPr>
                <w:rFonts w:ascii="Gill Sans" w:hAnsi="Gill Sans" w:cs="Gill Sans"/>
                <w:bCs/>
                <w:color w:val="000000"/>
                <w:szCs w:val="22"/>
                <w:lang w:val="en-AU"/>
              </w:rPr>
              <w:t>Grand narrative (Lyotard, 1984): “</w:t>
            </w:r>
            <w:r w:rsidRPr="001D5CDD">
              <w:rPr>
                <w:rFonts w:ascii="Gill Sans" w:hAnsi="Gill Sans" w:cs="Gill Sans"/>
                <w:bCs/>
                <w:color w:val="000000"/>
                <w:szCs w:val="22"/>
                <w:lang w:val="en-AU"/>
              </w:rPr>
              <w:t>a pervasive, embedded, cultural narrative which organises and tot</w:t>
            </w:r>
            <w:r>
              <w:rPr>
                <w:rFonts w:ascii="Gill Sans" w:hAnsi="Gill Sans" w:cs="Gill Sans"/>
                <w:bCs/>
                <w:color w:val="000000"/>
                <w:szCs w:val="22"/>
                <w:lang w:val="en-AU"/>
              </w:rPr>
              <w:t>a</w:t>
            </w:r>
            <w:r w:rsidRPr="001D5CDD">
              <w:rPr>
                <w:rFonts w:ascii="Gill Sans" w:hAnsi="Gill Sans" w:cs="Gill Sans"/>
                <w:bCs/>
                <w:color w:val="000000"/>
                <w:szCs w:val="22"/>
                <w:lang w:val="en-AU"/>
              </w:rPr>
              <w:t xml:space="preserve">lises </w:t>
            </w:r>
            <w:r w:rsidRPr="001D5CDD">
              <w:rPr>
                <w:rFonts w:ascii="Gill Sans" w:hAnsi="Gill Sans" w:cs="Gill Sans"/>
                <w:bCs/>
                <w:color w:val="000000"/>
                <w:szCs w:val="22"/>
                <w:lang w:val="en-AU"/>
              </w:rPr>
              <w:lastRenderedPageBreak/>
              <w:t>knowledge and experience</w:t>
            </w:r>
            <w:r>
              <w:rPr>
                <w:rFonts w:ascii="Gill Sans" w:hAnsi="Gill Sans" w:cs="Gill Sans"/>
                <w:bCs/>
                <w:color w:val="000000"/>
                <w:szCs w:val="22"/>
                <w:lang w:val="en-AU"/>
              </w:rPr>
              <w:t xml:space="preserve">” (p.2). </w:t>
            </w:r>
          </w:p>
          <w:p w14:paraId="186E813C" w14:textId="77777777" w:rsidR="00741300" w:rsidRDefault="001D5CDD" w:rsidP="00E75BB4">
            <w:pPr>
              <w:rPr>
                <w:rFonts w:ascii="Gill Sans" w:hAnsi="Gill Sans" w:cs="Gill Sans"/>
                <w:bCs/>
                <w:color w:val="000000"/>
                <w:szCs w:val="22"/>
                <w:lang w:val="en-AU"/>
              </w:rPr>
            </w:pPr>
            <w:r>
              <w:rPr>
                <w:rFonts w:ascii="Gill Sans" w:hAnsi="Gill Sans" w:cs="Gill Sans"/>
                <w:bCs/>
                <w:color w:val="000000"/>
                <w:szCs w:val="22"/>
                <w:lang w:val="en-AU"/>
              </w:rPr>
              <w:t>Pedagogic frailty (</w:t>
            </w:r>
            <w:proofErr w:type="spellStart"/>
            <w:r>
              <w:rPr>
                <w:rFonts w:ascii="Gill Sans" w:hAnsi="Gill Sans" w:cs="Gill Sans"/>
                <w:bCs/>
                <w:color w:val="000000"/>
                <w:szCs w:val="22"/>
                <w:lang w:val="en-AU"/>
              </w:rPr>
              <w:t>Kinchin</w:t>
            </w:r>
            <w:proofErr w:type="spellEnd"/>
            <w:r>
              <w:rPr>
                <w:rFonts w:ascii="Gill Sans" w:hAnsi="Gill Sans" w:cs="Gill Sans"/>
                <w:bCs/>
                <w:color w:val="000000"/>
                <w:szCs w:val="22"/>
                <w:lang w:val="en-AU"/>
              </w:rPr>
              <w:t xml:space="preserve"> &amp; </w:t>
            </w:r>
            <w:proofErr w:type="spellStart"/>
            <w:r>
              <w:rPr>
                <w:rFonts w:ascii="Gill Sans" w:hAnsi="Gill Sans" w:cs="Gill Sans"/>
                <w:bCs/>
                <w:color w:val="000000"/>
                <w:szCs w:val="22"/>
                <w:lang w:val="en-AU"/>
              </w:rPr>
              <w:t>Winstone</w:t>
            </w:r>
            <w:proofErr w:type="spellEnd"/>
            <w:r>
              <w:rPr>
                <w:rFonts w:ascii="Gill Sans" w:hAnsi="Gill Sans" w:cs="Gill Sans"/>
                <w:bCs/>
                <w:color w:val="000000"/>
                <w:szCs w:val="22"/>
                <w:lang w:val="en-AU"/>
              </w:rPr>
              <w:t>, 2017) = “</w:t>
            </w:r>
            <w:r w:rsidRPr="001D5CDD">
              <w:rPr>
                <w:rFonts w:ascii="Gill Sans" w:hAnsi="Gill Sans" w:cs="Gill Sans"/>
                <w:bCs/>
                <w:color w:val="000000"/>
                <w:szCs w:val="22"/>
                <w:lang w:val="en-AU"/>
              </w:rPr>
              <w:t>a dis- connection between the practices of the discipline with the pedagogy that underpins the discipline, or tensions between the academic and decision-making bodies (locus of control) that regulate teaching</w:t>
            </w:r>
            <w:r>
              <w:rPr>
                <w:rFonts w:ascii="Gill Sans" w:hAnsi="Gill Sans" w:cs="Gill Sans"/>
                <w:bCs/>
                <w:color w:val="000000"/>
                <w:szCs w:val="22"/>
                <w:lang w:val="en-AU"/>
              </w:rPr>
              <w:t>” (p.4)</w:t>
            </w:r>
            <w:r w:rsidR="00741300">
              <w:rPr>
                <w:rFonts w:ascii="Gill Sans" w:hAnsi="Gill Sans" w:cs="Gill Sans"/>
                <w:bCs/>
                <w:color w:val="000000"/>
                <w:szCs w:val="22"/>
                <w:lang w:val="en-AU"/>
              </w:rPr>
              <w:t xml:space="preserve">. </w:t>
            </w:r>
          </w:p>
          <w:p w14:paraId="565BF782" w14:textId="67462162" w:rsidR="001D5CDD" w:rsidRPr="001D5CDD" w:rsidRDefault="00741300" w:rsidP="00E75BB4">
            <w:pPr>
              <w:rPr>
                <w:rFonts w:ascii="Gill Sans" w:hAnsi="Gill Sans" w:cs="Gill Sans"/>
                <w:bCs/>
                <w:color w:val="000000"/>
                <w:szCs w:val="22"/>
                <w:lang w:val="en-AU"/>
              </w:rPr>
            </w:pPr>
            <w:r>
              <w:rPr>
                <w:rFonts w:ascii="Gill Sans" w:hAnsi="Gill Sans" w:cs="Gill Sans"/>
                <w:bCs/>
                <w:color w:val="000000"/>
                <w:szCs w:val="22"/>
                <w:lang w:val="en-AU"/>
              </w:rPr>
              <w:t xml:space="preserve">Unlearning (Land, </w:t>
            </w:r>
            <w:proofErr w:type="spellStart"/>
            <w:r>
              <w:rPr>
                <w:rFonts w:ascii="Gill Sans" w:hAnsi="Gill Sans" w:cs="Gill Sans"/>
                <w:bCs/>
                <w:color w:val="000000"/>
                <w:szCs w:val="22"/>
                <w:lang w:val="en-AU"/>
              </w:rPr>
              <w:t>Rattay</w:t>
            </w:r>
            <w:proofErr w:type="spellEnd"/>
            <w:r>
              <w:rPr>
                <w:rFonts w:ascii="Gill Sans" w:hAnsi="Gill Sans" w:cs="Gill Sans"/>
                <w:bCs/>
                <w:color w:val="000000"/>
                <w:szCs w:val="22"/>
                <w:lang w:val="en-AU"/>
              </w:rPr>
              <w:t xml:space="preserve"> &amp; Vivian) = recalibration of existing ways of being, knowing and doing before learning new ways (see also Spivak, 1992).</w:t>
            </w:r>
          </w:p>
          <w:p w14:paraId="5F75F07B" w14:textId="76B1412D" w:rsidR="00E75BB4" w:rsidRPr="00675BC5" w:rsidRDefault="00E75BB4" w:rsidP="00E75BB4">
            <w:pPr>
              <w:rPr>
                <w:rFonts w:ascii="Gill Sans" w:hAnsi="Gill Sans" w:cs="Gill Sans"/>
                <w:bCs/>
                <w:color w:val="000000"/>
                <w:szCs w:val="22"/>
                <w:lang w:val="en-AU"/>
              </w:rPr>
            </w:pPr>
            <w:r w:rsidRPr="00076E76">
              <w:rPr>
                <w:rFonts w:ascii="Gill Sans" w:hAnsi="Gill Sans" w:cs="Gill Sans"/>
                <w:b/>
                <w:color w:val="000000"/>
                <w:szCs w:val="22"/>
                <w:lang w:val="en-AU"/>
              </w:rPr>
              <w:t xml:space="preserve">Methodology: </w:t>
            </w:r>
            <w:r w:rsidR="00675BC5">
              <w:rPr>
                <w:rFonts w:ascii="Gill Sans" w:hAnsi="Gill Sans" w:cs="Gill Sans"/>
                <w:bCs/>
                <w:color w:val="000000"/>
                <w:szCs w:val="22"/>
                <w:lang w:val="en-AU"/>
              </w:rPr>
              <w:t>Concept map-mediated interviews</w:t>
            </w:r>
            <w:r w:rsidR="001D5CDD">
              <w:rPr>
                <w:rFonts w:ascii="Gill Sans" w:hAnsi="Gill Sans" w:cs="Gill Sans"/>
                <w:bCs/>
                <w:color w:val="000000"/>
                <w:szCs w:val="22"/>
                <w:lang w:val="en-AU"/>
              </w:rPr>
              <w:t xml:space="preserve"> “</w:t>
            </w:r>
            <w:r w:rsidR="001D5CDD" w:rsidRPr="001D5CDD">
              <w:rPr>
                <w:rFonts w:ascii="Gill Sans" w:hAnsi="Gill Sans" w:cs="Gill Sans"/>
                <w:bCs/>
                <w:color w:val="000000"/>
                <w:szCs w:val="22"/>
                <w:lang w:val="en-AU"/>
              </w:rPr>
              <w:t>to surface and to unravel staff conceptions of learning, unlearning and transition and we seek to unsettle established and normative conceptions of transition to higher education</w:t>
            </w:r>
            <w:r w:rsidR="001D5CDD">
              <w:rPr>
                <w:rFonts w:ascii="Gill Sans" w:hAnsi="Gill Sans" w:cs="Gill Sans"/>
                <w:bCs/>
                <w:color w:val="000000"/>
                <w:szCs w:val="22"/>
                <w:lang w:val="en-AU"/>
              </w:rPr>
              <w:t>” (p.2)</w:t>
            </w:r>
            <w:r w:rsidR="00741300">
              <w:rPr>
                <w:rFonts w:ascii="Gill Sans" w:hAnsi="Gill Sans" w:cs="Gill Sans"/>
                <w:bCs/>
                <w:color w:val="000000"/>
                <w:szCs w:val="22"/>
                <w:lang w:val="en-AU"/>
              </w:rPr>
              <w:t>. Research in two research-intensive universities, one of which has higher-than-average intake of equity (BAME/ low SES/FinF) students. Methods: concept-map mediated interviews (CMMI) with staff (n=7; 2m, 5f; 3 academics, 4 professional staff). CMMI = unstructured; interview starts with one prompt question (</w:t>
            </w:r>
            <w:r w:rsidR="00741300" w:rsidRPr="00741300">
              <w:rPr>
                <w:rFonts w:ascii="Gill Sans" w:hAnsi="Gill Sans" w:cs="Gill Sans"/>
                <w:bCs/>
                <w:color w:val="000000"/>
                <w:szCs w:val="22"/>
                <w:lang w:val="en-AU"/>
              </w:rPr>
              <w:t>‘from your perspective what knowledge, skills and practices do you perceive students must let go of, or develop, in order to transition into and through university?’</w:t>
            </w:r>
            <w:r w:rsidR="00741300">
              <w:rPr>
                <w:rFonts w:ascii="Gill Sans" w:hAnsi="Gill Sans" w:cs="Gill Sans"/>
                <w:bCs/>
                <w:color w:val="000000"/>
                <w:szCs w:val="22"/>
                <w:lang w:val="en-AU"/>
              </w:rPr>
              <w:t>; p.5); concepts mentioned = written on post-it notes so the interviewer can recount the interview back to participant, who is then asked to organise the concept post-</w:t>
            </w:r>
            <w:proofErr w:type="spellStart"/>
            <w:r w:rsidR="00741300">
              <w:rPr>
                <w:rFonts w:ascii="Gill Sans" w:hAnsi="Gill Sans" w:cs="Gill Sans"/>
                <w:bCs/>
                <w:color w:val="000000"/>
                <w:szCs w:val="22"/>
                <w:lang w:val="en-AU"/>
              </w:rPr>
              <w:t>its</w:t>
            </w:r>
            <w:proofErr w:type="spellEnd"/>
            <w:r w:rsidR="00741300">
              <w:rPr>
                <w:rFonts w:ascii="Gill Sans" w:hAnsi="Gill Sans" w:cs="Gill Sans"/>
                <w:bCs/>
                <w:color w:val="000000"/>
                <w:szCs w:val="22"/>
                <w:lang w:val="en-AU"/>
              </w:rPr>
              <w:t xml:space="preserve"> on a piece of A3 paper, “i</w:t>
            </w:r>
            <w:r w:rsidR="00741300" w:rsidRPr="00741300">
              <w:rPr>
                <w:rFonts w:ascii="Gill Sans" w:hAnsi="Gill Sans" w:cs="Gill Sans"/>
                <w:bCs/>
                <w:color w:val="000000"/>
                <w:szCs w:val="22"/>
                <w:lang w:val="en-AU"/>
              </w:rPr>
              <w:t>n order to interrogate the intended meaning and maximise the explanatory power of the links in the map</w:t>
            </w:r>
            <w:r w:rsidR="00741300">
              <w:rPr>
                <w:rFonts w:ascii="Gill Sans" w:hAnsi="Gill Sans" w:cs="Gill Sans"/>
                <w:bCs/>
                <w:color w:val="000000"/>
                <w:szCs w:val="22"/>
                <w:lang w:val="en-AU"/>
              </w:rPr>
              <w:t>” (p.6). After interview, concept map = recreated in PowerPoint and sent to participant for member validation. Maps = coded inductively using NVivo</w:t>
            </w:r>
          </w:p>
          <w:p w14:paraId="6A18BFA8" w14:textId="77777777" w:rsidR="00741300" w:rsidRDefault="00E75BB4" w:rsidP="00E75BB4">
            <w:pPr>
              <w:rPr>
                <w:rFonts w:ascii="Gill Sans" w:hAnsi="Gill Sans" w:cs="Gill Sans"/>
                <w:bCs/>
                <w:color w:val="000000"/>
                <w:szCs w:val="22"/>
                <w:lang w:val="en-AU"/>
              </w:rPr>
            </w:pPr>
            <w:r w:rsidRPr="00076E76">
              <w:rPr>
                <w:rFonts w:ascii="Gill Sans" w:hAnsi="Gill Sans" w:cs="Gill Sans"/>
                <w:b/>
                <w:color w:val="000000"/>
                <w:szCs w:val="22"/>
                <w:lang w:val="en-AU"/>
              </w:rPr>
              <w:t xml:space="preserve">Findings: </w:t>
            </w:r>
            <w:r w:rsidR="001D5CDD">
              <w:rPr>
                <w:rFonts w:ascii="Gill Sans" w:hAnsi="Gill Sans" w:cs="Gill Sans"/>
                <w:bCs/>
                <w:color w:val="000000"/>
                <w:szCs w:val="22"/>
                <w:lang w:val="en-AU"/>
              </w:rPr>
              <w:t>Staff draw heavily on normative conceptions of transitions</w:t>
            </w:r>
          </w:p>
          <w:p w14:paraId="0C25E731" w14:textId="77777777" w:rsidR="00741300" w:rsidRDefault="00741300" w:rsidP="00E75BB4">
            <w:pPr>
              <w:rPr>
                <w:rFonts w:ascii="Gill Sans" w:hAnsi="Gill Sans" w:cs="Gill Sans"/>
                <w:bCs/>
                <w:color w:val="000000"/>
                <w:szCs w:val="22"/>
                <w:lang w:val="en-AU"/>
              </w:rPr>
            </w:pPr>
            <w:r w:rsidRPr="00741300">
              <w:rPr>
                <w:rFonts w:ascii="Gill Sans" w:hAnsi="Gill Sans" w:cs="Gill Sans"/>
                <w:bCs/>
                <w:i/>
                <w:iCs/>
                <w:color w:val="000000"/>
                <w:szCs w:val="22"/>
                <w:lang w:val="en-AU"/>
              </w:rPr>
              <w:t>Students in defici</w:t>
            </w:r>
            <w:r>
              <w:rPr>
                <w:rFonts w:ascii="Gill Sans" w:hAnsi="Gill Sans" w:cs="Gill Sans"/>
                <w:bCs/>
                <w:i/>
                <w:iCs/>
                <w:color w:val="000000"/>
                <w:szCs w:val="22"/>
                <w:lang w:val="en-AU"/>
              </w:rPr>
              <w:t xml:space="preserve">t: </w:t>
            </w:r>
            <w:r>
              <w:rPr>
                <w:rFonts w:ascii="Gill Sans" w:hAnsi="Gill Sans" w:cs="Gill Sans"/>
                <w:bCs/>
                <w:color w:val="000000"/>
                <w:szCs w:val="22"/>
                <w:lang w:val="en-AU"/>
              </w:rPr>
              <w:t>commonly indexed, using terms like ‘</w:t>
            </w:r>
            <w:proofErr w:type="spellStart"/>
            <w:r>
              <w:rPr>
                <w:rFonts w:ascii="Gill Sans" w:hAnsi="Gill Sans" w:cs="Gill Sans"/>
                <w:bCs/>
                <w:color w:val="000000"/>
                <w:szCs w:val="22"/>
                <w:lang w:val="en-AU"/>
              </w:rPr>
              <w:t>spoonfeeding</w:t>
            </w:r>
            <w:proofErr w:type="spellEnd"/>
            <w:r>
              <w:rPr>
                <w:rFonts w:ascii="Gill Sans" w:hAnsi="Gill Sans" w:cs="Gill Sans"/>
                <w:bCs/>
                <w:color w:val="000000"/>
                <w:szCs w:val="22"/>
                <w:lang w:val="en-AU"/>
              </w:rPr>
              <w:t>’, lack of preparation</w:t>
            </w:r>
          </w:p>
          <w:p w14:paraId="32CB3C95" w14:textId="77777777" w:rsidR="005379D0" w:rsidRDefault="00741300" w:rsidP="00E75BB4">
            <w:pPr>
              <w:rPr>
                <w:rFonts w:ascii="Gill Sans" w:hAnsi="Gill Sans" w:cs="Gill Sans"/>
                <w:bCs/>
                <w:color w:val="000000"/>
                <w:szCs w:val="22"/>
                <w:lang w:val="en-AU"/>
              </w:rPr>
            </w:pPr>
            <w:r>
              <w:rPr>
                <w:rFonts w:ascii="Gill Sans" w:hAnsi="Gill Sans" w:cs="Gill Sans"/>
                <w:bCs/>
                <w:i/>
                <w:iCs/>
                <w:color w:val="000000"/>
                <w:szCs w:val="22"/>
                <w:lang w:val="en-AU"/>
              </w:rPr>
              <w:t>Grey mindsets</w:t>
            </w:r>
            <w:r>
              <w:rPr>
                <w:rFonts w:ascii="Gill Sans" w:hAnsi="Gill Sans" w:cs="Gill Sans"/>
                <w:bCs/>
                <w:color w:val="000000"/>
                <w:szCs w:val="22"/>
                <w:lang w:val="en-AU"/>
              </w:rPr>
              <w:t>:</w:t>
            </w:r>
            <w:r w:rsidR="005379D0">
              <w:rPr>
                <w:rFonts w:ascii="Gill Sans" w:hAnsi="Gill Sans" w:cs="Gill Sans"/>
                <w:bCs/>
                <w:color w:val="000000"/>
                <w:szCs w:val="22"/>
                <w:lang w:val="en-AU"/>
              </w:rPr>
              <w:t xml:space="preserve"> relating to epistemological shifts/ unlearning</w:t>
            </w:r>
          </w:p>
          <w:p w14:paraId="09D2D2D5" w14:textId="56E88746" w:rsidR="005379D0" w:rsidRDefault="005379D0" w:rsidP="00E75BB4">
            <w:pPr>
              <w:rPr>
                <w:rFonts w:ascii="Gill Sans" w:hAnsi="Gill Sans" w:cs="Gill Sans"/>
                <w:bCs/>
                <w:color w:val="000000"/>
                <w:szCs w:val="22"/>
                <w:lang w:val="en-AU"/>
              </w:rPr>
            </w:pPr>
            <w:r>
              <w:rPr>
                <w:rFonts w:ascii="Gill Sans" w:hAnsi="Gill Sans" w:cs="Gill Sans"/>
                <w:bCs/>
                <w:i/>
                <w:iCs/>
                <w:color w:val="000000"/>
                <w:szCs w:val="22"/>
                <w:lang w:val="en-AU"/>
              </w:rPr>
              <w:t>Changing relations between students and staff</w:t>
            </w:r>
            <w:r>
              <w:rPr>
                <w:rFonts w:ascii="Gill Sans" w:hAnsi="Gill Sans" w:cs="Gill Sans"/>
                <w:bCs/>
                <w:color w:val="000000"/>
                <w:szCs w:val="22"/>
                <w:lang w:val="en-AU"/>
              </w:rPr>
              <w:t>: shifting perceptions about ‘teacher as expert’ and students’ role; also, students need to shift language (e.g. moving from calling educator ‘Miss’ to first name/ teacher to lecturer), and students recognising importance of support staff (and using them)</w:t>
            </w:r>
          </w:p>
          <w:p w14:paraId="61FD8C7D" w14:textId="77777777" w:rsidR="005032DB" w:rsidRDefault="005379D0" w:rsidP="00E75BB4">
            <w:pPr>
              <w:rPr>
                <w:rFonts w:ascii="Gill Sans" w:hAnsi="Gill Sans" w:cs="Gill Sans"/>
                <w:bCs/>
                <w:color w:val="000000"/>
                <w:szCs w:val="22"/>
                <w:lang w:val="en-AU"/>
              </w:rPr>
            </w:pPr>
            <w:r>
              <w:rPr>
                <w:rFonts w:ascii="Gill Sans" w:hAnsi="Gill Sans" w:cs="Gill Sans"/>
                <w:bCs/>
                <w:color w:val="000000"/>
                <w:szCs w:val="22"/>
                <w:lang w:val="en-AU"/>
              </w:rPr>
              <w:t xml:space="preserve">Participants also recognised the </w:t>
            </w:r>
            <w:r w:rsidR="005032DB">
              <w:rPr>
                <w:rFonts w:ascii="Gill Sans" w:hAnsi="Gill Sans" w:cs="Gill Sans"/>
                <w:bCs/>
                <w:color w:val="000000"/>
                <w:szCs w:val="22"/>
                <w:lang w:val="en-AU"/>
              </w:rPr>
              <w:t>non-human actors that complicate students’ transitions, such as campus layout, curriculum design, finances, system v. values, neoliberal ideology and efficiency mechanisms.</w:t>
            </w:r>
          </w:p>
          <w:p w14:paraId="0764FB9C" w14:textId="77777777" w:rsidR="00095417" w:rsidRDefault="005032DB" w:rsidP="00E75BB4">
            <w:pPr>
              <w:rPr>
                <w:rFonts w:ascii="Gill Sans" w:hAnsi="Gill Sans" w:cs="Gill Sans"/>
                <w:bCs/>
                <w:color w:val="000000"/>
                <w:szCs w:val="22"/>
                <w:lang w:val="en-AU"/>
              </w:rPr>
            </w:pPr>
            <w:r w:rsidRPr="005032DB">
              <w:rPr>
                <w:rFonts w:ascii="Gill Sans" w:hAnsi="Gill Sans" w:cs="Gill Sans"/>
                <w:bCs/>
                <w:color w:val="000000"/>
                <w:szCs w:val="22"/>
                <w:lang w:val="en-AU"/>
              </w:rPr>
              <w:t>Concept map</w:t>
            </w:r>
            <w:r>
              <w:rPr>
                <w:rFonts w:ascii="Gill Sans" w:hAnsi="Gill Sans" w:cs="Gill Sans"/>
                <w:bCs/>
                <w:color w:val="000000"/>
                <w:szCs w:val="22"/>
                <w:lang w:val="en-AU"/>
              </w:rPr>
              <w:t>s also highlight divergence from grand narrative, with participants recognising that students’ transitions are complex, multiple, individual/ heterogeneous</w:t>
            </w:r>
            <w:r w:rsidR="00E75BB4" w:rsidRPr="00076E76">
              <w:rPr>
                <w:rFonts w:ascii="Gill Sans" w:hAnsi="Gill Sans" w:cs="Gill Sans"/>
                <w:b/>
                <w:color w:val="000000"/>
                <w:szCs w:val="22"/>
                <w:lang w:val="en-AU"/>
              </w:rPr>
              <w:br/>
              <w:t>Core argument:</w:t>
            </w:r>
            <w:r>
              <w:rPr>
                <w:rFonts w:ascii="Gill Sans" w:hAnsi="Gill Sans" w:cs="Gill Sans"/>
                <w:b/>
                <w:color w:val="000000"/>
                <w:szCs w:val="22"/>
                <w:lang w:val="en-AU"/>
              </w:rPr>
              <w:t xml:space="preserve"> </w:t>
            </w:r>
            <w:r>
              <w:rPr>
                <w:rFonts w:ascii="Gill Sans" w:hAnsi="Gill Sans" w:cs="Gill Sans"/>
                <w:bCs/>
                <w:color w:val="000000"/>
                <w:szCs w:val="22"/>
                <w:lang w:val="en-AU"/>
              </w:rPr>
              <w:t>Although commonalities were observed in participants’ talk and concept mapping with regard to normative understandings of transition that foregrounded students’ deficits and need to assimilate to higher education, the deviations from this script also suggest that staff are aware of more heterogeneous experiences of transition, which points to pedagogic frailty:</w:t>
            </w:r>
          </w:p>
          <w:p w14:paraId="334C4108" w14:textId="69E383E9" w:rsidR="005032DB" w:rsidRPr="005032DB" w:rsidRDefault="005032DB" w:rsidP="00E75BB4">
            <w:pPr>
              <w:rPr>
                <w:rFonts w:ascii="Gill Sans" w:hAnsi="Gill Sans" w:cs="Gill Sans"/>
                <w:bCs/>
                <w:color w:val="000000"/>
                <w:szCs w:val="22"/>
                <w:lang w:val="en-AU"/>
              </w:rPr>
            </w:pPr>
            <w:r>
              <w:rPr>
                <w:rFonts w:ascii="Gill Sans" w:hAnsi="Gill Sans" w:cs="Gill Sans"/>
                <w:bCs/>
                <w:color w:val="000000"/>
                <w:szCs w:val="22"/>
                <w:lang w:val="en-AU"/>
              </w:rPr>
              <w:t>“</w:t>
            </w:r>
            <w:r w:rsidRPr="005032DB">
              <w:rPr>
                <w:rFonts w:ascii="Gill Sans" w:hAnsi="Gill Sans" w:cs="Gill Sans"/>
                <w:bCs/>
                <w:color w:val="000000"/>
                <w:szCs w:val="22"/>
                <w:lang w:val="en-AU"/>
              </w:rPr>
              <w:t xml:space="preserve">Tensions within these landscapes can be viewed as a signifier of pedagogic frailty within the system, as </w:t>
            </w:r>
            <w:r w:rsidRPr="005032DB">
              <w:rPr>
                <w:rFonts w:ascii="Gill Sans" w:hAnsi="Gill Sans" w:cs="Gill Sans"/>
                <w:bCs/>
                <w:color w:val="000000"/>
                <w:szCs w:val="22"/>
                <w:lang w:val="en-AU"/>
              </w:rPr>
              <w:lastRenderedPageBreak/>
              <w:t>opposed to an individual vulnerability or deficit. Frailty may occur where an individual’s views conflict with other views in the institution or where the values espoused within institutions jostle uncomfortably with environmental</w:t>
            </w:r>
            <w:r>
              <w:rPr>
                <w:rFonts w:ascii="Gill Sans" w:hAnsi="Gill Sans" w:cs="Gill Sans"/>
                <w:bCs/>
                <w:color w:val="000000"/>
                <w:szCs w:val="22"/>
                <w:lang w:val="en-AU"/>
              </w:rPr>
              <w:t xml:space="preserve"> </w:t>
            </w:r>
            <w:r w:rsidRPr="005032DB">
              <w:rPr>
                <w:rFonts w:ascii="Gill Sans" w:hAnsi="Gill Sans" w:cs="Gill Sans"/>
                <w:bCs/>
                <w:color w:val="000000"/>
                <w:szCs w:val="22"/>
                <w:lang w:val="en-AU"/>
              </w:rPr>
              <w:t>or systemic constraints</w:t>
            </w:r>
            <w:r>
              <w:rPr>
                <w:rFonts w:ascii="Gill Sans" w:hAnsi="Gill Sans" w:cs="Gill Sans"/>
                <w:bCs/>
                <w:color w:val="000000"/>
                <w:szCs w:val="22"/>
                <w:lang w:val="en-AU"/>
              </w:rPr>
              <w:t>” (p.10–11)</w:t>
            </w:r>
          </w:p>
        </w:tc>
      </w:tr>
      <w:tr w:rsidR="00F934ED" w:rsidRPr="00076E76" w14:paraId="3C560084" w14:textId="77777777" w:rsidTr="00EE424E">
        <w:tc>
          <w:tcPr>
            <w:tcW w:w="5529" w:type="dxa"/>
            <w:shd w:val="clear" w:color="auto" w:fill="auto"/>
          </w:tcPr>
          <w:p w14:paraId="46205B8A" w14:textId="72535D6B" w:rsidR="00F934ED" w:rsidRPr="00076E76" w:rsidRDefault="00F934ED" w:rsidP="00F934ED">
            <w:pPr>
              <w:rPr>
                <w:rFonts w:ascii="Gill Sans" w:hAnsi="Gill Sans" w:cs="Gill Sans"/>
                <w:szCs w:val="22"/>
              </w:rPr>
            </w:pPr>
            <w:r w:rsidRPr="00076E76">
              <w:rPr>
                <w:rFonts w:ascii="Gill Sans" w:hAnsi="Gill Sans" w:cs="Gill Sans"/>
                <w:szCs w:val="22"/>
              </w:rPr>
              <w:lastRenderedPageBreak/>
              <w:t xml:space="preserve">Green, A. (2007). </w:t>
            </w:r>
            <w:hyperlink r:id="rId71" w:history="1">
              <w:r w:rsidRPr="002B578B">
                <w:rPr>
                  <w:rStyle w:val="Hyperlink"/>
                  <w:rFonts w:ascii="Gill Sans" w:hAnsi="Gill Sans" w:cs="Gill Sans"/>
                  <w:szCs w:val="22"/>
                </w:rPr>
                <w:t>A Matter of Expectation: The Transition from School to University English</w:t>
              </w:r>
            </w:hyperlink>
            <w:r w:rsidRPr="00076E76">
              <w:rPr>
                <w:rFonts w:ascii="Gill Sans" w:hAnsi="Gill Sans" w:cs="Gill Sans"/>
                <w:szCs w:val="22"/>
              </w:rPr>
              <w:t xml:space="preserve">, </w:t>
            </w:r>
            <w:r w:rsidRPr="00076E76">
              <w:rPr>
                <w:rFonts w:ascii="Gill Sans" w:hAnsi="Gill Sans" w:cs="Gill Sans"/>
                <w:i/>
                <w:szCs w:val="22"/>
              </w:rPr>
              <w:t xml:space="preserve">Changing English: Studies in Culture and Education, </w:t>
            </w:r>
            <w:r w:rsidRPr="00076E76">
              <w:rPr>
                <w:rFonts w:ascii="Gill Sans" w:hAnsi="Gill Sans" w:cs="Gill Sans"/>
                <w:szCs w:val="22"/>
              </w:rPr>
              <w:t>14(2)</w:t>
            </w:r>
            <w:r>
              <w:rPr>
                <w:rFonts w:ascii="Gill Sans" w:hAnsi="Gill Sans" w:cs="Gill Sans"/>
                <w:szCs w:val="22"/>
              </w:rPr>
              <w:t>, 121–</w:t>
            </w:r>
            <w:r w:rsidRPr="00076E76">
              <w:rPr>
                <w:rFonts w:ascii="Gill Sans" w:hAnsi="Gill Sans" w:cs="Gill Sans"/>
                <w:szCs w:val="22"/>
              </w:rPr>
              <w:t>133.</w:t>
            </w:r>
          </w:p>
          <w:p w14:paraId="4765671D" w14:textId="77777777" w:rsidR="00F934ED" w:rsidRPr="00076E76" w:rsidRDefault="00F934ED" w:rsidP="00F934ED">
            <w:pPr>
              <w:rPr>
                <w:rFonts w:ascii="Gill Sans" w:hAnsi="Gill Sans" w:cs="Gill Sans"/>
                <w:szCs w:val="22"/>
              </w:rPr>
            </w:pPr>
          </w:p>
          <w:p w14:paraId="38200027" w14:textId="77777777" w:rsidR="00F934ED" w:rsidRPr="00076E76" w:rsidRDefault="00F934ED" w:rsidP="00F934ED">
            <w:pPr>
              <w:rPr>
                <w:rFonts w:ascii="Gill Sans" w:hAnsi="Gill Sans" w:cs="Gill Sans"/>
                <w:szCs w:val="22"/>
              </w:rPr>
            </w:pPr>
            <w:r w:rsidRPr="00076E76">
              <w:rPr>
                <w:rFonts w:ascii="Gill Sans" w:hAnsi="Gill Sans" w:cs="Gill Sans"/>
                <w:szCs w:val="22"/>
              </w:rPr>
              <w:t>UK</w:t>
            </w:r>
          </w:p>
          <w:p w14:paraId="02B804C9"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3EB2ADD0" w14:textId="77777777" w:rsidR="00F934ED" w:rsidRPr="00076E76" w:rsidRDefault="00F934ED" w:rsidP="00F934ED">
            <w:pPr>
              <w:rPr>
                <w:rFonts w:ascii="Gill Sans" w:hAnsi="Gill Sans" w:cs="Gill Sans"/>
                <w:szCs w:val="22"/>
              </w:rPr>
            </w:pPr>
          </w:p>
          <w:p w14:paraId="118EF218" w14:textId="5D281F7B" w:rsidR="00F934ED" w:rsidRPr="00076E76" w:rsidRDefault="00F934ED" w:rsidP="00F934ED">
            <w:pPr>
              <w:rPr>
                <w:rFonts w:ascii="Gill Sans" w:hAnsi="Gill Sans" w:cs="Gill Sans"/>
                <w:b/>
                <w:szCs w:val="22"/>
              </w:rPr>
            </w:pPr>
          </w:p>
        </w:tc>
        <w:tc>
          <w:tcPr>
            <w:tcW w:w="10064" w:type="dxa"/>
          </w:tcPr>
          <w:p w14:paraId="1CEE9E73" w14:textId="03080FE4" w:rsidR="00F934ED" w:rsidRPr="00273E8D"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Pr>
                <w:rFonts w:ascii="Gill Sans" w:hAnsi="Gill Sans" w:cs="Gill Sans"/>
                <w:color w:val="000000"/>
                <w:szCs w:val="22"/>
                <w:lang w:val="en-AU"/>
              </w:rPr>
              <w:t>‘Managing’ transitions from school to undergraduate English studies; author argues for centrality of subject construct, pedagogical assumptions, and expectations between students and teachers for understanding educational transitions. Themes from the literature foreground engagement with reading (particularly in terms of shifts in volume and difficulty of texts); mismatches in practices/ approaches to reading; secondary (wider) reading. Further challenges = shift to independent study, influence of assessment from A-levels, nature of contact with teaching staff</w:t>
            </w:r>
          </w:p>
          <w:p w14:paraId="09415315" w14:textId="77777777" w:rsidR="00F934ED" w:rsidRPr="00076E76" w:rsidRDefault="00F934ED" w:rsidP="00F934ED">
            <w:pPr>
              <w:rPr>
                <w:rFonts w:ascii="Gill Sans" w:hAnsi="Gill Sans" w:cs="Gill Sans"/>
                <w:b/>
                <w:color w:val="000000"/>
                <w:szCs w:val="22"/>
                <w:lang w:val="en-AU"/>
              </w:rPr>
            </w:pPr>
            <w:r w:rsidRPr="00076E76">
              <w:rPr>
                <w:rFonts w:ascii="Gill Sans" w:hAnsi="Gill Sans" w:cs="Gill Sans"/>
                <w:b/>
                <w:color w:val="000000"/>
                <w:szCs w:val="22"/>
                <w:lang w:val="en-AU"/>
              </w:rPr>
              <w:t xml:space="preserve">Aim: </w:t>
            </w:r>
          </w:p>
          <w:p w14:paraId="2A1D140A" w14:textId="6A10EEAF" w:rsidR="00F934ED" w:rsidRPr="00273E8D"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Theoretical frame:</w:t>
            </w:r>
            <w:r>
              <w:rPr>
                <w:rFonts w:ascii="Gill Sans" w:hAnsi="Gill Sans" w:cs="Gill Sans"/>
                <w:b/>
                <w:color w:val="000000"/>
                <w:szCs w:val="22"/>
                <w:lang w:val="en-AU"/>
              </w:rPr>
              <w:t xml:space="preserve"> </w:t>
            </w:r>
            <w:r>
              <w:rPr>
                <w:rFonts w:ascii="Gill Sans" w:hAnsi="Gill Sans" w:cs="Gill Sans"/>
                <w:color w:val="000000"/>
                <w:szCs w:val="22"/>
                <w:lang w:val="en-AU"/>
              </w:rPr>
              <w:t>Bourdieu’s notions of habitus and reproduction</w:t>
            </w:r>
          </w:p>
          <w:p w14:paraId="38967B15" w14:textId="3E60C89A" w:rsidR="00F934ED" w:rsidRPr="002F0421"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Pr>
                <w:rFonts w:ascii="Gill Sans" w:hAnsi="Gill Sans" w:cs="Gill Sans"/>
                <w:color w:val="000000"/>
                <w:szCs w:val="22"/>
                <w:lang w:val="en-AU"/>
              </w:rPr>
              <w:t xml:space="preserve">Surveys and interviews conducted with </w:t>
            </w:r>
            <w:r w:rsidRPr="002F0421">
              <w:rPr>
                <w:rFonts w:ascii="Gill Sans" w:hAnsi="Gill Sans" w:cs="Gill Sans"/>
                <w:color w:val="000000"/>
                <w:szCs w:val="22"/>
              </w:rPr>
              <w:t>sixth-form</w:t>
            </w:r>
            <w:r>
              <w:rPr>
                <w:rFonts w:ascii="Gill Sans" w:hAnsi="Gill Sans" w:cs="Gill Sans"/>
                <w:color w:val="000000"/>
                <w:szCs w:val="22"/>
              </w:rPr>
              <w:t xml:space="preserve"> </w:t>
            </w:r>
            <w:r w:rsidRPr="002F0421">
              <w:rPr>
                <w:rFonts w:ascii="Gill Sans" w:hAnsi="Gill Sans" w:cs="Gill Sans"/>
                <w:color w:val="000000"/>
                <w:szCs w:val="22"/>
              </w:rPr>
              <w:t>students, sixth-form teachers and lecturers, first-year undergraduate students and</w:t>
            </w:r>
            <w:r>
              <w:rPr>
                <w:rFonts w:ascii="Gill Sans" w:hAnsi="Gill Sans" w:cs="Gill Sans"/>
                <w:color w:val="000000"/>
                <w:szCs w:val="22"/>
              </w:rPr>
              <w:t xml:space="preserve"> </w:t>
            </w:r>
            <w:r w:rsidRPr="002F0421">
              <w:rPr>
                <w:rFonts w:ascii="Gill Sans" w:hAnsi="Gill Sans" w:cs="Gill Sans"/>
                <w:color w:val="000000"/>
                <w:szCs w:val="22"/>
              </w:rPr>
              <w:t>university lecturers</w:t>
            </w:r>
          </w:p>
          <w:p w14:paraId="63D2FF7F" w14:textId="77777777" w:rsidR="00F934ED" w:rsidRDefault="00F934ED" w:rsidP="00F934ED">
            <w:pPr>
              <w:rPr>
                <w:rFonts w:ascii="Gill Sans" w:hAnsi="Gill Sans" w:cs="Gill Sans"/>
                <w:b/>
                <w:color w:val="000000"/>
                <w:szCs w:val="22"/>
                <w:lang w:val="en-AU"/>
              </w:rPr>
            </w:pPr>
            <w:r w:rsidRPr="00076E76">
              <w:rPr>
                <w:rFonts w:ascii="Gill Sans" w:hAnsi="Gill Sans" w:cs="Gill Sans"/>
                <w:b/>
                <w:color w:val="000000"/>
                <w:szCs w:val="22"/>
                <w:lang w:val="en-AU"/>
              </w:rPr>
              <w:t xml:space="preserve">Findings: </w:t>
            </w:r>
          </w:p>
          <w:p w14:paraId="05C3E02B" w14:textId="77777777" w:rsidR="00F934ED" w:rsidRDefault="00F934ED" w:rsidP="00F934ED">
            <w:pPr>
              <w:rPr>
                <w:rFonts w:ascii="Gill Sans" w:hAnsi="Gill Sans" w:cs="Gill Sans"/>
                <w:color w:val="000000"/>
                <w:szCs w:val="22"/>
              </w:rPr>
            </w:pPr>
            <w:r>
              <w:rPr>
                <w:rFonts w:ascii="Gill Sans" w:hAnsi="Gill Sans" w:cs="Gill Sans"/>
                <w:color w:val="000000"/>
                <w:szCs w:val="22"/>
                <w:lang w:val="en-AU"/>
              </w:rPr>
              <w:t>A-level students broadly have an idea that undergraduate English will be different; 75% reported feeling confident or very confident with A-level students but only 37% reported feeling confident about doing English at university, which “</w:t>
            </w:r>
            <w:r w:rsidRPr="000E4E28">
              <w:rPr>
                <w:rFonts w:ascii="Gill Sans" w:hAnsi="Gill Sans" w:cs="Gill Sans"/>
                <w:color w:val="000000"/>
                <w:szCs w:val="22"/>
              </w:rPr>
              <w:t>makes clear that many sixth-form students have a distinct, but</w:t>
            </w:r>
            <w:r>
              <w:rPr>
                <w:rFonts w:ascii="Gill Sans" w:hAnsi="Gill Sans" w:cs="Gill Sans"/>
                <w:color w:val="000000"/>
                <w:szCs w:val="22"/>
              </w:rPr>
              <w:t xml:space="preserve"> </w:t>
            </w:r>
            <w:r w:rsidRPr="000E4E28">
              <w:rPr>
                <w:rFonts w:ascii="Gill Sans" w:hAnsi="Gill Sans" w:cs="Gill Sans"/>
                <w:color w:val="000000"/>
                <w:szCs w:val="22"/>
              </w:rPr>
              <w:t>unformed sense, of how sixth-form and university studies differ</w:t>
            </w:r>
            <w:r>
              <w:rPr>
                <w:rFonts w:ascii="Gill Sans" w:hAnsi="Gill Sans" w:cs="Gill Sans"/>
                <w:color w:val="000000"/>
                <w:szCs w:val="22"/>
              </w:rPr>
              <w:t>” (p.123). Some students described a sense of anxiety about studying without the structured guidance of A-level assessment objectives (AO codes; see Baker, 2017). Moreover, the focus on set texts, rather than ‘literary study’ at A-levels = constraining; “</w:t>
            </w:r>
            <w:r w:rsidRPr="000147B3">
              <w:rPr>
                <w:rFonts w:ascii="Gill Sans" w:hAnsi="Gill Sans" w:cs="Gill Sans"/>
                <w:color w:val="000000"/>
                <w:szCs w:val="22"/>
              </w:rPr>
              <w:t>This atomistic approach to the teaching of English, and of literature in particular,</w:t>
            </w:r>
            <w:r>
              <w:rPr>
                <w:rFonts w:ascii="Gill Sans" w:hAnsi="Gill Sans" w:cs="Gill Sans"/>
                <w:color w:val="000000"/>
                <w:szCs w:val="22"/>
              </w:rPr>
              <w:t xml:space="preserve"> </w:t>
            </w:r>
            <w:r w:rsidRPr="000147B3">
              <w:rPr>
                <w:rFonts w:ascii="Gill Sans" w:hAnsi="Gill Sans" w:cs="Gill Sans"/>
                <w:color w:val="000000"/>
                <w:szCs w:val="22"/>
              </w:rPr>
              <w:t>inevitably exacerbates the difficulty of moving into the faster-paced, more broadly</w:t>
            </w:r>
            <w:r>
              <w:rPr>
                <w:rFonts w:ascii="Gill Sans" w:hAnsi="Gill Sans" w:cs="Gill Sans"/>
                <w:color w:val="000000"/>
                <w:szCs w:val="22"/>
              </w:rPr>
              <w:t xml:space="preserve"> </w:t>
            </w:r>
            <w:r w:rsidRPr="000147B3">
              <w:rPr>
                <w:rFonts w:ascii="Gill Sans" w:hAnsi="Gill Sans" w:cs="Gill Sans"/>
                <w:color w:val="000000"/>
                <w:szCs w:val="22"/>
              </w:rPr>
              <w:t>based</w:t>
            </w:r>
            <w:r>
              <w:rPr>
                <w:rFonts w:ascii="Gill Sans" w:hAnsi="Gill Sans" w:cs="Gill Sans"/>
                <w:color w:val="000000"/>
                <w:szCs w:val="22"/>
              </w:rPr>
              <w:t xml:space="preserve"> </w:t>
            </w:r>
            <w:r w:rsidRPr="000147B3">
              <w:rPr>
                <w:rFonts w:ascii="Gill Sans" w:hAnsi="Gill Sans" w:cs="Gill Sans"/>
                <w:color w:val="000000"/>
                <w:szCs w:val="22"/>
              </w:rPr>
              <w:t xml:space="preserve">and </w:t>
            </w:r>
            <w:proofErr w:type="spellStart"/>
            <w:r w:rsidRPr="000147B3">
              <w:rPr>
                <w:rFonts w:ascii="Gill Sans" w:hAnsi="Gill Sans" w:cs="Gill Sans"/>
                <w:color w:val="000000"/>
                <w:szCs w:val="22"/>
              </w:rPr>
              <w:t>theorised</w:t>
            </w:r>
            <w:proofErr w:type="spellEnd"/>
            <w:r w:rsidRPr="000147B3">
              <w:rPr>
                <w:rFonts w:ascii="Gill Sans" w:hAnsi="Gill Sans" w:cs="Gill Sans"/>
                <w:color w:val="000000"/>
                <w:szCs w:val="22"/>
              </w:rPr>
              <w:t xml:space="preserve"> literary study expected at university</w:t>
            </w:r>
            <w:r>
              <w:rPr>
                <w:rFonts w:ascii="Gill Sans" w:hAnsi="Gill Sans" w:cs="Gill Sans"/>
                <w:color w:val="000000"/>
                <w:szCs w:val="22"/>
              </w:rPr>
              <w:t>” (p.125).</w:t>
            </w:r>
          </w:p>
          <w:p w14:paraId="41D3AA26" w14:textId="77777777" w:rsidR="00F934ED" w:rsidRDefault="00F934ED" w:rsidP="00F934ED">
            <w:pPr>
              <w:rPr>
                <w:rFonts w:ascii="Gill Sans" w:hAnsi="Gill Sans" w:cs="Gill Sans"/>
                <w:color w:val="000000"/>
                <w:szCs w:val="22"/>
              </w:rPr>
            </w:pPr>
            <w:r>
              <w:rPr>
                <w:rFonts w:ascii="Gill Sans" w:hAnsi="Gill Sans" w:cs="Gill Sans"/>
                <w:color w:val="000000"/>
                <w:szCs w:val="22"/>
              </w:rPr>
              <w:t>Discussion of shifts between two levels of study and habitus; author notes that Bourdieu’s notion of habitus is somewhat deterministic, with change enacted through external ‘sanctioned’ (pedagogic) action; however, author argues that rather than a uni-directional shift, this is actually dialogic, as students use their prior experience to make sense of their future/ current experience</w:t>
            </w:r>
            <w:r w:rsidRPr="00076E76">
              <w:rPr>
                <w:rFonts w:ascii="Gill Sans" w:hAnsi="Gill Sans" w:cs="Gill Sans"/>
                <w:b/>
                <w:color w:val="000000"/>
                <w:szCs w:val="22"/>
                <w:lang w:val="en-AU"/>
              </w:rPr>
              <w:br/>
              <w:t>Core argument:</w:t>
            </w:r>
            <w:r>
              <w:rPr>
                <w:rFonts w:ascii="Gill Sans" w:hAnsi="Gill Sans" w:cs="Gill Sans"/>
                <w:b/>
                <w:color w:val="000000"/>
                <w:szCs w:val="22"/>
                <w:lang w:val="en-AU"/>
              </w:rPr>
              <w:t xml:space="preserve"> </w:t>
            </w:r>
            <w:r>
              <w:rPr>
                <w:rFonts w:ascii="Gill Sans" w:hAnsi="Gill Sans" w:cs="Gill Sans"/>
                <w:color w:val="000000"/>
                <w:szCs w:val="22"/>
                <w:lang w:val="en-AU"/>
              </w:rPr>
              <w:t>English A-levels creates sets of habitus that are incongruent with the practices, conventions and expectations (dispositions etc.) for undergraduate study; “</w:t>
            </w:r>
            <w:r w:rsidRPr="00CA2B3F">
              <w:rPr>
                <w:rFonts w:ascii="Gill Sans" w:hAnsi="Gill Sans" w:cs="Gill Sans"/>
                <w:color w:val="000000"/>
                <w:szCs w:val="22"/>
              </w:rPr>
              <w:t>It leads</w:t>
            </w:r>
            <w:r>
              <w:rPr>
                <w:rFonts w:ascii="Gill Sans" w:hAnsi="Gill Sans" w:cs="Gill Sans"/>
                <w:color w:val="000000"/>
                <w:szCs w:val="22"/>
              </w:rPr>
              <w:t xml:space="preserve"> </w:t>
            </w:r>
            <w:r w:rsidRPr="00CA2B3F">
              <w:rPr>
                <w:rFonts w:ascii="Gill Sans" w:hAnsi="Gill Sans" w:cs="Gill Sans"/>
                <w:color w:val="000000"/>
                <w:szCs w:val="22"/>
              </w:rPr>
              <w:t>us towards the conclusion that post-16 study, alongside a range of other societal</w:t>
            </w:r>
            <w:r>
              <w:rPr>
                <w:rFonts w:ascii="Gill Sans" w:hAnsi="Gill Sans" w:cs="Gill Sans"/>
                <w:color w:val="000000"/>
                <w:szCs w:val="22"/>
              </w:rPr>
              <w:t xml:space="preserve"> </w:t>
            </w:r>
            <w:r w:rsidRPr="00CA2B3F">
              <w:rPr>
                <w:rFonts w:ascii="Gill Sans" w:hAnsi="Gill Sans" w:cs="Gill Sans"/>
                <w:color w:val="000000"/>
                <w:szCs w:val="22"/>
              </w:rPr>
              <w:t>influences, builds a set of limitations within students, which are likely to prove</w:t>
            </w:r>
            <w:r>
              <w:rPr>
                <w:rFonts w:ascii="Gill Sans" w:hAnsi="Gill Sans" w:cs="Gill Sans"/>
                <w:color w:val="000000"/>
                <w:szCs w:val="22"/>
              </w:rPr>
              <w:t xml:space="preserve"> </w:t>
            </w:r>
            <w:r w:rsidRPr="00CA2B3F">
              <w:rPr>
                <w:rFonts w:ascii="Gill Sans" w:hAnsi="Gill Sans" w:cs="Gill Sans"/>
                <w:color w:val="000000"/>
                <w:szCs w:val="22"/>
              </w:rPr>
              <w:t>determining factors in their ability to engage effectively with higher-level English</w:t>
            </w:r>
            <w:r>
              <w:rPr>
                <w:rFonts w:ascii="Gill Sans" w:hAnsi="Gill Sans" w:cs="Gill Sans"/>
                <w:color w:val="000000"/>
                <w:szCs w:val="22"/>
              </w:rPr>
              <w:t xml:space="preserve"> </w:t>
            </w:r>
            <w:r w:rsidRPr="00CA2B3F">
              <w:rPr>
                <w:rFonts w:ascii="Gill Sans" w:hAnsi="Gill Sans" w:cs="Gill Sans"/>
                <w:color w:val="000000"/>
                <w:szCs w:val="22"/>
              </w:rPr>
              <w:t>studies</w:t>
            </w:r>
            <w:r>
              <w:rPr>
                <w:rFonts w:ascii="Gill Sans" w:hAnsi="Gill Sans" w:cs="Gill Sans"/>
                <w:color w:val="000000"/>
                <w:szCs w:val="22"/>
              </w:rPr>
              <w:t>” (p.125)</w:t>
            </w:r>
            <w:r w:rsidRPr="00CA2B3F">
              <w:rPr>
                <w:rFonts w:ascii="Gill Sans" w:hAnsi="Gill Sans" w:cs="Gill Sans"/>
                <w:color w:val="000000"/>
                <w:szCs w:val="22"/>
              </w:rPr>
              <w:t>.</w:t>
            </w:r>
            <w:r>
              <w:rPr>
                <w:rFonts w:ascii="Gill Sans" w:hAnsi="Gill Sans" w:cs="Gill Sans"/>
                <w:color w:val="000000"/>
                <w:szCs w:val="22"/>
              </w:rPr>
              <w:t xml:space="preserve"> </w:t>
            </w:r>
          </w:p>
          <w:p w14:paraId="652A2771" w14:textId="77777777" w:rsidR="00F934ED" w:rsidRDefault="00F934ED" w:rsidP="00F934ED">
            <w:pPr>
              <w:rPr>
                <w:rFonts w:ascii="Gill Sans" w:hAnsi="Gill Sans" w:cs="Gill Sans"/>
                <w:color w:val="000000"/>
                <w:szCs w:val="22"/>
              </w:rPr>
            </w:pPr>
            <w:r>
              <w:rPr>
                <w:rFonts w:ascii="Gill Sans" w:hAnsi="Gill Sans" w:cs="Gill Sans"/>
                <w:color w:val="000000"/>
                <w:szCs w:val="22"/>
              </w:rPr>
              <w:t>Limitations of A-levels = “</w:t>
            </w:r>
            <w:r w:rsidRPr="002C3129">
              <w:rPr>
                <w:rFonts w:ascii="Gill Sans" w:hAnsi="Gill Sans" w:cs="Gill Sans"/>
                <w:color w:val="000000"/>
                <w:szCs w:val="22"/>
              </w:rPr>
              <w:t>remain limitations only if they are perceived as the end rather</w:t>
            </w:r>
            <w:r>
              <w:rPr>
                <w:rFonts w:ascii="Gill Sans" w:hAnsi="Gill Sans" w:cs="Gill Sans"/>
                <w:color w:val="000000"/>
                <w:szCs w:val="22"/>
              </w:rPr>
              <w:t xml:space="preserve"> </w:t>
            </w:r>
            <w:r w:rsidRPr="002C3129">
              <w:rPr>
                <w:rFonts w:ascii="Gill Sans" w:hAnsi="Gill Sans" w:cs="Gill Sans"/>
                <w:color w:val="000000"/>
                <w:szCs w:val="22"/>
              </w:rPr>
              <w:t xml:space="preserve">than as the beginning </w:t>
            </w:r>
            <w:r w:rsidRPr="002C3129">
              <w:rPr>
                <w:rFonts w:ascii="Gill Sans" w:hAnsi="Gill Sans" w:cs="Gill Sans"/>
                <w:color w:val="000000"/>
                <w:szCs w:val="22"/>
              </w:rPr>
              <w:lastRenderedPageBreak/>
              <w:t>of students’ further learning</w:t>
            </w:r>
            <w:r>
              <w:rPr>
                <w:rFonts w:ascii="Gill Sans" w:hAnsi="Gill Sans" w:cs="Gill Sans"/>
                <w:color w:val="000000"/>
                <w:szCs w:val="22"/>
              </w:rPr>
              <w:t>” (p.126)</w:t>
            </w:r>
          </w:p>
          <w:p w14:paraId="33EA3DEA" w14:textId="1D381336" w:rsidR="00F934ED" w:rsidRPr="00CA2B3F" w:rsidRDefault="00F934ED" w:rsidP="00F934ED">
            <w:pPr>
              <w:rPr>
                <w:rFonts w:ascii="Gill Sans" w:hAnsi="Gill Sans" w:cs="Gill Sans"/>
                <w:color w:val="000000"/>
                <w:szCs w:val="22"/>
                <w:lang w:val="en-AU"/>
              </w:rPr>
            </w:pPr>
            <w:r>
              <w:rPr>
                <w:rFonts w:ascii="Gill Sans" w:hAnsi="Gill Sans" w:cs="Gill Sans"/>
                <w:color w:val="000000"/>
                <w:szCs w:val="22"/>
              </w:rPr>
              <w:t>Assessment objectives = form of reproduction</w:t>
            </w:r>
          </w:p>
        </w:tc>
      </w:tr>
      <w:tr w:rsidR="00F934ED" w:rsidRPr="00076E76" w14:paraId="3F92CCAB" w14:textId="77777777" w:rsidTr="00A31CC7">
        <w:tc>
          <w:tcPr>
            <w:tcW w:w="5529" w:type="dxa"/>
            <w:shd w:val="clear" w:color="auto" w:fill="auto"/>
          </w:tcPr>
          <w:p w14:paraId="5D3A11E7" w14:textId="52AEA176" w:rsidR="00F934ED" w:rsidRPr="00076E76" w:rsidRDefault="00F934ED" w:rsidP="00F934ED">
            <w:pPr>
              <w:rPr>
                <w:rFonts w:ascii="Gill Sans" w:hAnsi="Gill Sans" w:cs="Gill Sans"/>
                <w:szCs w:val="22"/>
              </w:rPr>
            </w:pPr>
            <w:r w:rsidRPr="00076E76">
              <w:rPr>
                <w:rFonts w:ascii="Gill Sans" w:hAnsi="Gill Sans" w:cs="Gill Sans"/>
                <w:szCs w:val="22"/>
              </w:rPr>
              <w:lastRenderedPageBreak/>
              <w:t xml:space="preserve">Harris, M. &amp; Barnett, T. (2014).   </w:t>
            </w:r>
            <w:hyperlink r:id="rId72" w:history="1">
              <w:r w:rsidRPr="001779F8">
                <w:rPr>
                  <w:rStyle w:val="Hyperlink"/>
                  <w:rFonts w:ascii="Gill Sans" w:hAnsi="Gill Sans" w:cs="Gill Sans"/>
                  <w:i/>
                  <w:szCs w:val="22"/>
                </w:rPr>
                <w:t>Thriving in transition:  A model for student support in the transition to Australian higher education: Final Repor</w:t>
              </w:r>
              <w:r w:rsidRPr="001779F8">
                <w:rPr>
                  <w:rStyle w:val="Hyperlink"/>
                  <w:rFonts w:ascii="Gill Sans" w:hAnsi="Gill Sans" w:cs="Gill Sans"/>
                  <w:szCs w:val="22"/>
                </w:rPr>
                <w:t>t</w:t>
              </w:r>
            </w:hyperlink>
            <w:r w:rsidRPr="00076E76">
              <w:rPr>
                <w:rFonts w:ascii="Gill Sans" w:hAnsi="Gill Sans" w:cs="Gill Sans"/>
                <w:szCs w:val="22"/>
              </w:rPr>
              <w:t>. Sydney: O</w:t>
            </w:r>
            <w:r>
              <w:rPr>
                <w:rFonts w:ascii="Gill Sans" w:hAnsi="Gill Sans" w:cs="Gill Sans"/>
                <w:szCs w:val="22"/>
              </w:rPr>
              <w:t xml:space="preserve">ffice for </w:t>
            </w:r>
            <w:r w:rsidRPr="00076E76">
              <w:rPr>
                <w:rFonts w:ascii="Gill Sans" w:hAnsi="Gill Sans" w:cs="Gill Sans"/>
                <w:szCs w:val="22"/>
              </w:rPr>
              <w:t>L</w:t>
            </w:r>
            <w:r>
              <w:rPr>
                <w:rFonts w:ascii="Gill Sans" w:hAnsi="Gill Sans" w:cs="Gill Sans"/>
                <w:szCs w:val="22"/>
              </w:rPr>
              <w:t xml:space="preserve">earning and </w:t>
            </w:r>
            <w:r w:rsidRPr="00076E76">
              <w:rPr>
                <w:rFonts w:ascii="Gill Sans" w:hAnsi="Gill Sans" w:cs="Gill Sans"/>
                <w:szCs w:val="22"/>
              </w:rPr>
              <w:t>T</w:t>
            </w:r>
            <w:r>
              <w:rPr>
                <w:rFonts w:ascii="Gill Sans" w:hAnsi="Gill Sans" w:cs="Gill Sans"/>
                <w:szCs w:val="22"/>
              </w:rPr>
              <w:t>eaching</w:t>
            </w:r>
            <w:r w:rsidRPr="00076E76">
              <w:rPr>
                <w:rFonts w:ascii="Gill Sans" w:hAnsi="Gill Sans" w:cs="Gill Sans"/>
                <w:szCs w:val="22"/>
              </w:rPr>
              <w:t>.</w:t>
            </w:r>
          </w:p>
          <w:p w14:paraId="4BDF627A" w14:textId="77777777" w:rsidR="00F934ED" w:rsidRPr="00076E76" w:rsidRDefault="00F934ED" w:rsidP="00F934ED">
            <w:pPr>
              <w:rPr>
                <w:rFonts w:ascii="Gill Sans" w:hAnsi="Gill Sans" w:cs="Gill Sans"/>
                <w:szCs w:val="22"/>
              </w:rPr>
            </w:pPr>
          </w:p>
          <w:p w14:paraId="153C06FF" w14:textId="77777777" w:rsidR="00F934ED" w:rsidRDefault="00F934ED" w:rsidP="00F934ED">
            <w:pPr>
              <w:rPr>
                <w:rFonts w:ascii="Gill Sans" w:hAnsi="Gill Sans" w:cs="Gill Sans"/>
                <w:szCs w:val="22"/>
              </w:rPr>
            </w:pPr>
            <w:r w:rsidRPr="00076E76">
              <w:rPr>
                <w:rFonts w:ascii="Gill Sans" w:hAnsi="Gill Sans" w:cs="Gill Sans"/>
                <w:szCs w:val="22"/>
              </w:rPr>
              <w:t>AUS</w:t>
            </w:r>
          </w:p>
          <w:p w14:paraId="3AE5260D"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03F1A129" w14:textId="77777777" w:rsidR="00F934ED" w:rsidRDefault="00F934ED" w:rsidP="00F934ED">
            <w:pPr>
              <w:rPr>
                <w:rFonts w:ascii="Gill Sans" w:hAnsi="Gill Sans" w:cs="Gill Sans"/>
                <w:szCs w:val="22"/>
              </w:rPr>
            </w:pPr>
          </w:p>
          <w:p w14:paraId="4A03EC7E" w14:textId="674C8946" w:rsidR="00F934ED" w:rsidRPr="002302BC" w:rsidRDefault="00F934ED" w:rsidP="00F934ED">
            <w:pPr>
              <w:rPr>
                <w:rFonts w:ascii="Gill Sans" w:hAnsi="Gill Sans" w:cs="Gill Sans"/>
                <w:b/>
                <w:szCs w:val="22"/>
              </w:rPr>
            </w:pPr>
          </w:p>
        </w:tc>
        <w:tc>
          <w:tcPr>
            <w:tcW w:w="10064" w:type="dxa"/>
          </w:tcPr>
          <w:p w14:paraId="2A815C2F" w14:textId="3FBA3258"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sidRPr="00076E76">
              <w:rPr>
                <w:rFonts w:ascii="Gill Sans" w:hAnsi="Gill Sans" w:cs="Gill Sans"/>
                <w:color w:val="000000"/>
                <w:szCs w:val="22"/>
                <w:lang w:val="en-AU"/>
              </w:rPr>
              <w:t>Transition to higher education in English HE. Argues that most literature focuses on full time students</w:t>
            </w:r>
          </w:p>
          <w:p w14:paraId="60CD4DF4" w14:textId="244C05F8" w:rsidR="00F934ED" w:rsidRPr="007D47F7"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Pr>
                <w:rFonts w:ascii="Gill Sans" w:hAnsi="Gill Sans" w:cs="Gill Sans"/>
                <w:color w:val="000000"/>
                <w:szCs w:val="22"/>
                <w:lang w:val="en-AU"/>
              </w:rPr>
              <w:t>To describe “</w:t>
            </w:r>
            <w:r w:rsidRPr="007D47F7">
              <w:rPr>
                <w:rFonts w:ascii="Gill Sans" w:hAnsi="Gill Sans" w:cs="Gill Sans"/>
                <w:color w:val="000000"/>
                <w:szCs w:val="22"/>
              </w:rPr>
              <w:t>an innovative, staged and cyclic approach to the transition to tertiary study</w:t>
            </w:r>
            <w:r>
              <w:rPr>
                <w:rFonts w:ascii="Gill Sans" w:hAnsi="Gill Sans" w:cs="Gill Sans"/>
                <w:color w:val="000000"/>
                <w:szCs w:val="22"/>
              </w:rPr>
              <w:t>”</w:t>
            </w:r>
          </w:p>
          <w:p w14:paraId="60563E66" w14:textId="4B03E8D6" w:rsidR="00F934ED" w:rsidRDefault="00F934ED" w:rsidP="00F934ED">
            <w:pPr>
              <w:rPr>
                <w:rFonts w:ascii="Gill Sans" w:hAnsi="Gill Sans" w:cs="Gill Sans"/>
                <w:b/>
                <w:color w:val="000000"/>
                <w:szCs w:val="22"/>
                <w:lang w:val="en-AU"/>
              </w:rPr>
            </w:pPr>
            <w:r w:rsidRPr="00076E76">
              <w:rPr>
                <w:rFonts w:ascii="Gill Sans" w:hAnsi="Gill Sans" w:cs="Gill Sans"/>
                <w:b/>
                <w:color w:val="000000"/>
                <w:szCs w:val="22"/>
                <w:lang w:val="en-AU"/>
              </w:rPr>
              <w:t>Theoretical frame:</w:t>
            </w:r>
            <w:r>
              <w:rPr>
                <w:rFonts w:ascii="Gill Sans" w:hAnsi="Gill Sans" w:cs="Gill Sans"/>
                <w:b/>
                <w:color w:val="000000"/>
                <w:szCs w:val="22"/>
                <w:lang w:val="en-AU"/>
              </w:rPr>
              <w:t xml:space="preserve"> </w:t>
            </w:r>
            <w:r>
              <w:rPr>
                <w:rFonts w:ascii="Gill Sans" w:hAnsi="Gill Sans" w:cs="Gill Sans"/>
                <w:color w:val="000000"/>
                <w:szCs w:val="22"/>
                <w:lang w:val="en-AU"/>
              </w:rPr>
              <w:t>5 major themes around transition identified by authors:</w:t>
            </w:r>
          </w:p>
          <w:p w14:paraId="7CBB0C9B" w14:textId="67A4BD40" w:rsidR="00F934ED" w:rsidRDefault="00F934ED" w:rsidP="00F934ED">
            <w:pPr>
              <w:rPr>
                <w:rFonts w:ascii="Gill Sans" w:hAnsi="Gill Sans" w:cs="Gill Sans"/>
                <w:color w:val="000000"/>
                <w:szCs w:val="22"/>
                <w:lang w:val="en-AU"/>
              </w:rPr>
            </w:pPr>
            <w:r>
              <w:rPr>
                <w:rFonts w:ascii="Gill Sans" w:hAnsi="Gill Sans" w:cs="Gill Sans"/>
                <w:color w:val="000000"/>
                <w:szCs w:val="22"/>
                <w:lang w:val="en-AU"/>
              </w:rPr>
              <w:t>1) Transition is cyclical</w:t>
            </w:r>
          </w:p>
          <w:p w14:paraId="2EDF9790" w14:textId="77777777" w:rsidR="00F934ED" w:rsidRDefault="00F934ED" w:rsidP="00F934ED">
            <w:pPr>
              <w:rPr>
                <w:rFonts w:ascii="Gill Sans" w:hAnsi="Gill Sans" w:cs="Gill Sans"/>
                <w:color w:val="000000"/>
                <w:szCs w:val="22"/>
                <w:lang w:val="en-AU"/>
              </w:rPr>
            </w:pPr>
            <w:r>
              <w:rPr>
                <w:rFonts w:ascii="Gill Sans" w:hAnsi="Gill Sans" w:cs="Gill Sans"/>
                <w:color w:val="000000"/>
                <w:szCs w:val="22"/>
                <w:lang w:val="en-AU"/>
              </w:rPr>
              <w:t>2) Support should be provided over Year 1 and then the duration of their course</w:t>
            </w:r>
          </w:p>
          <w:p w14:paraId="52C62F86" w14:textId="77777777" w:rsidR="00F934ED" w:rsidRDefault="00F934ED" w:rsidP="00F934ED">
            <w:pPr>
              <w:rPr>
                <w:rFonts w:ascii="Gill Sans" w:hAnsi="Gill Sans" w:cs="Gill Sans"/>
                <w:color w:val="000000"/>
                <w:szCs w:val="22"/>
                <w:lang w:val="en-AU"/>
              </w:rPr>
            </w:pPr>
            <w:r>
              <w:rPr>
                <w:rFonts w:ascii="Gill Sans" w:hAnsi="Gill Sans" w:cs="Gill Sans"/>
                <w:color w:val="000000"/>
                <w:szCs w:val="22"/>
                <w:lang w:val="en-AU"/>
              </w:rPr>
              <w:t>3) Early interventions are preferable to crisis support</w:t>
            </w:r>
          </w:p>
          <w:p w14:paraId="181A1B12" w14:textId="77777777" w:rsidR="00F934ED" w:rsidRDefault="00F934ED" w:rsidP="00F934ED">
            <w:pPr>
              <w:rPr>
                <w:rFonts w:ascii="Gill Sans" w:hAnsi="Gill Sans" w:cs="Gill Sans"/>
                <w:color w:val="000000"/>
                <w:szCs w:val="22"/>
              </w:rPr>
            </w:pPr>
            <w:r>
              <w:rPr>
                <w:rFonts w:ascii="Gill Sans" w:hAnsi="Gill Sans" w:cs="Gill Sans"/>
                <w:color w:val="000000"/>
                <w:szCs w:val="22"/>
                <w:lang w:val="en-AU"/>
              </w:rPr>
              <w:t>4) ‘Front-loading’ (giving information to students before they have started) is not effective because it “</w:t>
            </w:r>
            <w:r w:rsidRPr="00F53863">
              <w:rPr>
                <w:rFonts w:ascii="Gill Sans" w:hAnsi="Gill Sans" w:cs="Gill Sans"/>
                <w:color w:val="000000"/>
                <w:szCs w:val="22"/>
              </w:rPr>
              <w:t xml:space="preserve">provides material not needed (or recognised as needed) by </w:t>
            </w:r>
            <w:r>
              <w:rPr>
                <w:rFonts w:ascii="Gill Sans" w:hAnsi="Gill Sans" w:cs="Gill Sans"/>
                <w:color w:val="000000"/>
                <w:szCs w:val="22"/>
              </w:rPr>
              <w:t>students at that point of time” (p.5)</w:t>
            </w:r>
          </w:p>
          <w:p w14:paraId="3F347C0E" w14:textId="3C8D50E3" w:rsidR="00F934ED" w:rsidRPr="0049199D" w:rsidRDefault="00F934ED" w:rsidP="00F934ED">
            <w:pPr>
              <w:rPr>
                <w:rFonts w:ascii="Gill Sans" w:hAnsi="Gill Sans" w:cs="Gill Sans"/>
                <w:color w:val="000000"/>
                <w:szCs w:val="22"/>
                <w:lang w:val="en-AU"/>
              </w:rPr>
            </w:pPr>
            <w:r>
              <w:rPr>
                <w:rFonts w:ascii="Gill Sans" w:hAnsi="Gill Sans" w:cs="Gill Sans"/>
                <w:color w:val="000000"/>
                <w:szCs w:val="22"/>
              </w:rPr>
              <w:t>5) Successful transition programs are embedded into courses/ disciplines, rather than add-on</w:t>
            </w:r>
          </w:p>
          <w:p w14:paraId="5B880CEF" w14:textId="77E3494E"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Mixed methods</w:t>
            </w:r>
          </w:p>
          <w:p w14:paraId="29A8FAE2" w14:textId="042A283C" w:rsidR="00F934ED"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Findings: </w:t>
            </w:r>
          </w:p>
          <w:p w14:paraId="5F81A807" w14:textId="0CB4A6F3" w:rsidR="00F934ED" w:rsidRDefault="00F934ED" w:rsidP="00F934ED">
            <w:pPr>
              <w:rPr>
                <w:rFonts w:ascii="Gill Sans" w:hAnsi="Gill Sans" w:cs="Gill Sans"/>
                <w:color w:val="000000"/>
                <w:szCs w:val="22"/>
                <w:lang w:val="en-AU"/>
              </w:rPr>
            </w:pPr>
            <w:r>
              <w:rPr>
                <w:rFonts w:ascii="Gill Sans" w:hAnsi="Gill Sans" w:cs="Gill Sans"/>
                <w:color w:val="000000"/>
                <w:szCs w:val="22"/>
                <w:lang w:val="en-AU"/>
              </w:rPr>
              <w:t>From observations of students participating in workshops (all p.5</w:t>
            </w:r>
            <w:r>
              <w:rPr>
                <w:rFonts w:ascii="Gill Sans" w:hAnsi="Gill Sans" w:cs="Gill Sans"/>
                <w:color w:val="000000"/>
                <w:szCs w:val="22"/>
                <w:lang w:val="en-AU"/>
              </w:rPr>
              <w:softHyphen/>
              <w:t>–6):</w:t>
            </w:r>
          </w:p>
          <w:p w14:paraId="0D7FD302" w14:textId="77777777" w:rsidR="00F934ED" w:rsidRDefault="00F934ED" w:rsidP="00F934ED">
            <w:pPr>
              <w:rPr>
                <w:rFonts w:ascii="Gill Sans" w:hAnsi="Gill Sans" w:cs="Gill Sans"/>
                <w:color w:val="000000"/>
                <w:szCs w:val="22"/>
                <w:lang w:val="en-AU"/>
              </w:rPr>
            </w:pPr>
            <w:r>
              <w:rPr>
                <w:rFonts w:ascii="Gill Sans" w:hAnsi="Gill Sans" w:cs="Gill Sans"/>
                <w:color w:val="000000"/>
                <w:szCs w:val="22"/>
                <w:lang w:val="en-AU"/>
              </w:rPr>
              <w:t>1) Students who need help the most are least likely to seek support</w:t>
            </w:r>
          </w:p>
          <w:p w14:paraId="4DC8941C" w14:textId="77777777" w:rsidR="00F934ED" w:rsidRDefault="00F934ED" w:rsidP="00F934ED">
            <w:pPr>
              <w:rPr>
                <w:rFonts w:ascii="Gill Sans" w:hAnsi="Gill Sans" w:cs="Gill Sans"/>
                <w:color w:val="000000"/>
                <w:szCs w:val="22"/>
                <w:lang w:val="en-AU"/>
              </w:rPr>
            </w:pPr>
            <w:r>
              <w:rPr>
                <w:rFonts w:ascii="Gill Sans" w:hAnsi="Gill Sans" w:cs="Gill Sans"/>
                <w:color w:val="000000"/>
                <w:szCs w:val="22"/>
                <w:lang w:val="en-AU"/>
              </w:rPr>
              <w:t>2) High-achieving students may eschew institutional supports for fear of being seen as a failure</w:t>
            </w:r>
          </w:p>
          <w:p w14:paraId="2A9E5064" w14:textId="77777777" w:rsidR="00F934ED" w:rsidRDefault="00F934ED" w:rsidP="00F934ED">
            <w:pPr>
              <w:rPr>
                <w:rFonts w:ascii="Gill Sans" w:hAnsi="Gill Sans" w:cs="Gill Sans"/>
                <w:color w:val="000000"/>
                <w:szCs w:val="22"/>
                <w:lang w:val="en-AU"/>
              </w:rPr>
            </w:pPr>
            <w:r>
              <w:rPr>
                <w:rFonts w:ascii="Gill Sans" w:hAnsi="Gill Sans" w:cs="Gill Sans"/>
                <w:color w:val="000000"/>
                <w:szCs w:val="22"/>
                <w:lang w:val="en-AU"/>
              </w:rPr>
              <w:t>3) Students need to be coached on support-seeking</w:t>
            </w:r>
          </w:p>
          <w:p w14:paraId="3489CC61" w14:textId="77777777" w:rsidR="00F934ED" w:rsidRDefault="00F934ED" w:rsidP="00F934ED">
            <w:pPr>
              <w:rPr>
                <w:rFonts w:ascii="Gill Sans" w:hAnsi="Gill Sans" w:cs="Gill Sans"/>
                <w:color w:val="000000"/>
                <w:szCs w:val="22"/>
                <w:lang w:val="en-AU"/>
              </w:rPr>
            </w:pPr>
            <w:r>
              <w:rPr>
                <w:rFonts w:ascii="Gill Sans" w:hAnsi="Gill Sans" w:cs="Gill Sans"/>
                <w:color w:val="000000"/>
                <w:szCs w:val="22"/>
                <w:lang w:val="en-AU"/>
              </w:rPr>
              <w:t>4) Early signs of potential issues = not submitting assessable work, not attending classes, declining grades. These need to be identified by algorithms and follow-up automated</w:t>
            </w:r>
          </w:p>
          <w:p w14:paraId="189DBD05" w14:textId="77777777" w:rsidR="00F934ED" w:rsidRDefault="00F934ED" w:rsidP="00F934ED">
            <w:pPr>
              <w:rPr>
                <w:rFonts w:ascii="Gill Sans" w:hAnsi="Gill Sans" w:cs="Gill Sans"/>
                <w:color w:val="000000"/>
                <w:szCs w:val="22"/>
                <w:lang w:val="en-AU"/>
              </w:rPr>
            </w:pPr>
            <w:r>
              <w:rPr>
                <w:rFonts w:ascii="Gill Sans" w:hAnsi="Gill Sans" w:cs="Gill Sans"/>
                <w:color w:val="000000"/>
                <w:szCs w:val="22"/>
                <w:lang w:val="en-AU"/>
              </w:rPr>
              <w:t xml:space="preserve">5) Teaching and learning activities need to adjust in order to support students with transition via curricula (essentially, more contact </w:t>
            </w:r>
            <w:r>
              <w:rPr>
                <w:rFonts w:cs="Gill Sans"/>
                <w:color w:val="000000"/>
                <w:szCs w:val="22"/>
                <w:lang w:val="en-AU"/>
              </w:rPr>
              <w:t>—</w:t>
            </w:r>
            <w:r>
              <w:rPr>
                <w:rFonts w:ascii="Gill Sans" w:hAnsi="Gill Sans" w:cs="Gill Sans"/>
                <w:color w:val="000000"/>
                <w:szCs w:val="22"/>
                <w:lang w:val="en-AU"/>
              </w:rPr>
              <w:t xml:space="preserve">either in person or via the phone </w:t>
            </w:r>
            <w:r>
              <w:rPr>
                <w:rFonts w:cs="Gill Sans"/>
                <w:color w:val="000000"/>
                <w:szCs w:val="22"/>
                <w:lang w:val="en-AU"/>
              </w:rPr>
              <w:t>—</w:t>
            </w:r>
            <w:r>
              <w:rPr>
                <w:rFonts w:ascii="Gill Sans" w:hAnsi="Gill Sans" w:cs="Gill Sans"/>
                <w:color w:val="000000"/>
                <w:szCs w:val="22"/>
                <w:lang w:val="en-AU"/>
              </w:rPr>
              <w:t>is needed)</w:t>
            </w:r>
          </w:p>
          <w:p w14:paraId="2A626532" w14:textId="77777777" w:rsidR="00F934ED" w:rsidRDefault="00F934ED" w:rsidP="00F934ED">
            <w:pPr>
              <w:rPr>
                <w:rFonts w:ascii="Gill Sans" w:hAnsi="Gill Sans" w:cs="Gill Sans"/>
                <w:color w:val="000000"/>
                <w:szCs w:val="22"/>
                <w:lang w:val="en-AU"/>
              </w:rPr>
            </w:pPr>
            <w:r>
              <w:rPr>
                <w:rFonts w:ascii="Gill Sans" w:hAnsi="Gill Sans" w:cs="Gill Sans"/>
                <w:color w:val="000000"/>
                <w:szCs w:val="22"/>
                <w:lang w:val="en-AU"/>
              </w:rPr>
              <w:t>6) Informal supports are potentially as useful as institutional/ formal supports</w:t>
            </w:r>
          </w:p>
          <w:p w14:paraId="3F02BD79" w14:textId="77777777" w:rsidR="00F934ED" w:rsidRDefault="00F934ED" w:rsidP="00F934ED">
            <w:pPr>
              <w:rPr>
                <w:rFonts w:ascii="Gill Sans" w:hAnsi="Gill Sans" w:cs="Gill Sans"/>
                <w:color w:val="000000"/>
                <w:szCs w:val="22"/>
                <w:lang w:val="en-AU"/>
              </w:rPr>
            </w:pPr>
            <w:r>
              <w:rPr>
                <w:rFonts w:ascii="Gill Sans" w:hAnsi="Gill Sans" w:cs="Gill Sans"/>
                <w:color w:val="000000"/>
                <w:szCs w:val="22"/>
                <w:lang w:val="en-AU"/>
              </w:rPr>
              <w:t xml:space="preserve">7) Students are likely to face crises at several points and support should be available on an </w:t>
            </w:r>
            <w:proofErr w:type="gramStart"/>
            <w:r>
              <w:rPr>
                <w:rFonts w:ascii="Gill Sans" w:hAnsi="Gill Sans" w:cs="Gill Sans"/>
                <w:color w:val="000000"/>
                <w:szCs w:val="22"/>
                <w:lang w:val="en-AU"/>
              </w:rPr>
              <w:t>individual basis/ organisational responses</w:t>
            </w:r>
            <w:proofErr w:type="gramEnd"/>
            <w:r>
              <w:rPr>
                <w:rFonts w:ascii="Gill Sans" w:hAnsi="Gill Sans" w:cs="Gill Sans"/>
                <w:color w:val="000000"/>
                <w:szCs w:val="22"/>
                <w:lang w:val="en-AU"/>
              </w:rPr>
              <w:t xml:space="preserve"> need to be clearly communicated</w:t>
            </w:r>
          </w:p>
          <w:p w14:paraId="07865173" w14:textId="77777777" w:rsidR="00F934ED" w:rsidRDefault="00F934ED" w:rsidP="00F934ED">
            <w:pPr>
              <w:rPr>
                <w:rFonts w:ascii="Gill Sans" w:hAnsi="Gill Sans" w:cs="Gill Sans"/>
                <w:color w:val="000000"/>
                <w:szCs w:val="22"/>
                <w:lang w:val="en-AU"/>
              </w:rPr>
            </w:pPr>
            <w:r>
              <w:rPr>
                <w:rFonts w:ascii="Gill Sans" w:hAnsi="Gill Sans" w:cs="Gill Sans"/>
                <w:color w:val="000000"/>
                <w:szCs w:val="22"/>
                <w:lang w:val="en-AU"/>
              </w:rPr>
              <w:t>8) Certain ‘trigger points’ can be identified and responses pre-designed</w:t>
            </w:r>
          </w:p>
          <w:p w14:paraId="6DC61FD5" w14:textId="77777777" w:rsidR="00F934ED" w:rsidRDefault="00F934ED" w:rsidP="00F934ED">
            <w:pPr>
              <w:rPr>
                <w:rFonts w:ascii="Gill Sans" w:hAnsi="Gill Sans" w:cs="Gill Sans"/>
                <w:color w:val="000000"/>
                <w:szCs w:val="22"/>
                <w:lang w:val="en-AU"/>
              </w:rPr>
            </w:pPr>
            <w:r>
              <w:rPr>
                <w:rFonts w:ascii="Gill Sans" w:hAnsi="Gill Sans" w:cs="Gill Sans"/>
                <w:color w:val="000000"/>
                <w:szCs w:val="22"/>
                <w:lang w:val="en-AU"/>
              </w:rPr>
              <w:t xml:space="preserve">9) Universities should develop supports for throughout the </w:t>
            </w:r>
            <w:proofErr w:type="spellStart"/>
            <w:r>
              <w:rPr>
                <w:rFonts w:ascii="Gill Sans" w:hAnsi="Gill Sans" w:cs="Gill Sans"/>
                <w:color w:val="000000"/>
                <w:szCs w:val="22"/>
                <w:lang w:val="en-AU"/>
              </w:rPr>
              <w:t>lifecourse</w:t>
            </w:r>
            <w:proofErr w:type="spellEnd"/>
            <w:r>
              <w:rPr>
                <w:rFonts w:ascii="Gill Sans" w:hAnsi="Gill Sans" w:cs="Gill Sans"/>
                <w:color w:val="000000"/>
                <w:szCs w:val="22"/>
                <w:lang w:val="en-AU"/>
              </w:rPr>
              <w:t xml:space="preserve"> of a degree (pre-entry to post-graduation)</w:t>
            </w:r>
          </w:p>
          <w:p w14:paraId="50934D8A" w14:textId="7BA4BAE6" w:rsidR="00F934ED" w:rsidRPr="00097ACA" w:rsidRDefault="00F934ED" w:rsidP="00F934ED">
            <w:pPr>
              <w:rPr>
                <w:rFonts w:ascii="Gill Sans" w:hAnsi="Gill Sans" w:cs="Gill Sans"/>
                <w:color w:val="000000"/>
                <w:szCs w:val="22"/>
              </w:rPr>
            </w:pPr>
            <w:r>
              <w:rPr>
                <w:rFonts w:ascii="Gill Sans" w:hAnsi="Gill Sans" w:cs="Gill Sans"/>
                <w:color w:val="000000"/>
                <w:szCs w:val="22"/>
                <w:lang w:val="en-AU"/>
              </w:rPr>
              <w:t>10) Pastoral work of support should be recognised as work: “</w:t>
            </w:r>
            <w:r w:rsidRPr="00097ACA">
              <w:rPr>
                <w:rFonts w:ascii="Gill Sans" w:hAnsi="Gill Sans" w:cs="Gill Sans"/>
                <w:color w:val="000000"/>
                <w:szCs w:val="22"/>
              </w:rPr>
              <w:t>Such work can be difficult to measure and can exert a greater demand on time than the amount (often notionally) allocated</w:t>
            </w:r>
            <w:r>
              <w:rPr>
                <w:rFonts w:ascii="Gill Sans" w:hAnsi="Gill Sans" w:cs="Gill Sans"/>
                <w:color w:val="000000"/>
                <w:szCs w:val="22"/>
              </w:rPr>
              <w:t>” (p.6)</w:t>
            </w:r>
            <w:r w:rsidRPr="00097ACA">
              <w:rPr>
                <w:rFonts w:ascii="Gill Sans" w:hAnsi="Gill Sans" w:cs="Gill Sans"/>
                <w:color w:val="000000"/>
                <w:szCs w:val="22"/>
              </w:rPr>
              <w:t xml:space="preserve">. </w:t>
            </w:r>
          </w:p>
          <w:p w14:paraId="0A4DFA51" w14:textId="77777777" w:rsidR="00F934ED" w:rsidRDefault="00F934ED" w:rsidP="00F934ED">
            <w:pPr>
              <w:rPr>
                <w:rFonts w:ascii="Gill Sans" w:hAnsi="Gill Sans" w:cs="Gill Sans"/>
                <w:color w:val="000000"/>
                <w:szCs w:val="22"/>
                <w:lang w:val="en-AU"/>
              </w:rPr>
            </w:pPr>
            <w:r>
              <w:rPr>
                <w:rFonts w:ascii="Gill Sans" w:hAnsi="Gill Sans" w:cs="Gill Sans"/>
                <w:color w:val="000000"/>
                <w:szCs w:val="22"/>
                <w:lang w:val="en-AU"/>
              </w:rPr>
              <w:t>11) Common first year approaches may better facilitate transition-related activities</w:t>
            </w:r>
          </w:p>
          <w:p w14:paraId="13946928" w14:textId="78390C93" w:rsidR="00F934ED" w:rsidRPr="00F53863" w:rsidRDefault="00F934ED" w:rsidP="00F934ED">
            <w:pPr>
              <w:rPr>
                <w:rFonts w:ascii="Gill Sans" w:hAnsi="Gill Sans" w:cs="Gill Sans"/>
                <w:color w:val="000000"/>
                <w:szCs w:val="22"/>
              </w:rPr>
            </w:pPr>
            <w:r>
              <w:rPr>
                <w:rFonts w:ascii="Gill Sans" w:hAnsi="Gill Sans" w:cs="Gill Sans"/>
                <w:color w:val="000000"/>
                <w:szCs w:val="22"/>
                <w:lang w:val="en-AU"/>
              </w:rPr>
              <w:t xml:space="preserve">12) Generic notion of first year fails to recognise students’ biographies/ backgrounds: </w:t>
            </w:r>
            <w:proofErr w:type="gramStart"/>
            <w:r>
              <w:rPr>
                <w:rFonts w:ascii="Gill Sans" w:hAnsi="Gill Sans" w:cs="Gill Sans"/>
                <w:color w:val="000000"/>
                <w:szCs w:val="22"/>
                <w:lang w:val="en-AU"/>
              </w:rPr>
              <w:t xml:space="preserve">“ </w:t>
            </w:r>
            <w:r w:rsidRPr="00EE7090">
              <w:rPr>
                <w:rFonts w:ascii="Gill Sans" w:hAnsi="Gill Sans" w:cs="Gill Sans"/>
                <w:color w:val="000000"/>
                <w:szCs w:val="22"/>
              </w:rPr>
              <w:t>Finer</w:t>
            </w:r>
            <w:proofErr w:type="gramEnd"/>
            <w:r w:rsidRPr="00EE7090">
              <w:rPr>
                <w:rFonts w:ascii="Gill Sans" w:hAnsi="Gill Sans" w:cs="Gill Sans"/>
                <w:color w:val="000000"/>
                <w:szCs w:val="22"/>
              </w:rPr>
              <w:t xml:space="preserve"> filters are </w:t>
            </w:r>
            <w:r w:rsidRPr="00EE7090">
              <w:rPr>
                <w:rFonts w:ascii="Gill Sans" w:hAnsi="Gill Sans" w:cs="Gill Sans"/>
                <w:color w:val="000000"/>
                <w:szCs w:val="22"/>
              </w:rPr>
              <w:lastRenderedPageBreak/>
              <w:t>required to better understand the commonalities that certain groups possess to allow timely and effective interventions to be applied</w:t>
            </w:r>
            <w:r>
              <w:rPr>
                <w:rFonts w:ascii="Gill Sans" w:hAnsi="Gill Sans" w:cs="Gill Sans"/>
                <w:color w:val="000000"/>
                <w:szCs w:val="22"/>
              </w:rPr>
              <w:t>” (p.6)</w:t>
            </w:r>
            <w:r w:rsidRPr="00EE7090">
              <w:rPr>
                <w:rFonts w:ascii="Gill Sans" w:hAnsi="Gill Sans" w:cs="Gill Sans"/>
                <w:color w:val="000000"/>
                <w:szCs w:val="22"/>
              </w:rPr>
              <w:t xml:space="preserve"> </w:t>
            </w:r>
          </w:p>
        </w:tc>
      </w:tr>
      <w:tr w:rsidR="00F934ED" w:rsidRPr="00076E76" w14:paraId="29E4B336" w14:textId="77777777" w:rsidTr="002E557C">
        <w:tc>
          <w:tcPr>
            <w:tcW w:w="5529" w:type="dxa"/>
          </w:tcPr>
          <w:p w14:paraId="32F3A748" w14:textId="1EFF7F76" w:rsidR="00500B09" w:rsidRPr="00500B09" w:rsidRDefault="00F934ED" w:rsidP="00500B09">
            <w:pPr>
              <w:rPr>
                <w:rFonts w:ascii="Gill Sans" w:hAnsi="Gill Sans" w:cs="Gill Sans"/>
                <w:i/>
                <w:szCs w:val="22"/>
                <w:lang w:val="en-GB"/>
              </w:rPr>
            </w:pPr>
            <w:r w:rsidRPr="00076E76">
              <w:rPr>
                <w:rFonts w:ascii="Gill Sans" w:hAnsi="Gill Sans" w:cs="Gill Sans"/>
                <w:szCs w:val="22"/>
              </w:rPr>
              <w:lastRenderedPageBreak/>
              <w:t xml:space="preserve">Heading, D. &amp; Loughlin, E. (2017). </w:t>
            </w:r>
            <w:hyperlink r:id="rId73" w:history="1">
              <w:r w:rsidRPr="001779F8">
                <w:rPr>
                  <w:rStyle w:val="Hyperlink"/>
                  <w:rFonts w:ascii="Gill Sans" w:hAnsi="Gill Sans" w:cs="Gill Sans"/>
                  <w:szCs w:val="22"/>
                </w:rPr>
                <w:t>Lonergan’s insight and threshold concepts: students in the liminal space</w:t>
              </w:r>
            </w:hyperlink>
            <w:r w:rsidRPr="00076E76">
              <w:rPr>
                <w:rFonts w:ascii="Gill Sans" w:hAnsi="Gill Sans" w:cs="Gill Sans"/>
                <w:szCs w:val="22"/>
              </w:rPr>
              <w:t xml:space="preserve">, </w:t>
            </w:r>
            <w:r w:rsidRPr="00076E76">
              <w:rPr>
                <w:rFonts w:ascii="Gill Sans" w:hAnsi="Gill Sans" w:cs="Gill Sans"/>
                <w:i/>
                <w:szCs w:val="22"/>
              </w:rPr>
              <w:t>Teaching in Higher Education,</w:t>
            </w:r>
            <w:r w:rsidRPr="00500B09">
              <w:rPr>
                <w:rFonts w:ascii="Gill Sans" w:hAnsi="Gill Sans" w:cs="Gill Sans"/>
                <w:szCs w:val="22"/>
              </w:rPr>
              <w:t xml:space="preserve"> </w:t>
            </w:r>
            <w:r w:rsidR="00500B09" w:rsidRPr="00500B09">
              <w:rPr>
                <w:rFonts w:ascii="Gill Sans" w:hAnsi="Gill Sans" w:cs="Gill Sans"/>
                <w:szCs w:val="22"/>
                <w:lang w:val="en-GB"/>
              </w:rPr>
              <w:t>23</w:t>
            </w:r>
            <w:r w:rsidR="00500B09">
              <w:rPr>
                <w:rFonts w:ascii="Gill Sans" w:hAnsi="Gill Sans" w:cs="Gill Sans"/>
                <w:szCs w:val="22"/>
                <w:lang w:val="en-GB"/>
              </w:rPr>
              <w:t>(</w:t>
            </w:r>
            <w:r w:rsidR="00500B09" w:rsidRPr="00500B09">
              <w:rPr>
                <w:rFonts w:ascii="Gill Sans" w:hAnsi="Gill Sans" w:cs="Gill Sans"/>
                <w:szCs w:val="22"/>
                <w:lang w:val="en-GB"/>
              </w:rPr>
              <w:t>6</w:t>
            </w:r>
            <w:r w:rsidR="00500B09">
              <w:rPr>
                <w:rFonts w:ascii="Gill Sans" w:hAnsi="Gill Sans" w:cs="Gill Sans"/>
                <w:szCs w:val="22"/>
                <w:lang w:val="en-GB"/>
              </w:rPr>
              <w:t>)</w:t>
            </w:r>
            <w:r w:rsidR="00500B09" w:rsidRPr="00500B09">
              <w:rPr>
                <w:rFonts w:ascii="Gill Sans" w:hAnsi="Gill Sans" w:cs="Gill Sans"/>
                <w:szCs w:val="22"/>
                <w:lang w:val="en-GB"/>
              </w:rPr>
              <w:t>, 657-667</w:t>
            </w:r>
            <w:r w:rsidR="00500B09">
              <w:rPr>
                <w:rFonts w:ascii="Gill Sans" w:hAnsi="Gill Sans" w:cs="Gill Sans"/>
                <w:szCs w:val="22"/>
                <w:lang w:val="en-GB"/>
              </w:rPr>
              <w:t>.</w:t>
            </w:r>
            <w:r w:rsidR="00500B09" w:rsidRPr="00500B09">
              <w:rPr>
                <w:rFonts w:ascii="Gill Sans" w:hAnsi="Gill Sans" w:cs="Gill Sans"/>
                <w:szCs w:val="22"/>
                <w:lang w:val="en-GB"/>
              </w:rPr>
              <w:t> DOI: 10.1080/13562517.2017.1414792</w:t>
            </w:r>
          </w:p>
          <w:p w14:paraId="610B7A31" w14:textId="6C88A8E6" w:rsidR="00F934ED" w:rsidRPr="00500B09" w:rsidRDefault="00F934ED" w:rsidP="00F934ED">
            <w:pPr>
              <w:rPr>
                <w:rFonts w:ascii="Gill Sans" w:hAnsi="Gill Sans" w:cs="Gill Sans"/>
                <w:szCs w:val="22"/>
              </w:rPr>
            </w:pPr>
          </w:p>
          <w:p w14:paraId="105B812C" w14:textId="77777777" w:rsidR="00F934ED" w:rsidRPr="00076E76" w:rsidRDefault="00F934ED" w:rsidP="00F934ED">
            <w:pPr>
              <w:rPr>
                <w:rFonts w:ascii="Gill Sans" w:hAnsi="Gill Sans" w:cs="Gill Sans"/>
                <w:i/>
                <w:szCs w:val="22"/>
              </w:rPr>
            </w:pPr>
          </w:p>
          <w:p w14:paraId="384F5CC9" w14:textId="77777777" w:rsidR="00F934ED" w:rsidRPr="00076E76" w:rsidRDefault="00F934ED" w:rsidP="00F934ED">
            <w:pPr>
              <w:rPr>
                <w:rFonts w:ascii="Gill Sans" w:hAnsi="Gill Sans" w:cs="Gill Sans"/>
                <w:szCs w:val="22"/>
              </w:rPr>
            </w:pPr>
            <w:r w:rsidRPr="00076E76">
              <w:rPr>
                <w:rFonts w:ascii="Gill Sans" w:hAnsi="Gill Sans" w:cs="Gill Sans"/>
                <w:szCs w:val="22"/>
              </w:rPr>
              <w:t>UK</w:t>
            </w:r>
          </w:p>
          <w:p w14:paraId="1282323E"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3C7C958E" w14:textId="77777777" w:rsidR="00F934ED" w:rsidRPr="00076E76" w:rsidRDefault="00F934ED" w:rsidP="00F934ED">
            <w:pPr>
              <w:rPr>
                <w:rFonts w:ascii="Gill Sans" w:hAnsi="Gill Sans" w:cs="Gill Sans"/>
                <w:szCs w:val="22"/>
              </w:rPr>
            </w:pPr>
          </w:p>
          <w:p w14:paraId="57A76B9A" w14:textId="77777777" w:rsidR="00F934ED" w:rsidRPr="00076E76" w:rsidRDefault="00F934ED" w:rsidP="00F934ED">
            <w:pPr>
              <w:rPr>
                <w:rFonts w:ascii="Gill Sans" w:hAnsi="Gill Sans" w:cs="Gill Sans"/>
                <w:szCs w:val="22"/>
              </w:rPr>
            </w:pPr>
          </w:p>
          <w:p w14:paraId="37A4A091" w14:textId="77777777" w:rsidR="00F934ED" w:rsidRPr="00076E76" w:rsidRDefault="00F934ED" w:rsidP="00F934ED">
            <w:pPr>
              <w:rPr>
                <w:rFonts w:ascii="Gill Sans" w:hAnsi="Gill Sans" w:cs="Gill Sans"/>
                <w:i/>
                <w:szCs w:val="22"/>
              </w:rPr>
            </w:pPr>
            <w:r w:rsidRPr="00076E76">
              <w:rPr>
                <w:rFonts w:ascii="Gill Sans" w:hAnsi="Gill Sans" w:cs="Gill Sans"/>
                <w:szCs w:val="22"/>
              </w:rPr>
              <w:t xml:space="preserve">Keywords: </w:t>
            </w:r>
            <w:r w:rsidRPr="00076E76">
              <w:rPr>
                <w:rFonts w:ascii="Gill Sans" w:hAnsi="Gill Sans" w:cs="Gill Sans"/>
                <w:i/>
                <w:szCs w:val="22"/>
              </w:rPr>
              <w:t>Threshold concepts; Lonergan; learning; cognition</w:t>
            </w:r>
          </w:p>
          <w:p w14:paraId="41B0BA49" w14:textId="77777777" w:rsidR="00F934ED" w:rsidRPr="00076E76" w:rsidRDefault="00F934ED" w:rsidP="00F934ED">
            <w:pPr>
              <w:rPr>
                <w:rFonts w:ascii="Gill Sans" w:hAnsi="Gill Sans" w:cs="Gill Sans"/>
                <w:i/>
                <w:szCs w:val="22"/>
              </w:rPr>
            </w:pPr>
          </w:p>
          <w:p w14:paraId="6BFCFB6F" w14:textId="2691B508" w:rsidR="00F934ED" w:rsidRPr="00076E76" w:rsidRDefault="00F934ED" w:rsidP="00500B09">
            <w:pPr>
              <w:rPr>
                <w:rFonts w:ascii="Gill Sans" w:hAnsi="Gill Sans" w:cs="Gill Sans"/>
                <w:szCs w:val="22"/>
              </w:rPr>
            </w:pPr>
          </w:p>
        </w:tc>
        <w:tc>
          <w:tcPr>
            <w:tcW w:w="10064" w:type="dxa"/>
          </w:tcPr>
          <w:p w14:paraId="25B98CEB" w14:textId="77777777" w:rsidR="00F934ED" w:rsidRPr="00076E76" w:rsidRDefault="00F934ED" w:rsidP="00F934ED">
            <w:pPr>
              <w:rPr>
                <w:rFonts w:ascii="Gill Sans" w:hAnsi="Gill Sans" w:cs="Gill Sans"/>
                <w:color w:val="000000"/>
                <w:szCs w:val="22"/>
              </w:rPr>
            </w:pPr>
            <w:r w:rsidRPr="00076E76">
              <w:rPr>
                <w:rFonts w:ascii="Gill Sans" w:hAnsi="Gill Sans" w:cs="Gill Sans"/>
                <w:b/>
                <w:color w:val="000000"/>
                <w:szCs w:val="22"/>
                <w:lang w:val="en-AU"/>
              </w:rPr>
              <w:t xml:space="preserve">Context: </w:t>
            </w:r>
            <w:r w:rsidRPr="00076E76">
              <w:rPr>
                <w:rFonts w:ascii="Gill Sans" w:hAnsi="Gill Sans" w:cs="Gill Sans"/>
                <w:color w:val="000000"/>
                <w:szCs w:val="22"/>
                <w:lang w:val="en-AU"/>
              </w:rPr>
              <w:t>Threshold concepts, notion of liminality and ‘</w:t>
            </w:r>
            <w:proofErr w:type="spellStart"/>
            <w:r w:rsidRPr="00076E76">
              <w:rPr>
                <w:rFonts w:ascii="Gill Sans" w:hAnsi="Gill Sans" w:cs="Gill Sans"/>
                <w:color w:val="000000"/>
                <w:szCs w:val="22"/>
                <w:lang w:val="en-AU"/>
              </w:rPr>
              <w:t>stuckness</w:t>
            </w:r>
            <w:proofErr w:type="spellEnd"/>
            <w:r w:rsidRPr="00076E76">
              <w:rPr>
                <w:rFonts w:ascii="Gill Sans" w:hAnsi="Gill Sans" w:cs="Gill Sans"/>
                <w:color w:val="000000"/>
                <w:szCs w:val="22"/>
                <w:lang w:val="en-AU"/>
              </w:rPr>
              <w:t>’. Offers review of threshold concepts (Land &amp; Meyer, 2003; Cousin, 2006): “</w:t>
            </w:r>
            <w:r w:rsidRPr="00076E76">
              <w:rPr>
                <w:rFonts w:ascii="Gill Sans" w:hAnsi="Gill Sans" w:cs="Gill Sans"/>
                <w:color w:val="000000"/>
                <w:szCs w:val="22"/>
              </w:rPr>
              <w:t>within the idea of a threshold concept is one of a liminal space, where learners may oscillate between old and new understandings. In this space, students often find learning challenging, and may get ‘stuck’. Such regions are the places of misunderstandings and confusion, with oscillation</w:t>
            </w:r>
          </w:p>
          <w:p w14:paraId="18C6007D" w14:textId="2133188C"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rPr>
              <w:t xml:space="preserve">between states of knowledge” (p.2). Authors note use of metaphor of ‘travelling through a tunnel’ for liminal space (see Land, </w:t>
            </w:r>
            <w:proofErr w:type="spellStart"/>
            <w:r w:rsidRPr="00076E76">
              <w:rPr>
                <w:rFonts w:ascii="Gill Sans" w:hAnsi="Gill Sans" w:cs="Gill Sans"/>
                <w:color w:val="000000"/>
                <w:szCs w:val="22"/>
              </w:rPr>
              <w:t>Rattay</w:t>
            </w:r>
            <w:proofErr w:type="spellEnd"/>
            <w:r w:rsidRPr="00076E76">
              <w:rPr>
                <w:rFonts w:ascii="Gill Sans" w:hAnsi="Gill Sans" w:cs="Gill Sans"/>
                <w:color w:val="000000"/>
                <w:szCs w:val="22"/>
              </w:rPr>
              <w:t xml:space="preserve"> &amp; Vivian, 2014). Note 5 properties of threshold concept = transformative, irreversible, integrative, bounded and troublesome, but not all necessary conditions to be defined as threshold concept. Teachers (not students) = responsible for identifying threshold concepts in a discipline/ subject/ topic, but teacher observation cannot account for individual difference in progressing through a threshold concept/ </w:t>
            </w:r>
            <w:proofErr w:type="spellStart"/>
            <w:r w:rsidRPr="00076E76">
              <w:rPr>
                <w:rFonts w:ascii="Gill Sans" w:hAnsi="Gill Sans" w:cs="Gill Sans"/>
                <w:color w:val="000000"/>
                <w:szCs w:val="22"/>
              </w:rPr>
              <w:t>practising</w:t>
            </w:r>
            <w:proofErr w:type="spellEnd"/>
            <w:r w:rsidRPr="00076E76">
              <w:rPr>
                <w:rFonts w:ascii="Gill Sans" w:hAnsi="Gill Sans" w:cs="Gill Sans"/>
                <w:color w:val="000000"/>
                <w:szCs w:val="22"/>
              </w:rPr>
              <w:t>/ learning: “Teaching, therefore, is not a simple task of laying out an accepted path to the portal. It may describe a path or paths to the portal, but it cannot ensure that the student passes along it” (p.4).</w:t>
            </w:r>
          </w:p>
          <w:p w14:paraId="7F0D83CA" w14:textId="6F52167E"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sidRPr="00076E76">
              <w:rPr>
                <w:rFonts w:ascii="Gill Sans" w:hAnsi="Gill Sans" w:cs="Gill Sans"/>
                <w:color w:val="000000"/>
                <w:szCs w:val="22"/>
                <w:lang w:val="en-AU"/>
              </w:rPr>
              <w:t>To add to understandings of threshold concepts; to argue for more developed understanding of threshold concepts using work of Lonergan.</w:t>
            </w:r>
          </w:p>
          <w:p w14:paraId="4485C80E" w14:textId="50DDDCBE"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Theoretical frame: </w:t>
            </w:r>
            <w:r w:rsidRPr="00076E76">
              <w:rPr>
                <w:rFonts w:ascii="Gill Sans" w:hAnsi="Gill Sans" w:cs="Gill Sans"/>
                <w:color w:val="000000"/>
                <w:szCs w:val="22"/>
                <w:lang w:val="en-AU"/>
              </w:rPr>
              <w:t xml:space="preserve">Cognitive theory of Lonergan: process of dynamic process of learning and coming to understand. Authors attempt to define steps of learning based on Lonergan’s theory that teaching = encouragement to learn/ development of understanding. Step 1 = experience (focus on experiences that are interesting/ important: questions of meaning will arise from desire to know. Step 2: once question = articulated, attempt to answer, gain insight. Step 3: concept formation = articulate insight, go beyond it, generalise from insight. Step 4 = ask ‘is it so?’. </w:t>
            </w:r>
          </w:p>
          <w:p w14:paraId="6A6A515E" w14:textId="20F9B0BF"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Insights = interconnected; can occur in clusters; can be wrong; can be inverse</w:t>
            </w:r>
          </w:p>
          <w:p w14:paraId="5B589BAC" w14:textId="77BA7B26"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Essay</w:t>
            </w:r>
          </w:p>
          <w:p w14:paraId="31EEE126" w14:textId="77777777" w:rsidR="00F934ED" w:rsidRPr="00076E76" w:rsidRDefault="00F934ED" w:rsidP="00F934ED">
            <w:pPr>
              <w:rPr>
                <w:rFonts w:ascii="Gill Sans" w:hAnsi="Gill Sans" w:cs="Gill Sans"/>
                <w:b/>
                <w:color w:val="000000"/>
                <w:szCs w:val="22"/>
                <w:lang w:val="en-AU"/>
              </w:rPr>
            </w:pPr>
            <w:r w:rsidRPr="00076E76">
              <w:rPr>
                <w:rFonts w:ascii="Gill Sans" w:hAnsi="Gill Sans" w:cs="Gill Sans"/>
                <w:b/>
                <w:color w:val="000000"/>
                <w:szCs w:val="22"/>
                <w:lang w:val="en-AU"/>
              </w:rPr>
              <w:t xml:space="preserve">Discussion: </w:t>
            </w:r>
          </w:p>
          <w:p w14:paraId="09C57E3B" w14:textId="7777777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lang w:val="en-AU"/>
              </w:rPr>
              <w:t>Lonergan’s insight + threshold concepts = “</w:t>
            </w:r>
            <w:r w:rsidRPr="00076E76">
              <w:rPr>
                <w:rFonts w:ascii="Gill Sans" w:hAnsi="Gill Sans" w:cs="Gill Sans"/>
                <w:color w:val="000000"/>
                <w:szCs w:val="22"/>
              </w:rPr>
              <w:t>Insight, and the model of cognitive development it proposes, allows us to view the learning process as a dynamic, personal one, and it is here proposed that this can serve to elucidate some of the static and hard to define aspects of threshold concepts, as well as serving to prompt revaluation of the teacher’s role” (p.7).</w:t>
            </w:r>
          </w:p>
          <w:p w14:paraId="5511BB3C" w14:textId="11054AC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rPr>
              <w:t xml:space="preserve">Addressing lack of individualism in identification of threshold concepts by teachers = “can be addressed by moving the focus from a position of identifying a single moment of understanding (the crossing of a threshold), </w:t>
            </w:r>
            <w:r w:rsidRPr="00076E76">
              <w:rPr>
                <w:rFonts w:ascii="Gill Sans" w:hAnsi="Gill Sans" w:cs="Gill Sans"/>
                <w:color w:val="000000"/>
                <w:szCs w:val="22"/>
              </w:rPr>
              <w:lastRenderedPageBreak/>
              <w:t xml:space="preserve">to, instead, </w:t>
            </w:r>
            <w:proofErr w:type="spellStart"/>
            <w:r w:rsidRPr="00076E76">
              <w:rPr>
                <w:rFonts w:ascii="Gill Sans" w:hAnsi="Gill Sans" w:cs="Gill Sans"/>
                <w:color w:val="000000"/>
                <w:szCs w:val="22"/>
              </w:rPr>
              <w:t>recognising</w:t>
            </w:r>
            <w:proofErr w:type="spellEnd"/>
            <w:r w:rsidRPr="00076E76">
              <w:rPr>
                <w:rFonts w:ascii="Gill Sans" w:hAnsi="Gill Sans" w:cs="Gill Sans"/>
                <w:color w:val="000000"/>
                <w:szCs w:val="22"/>
              </w:rPr>
              <w:t xml:space="preserve"> the potential for multiple and varied insights” (p.7)</w:t>
            </w:r>
            <w:r w:rsidRPr="00076E76">
              <w:rPr>
                <w:rFonts w:ascii="Gill Sans" w:hAnsi="Gill Sans" w:cs="Gill Sans"/>
                <w:b/>
                <w:color w:val="000000"/>
                <w:szCs w:val="22"/>
                <w:lang w:val="en-AU"/>
              </w:rPr>
              <w:br/>
              <w:t xml:space="preserve"> Core argument: </w:t>
            </w:r>
            <w:r w:rsidRPr="00076E76">
              <w:rPr>
                <w:rFonts w:ascii="Gill Sans" w:hAnsi="Gill Sans" w:cs="Gill Sans"/>
                <w:color w:val="000000"/>
                <w:szCs w:val="22"/>
                <w:lang w:val="en-AU"/>
              </w:rPr>
              <w:t>Threshold concepts positions liminal space as ‘single, discrete moment’ [I’m not sure this is the case], “</w:t>
            </w:r>
            <w:r w:rsidRPr="00076E76">
              <w:rPr>
                <w:rFonts w:ascii="Gill Sans" w:hAnsi="Gill Sans" w:cs="Gill Sans"/>
                <w:color w:val="000000"/>
                <w:szCs w:val="22"/>
              </w:rPr>
              <w:t>The liminal space can therefore be equated with the period when the student is obtaining insights, most of which are discarded, and a few of which enable them, incrementally, to approach the threshold of understanding. Each accepted insight is a step along the way of grasping a whole concept. This process may,</w:t>
            </w:r>
          </w:p>
          <w:p w14:paraId="1E544AF6" w14:textId="7777777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rPr>
              <w:t>indeed, be extended and troublesome, but passage through a threshold portal should not be seen as a single process, but one consisting of smaller steps” (p.8).</w:t>
            </w:r>
          </w:p>
          <w:p w14:paraId="6346B042" w14:textId="01BF6868"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rPr>
              <w:t>Getting stuck = due to “a reluctance or inability of the learner to move from common sense or old knowledge to theoretical or new knowledge” (p.8)</w:t>
            </w:r>
          </w:p>
        </w:tc>
      </w:tr>
      <w:tr w:rsidR="00F934ED" w:rsidRPr="00076E76" w14:paraId="0F8CC094" w14:textId="77777777" w:rsidTr="002E557C">
        <w:tc>
          <w:tcPr>
            <w:tcW w:w="5529" w:type="dxa"/>
          </w:tcPr>
          <w:p w14:paraId="5724261D" w14:textId="2B5C604B" w:rsidR="00F934ED" w:rsidRPr="00076E76" w:rsidRDefault="00F934ED" w:rsidP="00F934ED">
            <w:pPr>
              <w:rPr>
                <w:rFonts w:ascii="Gill Sans" w:hAnsi="Gill Sans" w:cs="Gill Sans"/>
                <w:szCs w:val="22"/>
              </w:rPr>
            </w:pPr>
            <w:proofErr w:type="spellStart"/>
            <w:r w:rsidRPr="00076E76">
              <w:rPr>
                <w:rFonts w:ascii="Gill Sans" w:hAnsi="Gill Sans" w:cs="Gill Sans"/>
                <w:szCs w:val="22"/>
              </w:rPr>
              <w:lastRenderedPageBreak/>
              <w:t>Hebdon</w:t>
            </w:r>
            <w:proofErr w:type="spellEnd"/>
            <w:r w:rsidRPr="00076E76">
              <w:rPr>
                <w:rFonts w:ascii="Gill Sans" w:hAnsi="Gill Sans" w:cs="Gill Sans"/>
                <w:szCs w:val="22"/>
              </w:rPr>
              <w:t xml:space="preserve">, S. (2015). </w:t>
            </w:r>
            <w:hyperlink r:id="rId74" w:history="1">
              <w:r w:rsidRPr="00672A7C">
                <w:rPr>
                  <w:rStyle w:val="Hyperlink"/>
                  <w:rFonts w:ascii="Gill Sans" w:hAnsi="Gill Sans" w:cs="Gill Sans"/>
                  <w:szCs w:val="22"/>
                </w:rPr>
                <w:t>Embedding support for students transitioning into higher education: Evaluation of a new model</w:t>
              </w:r>
            </w:hyperlink>
            <w:r w:rsidRPr="00076E76">
              <w:rPr>
                <w:rFonts w:ascii="Gill Sans" w:hAnsi="Gill Sans" w:cs="Gill Sans"/>
                <w:szCs w:val="22"/>
              </w:rPr>
              <w:t xml:space="preserve">, </w:t>
            </w:r>
            <w:r w:rsidRPr="00076E76">
              <w:rPr>
                <w:rFonts w:ascii="Gill Sans" w:hAnsi="Gill Sans" w:cs="Gill Sans"/>
                <w:i/>
                <w:szCs w:val="22"/>
              </w:rPr>
              <w:t>International Journal of Training Research</w:t>
            </w:r>
            <w:r>
              <w:rPr>
                <w:rFonts w:ascii="Gill Sans" w:hAnsi="Gill Sans" w:cs="Gill Sans"/>
                <w:szCs w:val="22"/>
              </w:rPr>
              <w:t>, 13(2), 119–</w:t>
            </w:r>
            <w:r w:rsidRPr="00076E76">
              <w:rPr>
                <w:rFonts w:ascii="Gill Sans" w:hAnsi="Gill Sans" w:cs="Gill Sans"/>
                <w:szCs w:val="22"/>
              </w:rPr>
              <w:t>131.</w:t>
            </w:r>
          </w:p>
          <w:p w14:paraId="20D708B2" w14:textId="77777777" w:rsidR="00F934ED" w:rsidRDefault="00F934ED" w:rsidP="00F934ED">
            <w:pPr>
              <w:rPr>
                <w:rFonts w:ascii="Gill Sans" w:hAnsi="Gill Sans" w:cs="Gill Sans"/>
                <w:szCs w:val="22"/>
              </w:rPr>
            </w:pPr>
          </w:p>
          <w:p w14:paraId="05B8C24E" w14:textId="77777777" w:rsidR="00F934ED" w:rsidRDefault="00F934ED" w:rsidP="00F934ED">
            <w:pPr>
              <w:rPr>
                <w:rFonts w:ascii="Gill Sans" w:hAnsi="Gill Sans" w:cs="Gill Sans"/>
                <w:szCs w:val="22"/>
              </w:rPr>
            </w:pPr>
            <w:r w:rsidRPr="00076E76">
              <w:rPr>
                <w:rFonts w:ascii="Gill Sans" w:hAnsi="Gill Sans" w:cs="Gill Sans"/>
                <w:szCs w:val="22"/>
              </w:rPr>
              <w:t>AUS</w:t>
            </w:r>
          </w:p>
          <w:p w14:paraId="689C39D5"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1C02E0E3" w14:textId="77777777" w:rsidR="00F934ED" w:rsidRDefault="00F934ED" w:rsidP="00F934ED">
            <w:pPr>
              <w:rPr>
                <w:rFonts w:ascii="Gill Sans" w:hAnsi="Gill Sans" w:cs="Gill Sans"/>
                <w:szCs w:val="22"/>
              </w:rPr>
            </w:pPr>
          </w:p>
          <w:p w14:paraId="357A20EF" w14:textId="77777777" w:rsidR="00F934ED" w:rsidRDefault="00F934ED" w:rsidP="00F934ED">
            <w:pPr>
              <w:rPr>
                <w:rFonts w:ascii="Gill Sans" w:hAnsi="Gill Sans" w:cs="Gill Sans"/>
                <w:i/>
                <w:szCs w:val="22"/>
              </w:rPr>
            </w:pPr>
            <w:r>
              <w:rPr>
                <w:rFonts w:ascii="Gill Sans" w:hAnsi="Gill Sans" w:cs="Gill Sans"/>
                <w:szCs w:val="22"/>
              </w:rPr>
              <w:t xml:space="preserve">Keywords: </w:t>
            </w:r>
            <w:r w:rsidRPr="00024A65">
              <w:rPr>
                <w:rFonts w:ascii="Gill Sans" w:hAnsi="Gill Sans" w:cs="Gill Sans"/>
                <w:i/>
                <w:szCs w:val="22"/>
              </w:rPr>
              <w:t>articulation; pathways; transitioning students; embedded support; progression rates; retention rates</w:t>
            </w:r>
          </w:p>
          <w:p w14:paraId="37F50DD9" w14:textId="77777777" w:rsidR="00F934ED" w:rsidRDefault="00F934ED" w:rsidP="00F934ED">
            <w:pPr>
              <w:rPr>
                <w:rFonts w:ascii="Gill Sans" w:hAnsi="Gill Sans" w:cs="Gill Sans"/>
                <w:szCs w:val="22"/>
              </w:rPr>
            </w:pPr>
          </w:p>
          <w:p w14:paraId="4EF49E91" w14:textId="4AC98485" w:rsidR="00F934ED" w:rsidRPr="00076E76" w:rsidRDefault="00F934ED" w:rsidP="00F934ED">
            <w:pPr>
              <w:rPr>
                <w:rFonts w:ascii="Gill Sans" w:hAnsi="Gill Sans" w:cs="Gill Sans"/>
                <w:szCs w:val="22"/>
              </w:rPr>
            </w:pPr>
          </w:p>
        </w:tc>
        <w:tc>
          <w:tcPr>
            <w:tcW w:w="10064" w:type="dxa"/>
          </w:tcPr>
          <w:p w14:paraId="36F3D1C3" w14:textId="77777777" w:rsidR="00F934ED" w:rsidRPr="00D252DA" w:rsidRDefault="00F934ED" w:rsidP="00F934ED">
            <w:pPr>
              <w:rPr>
                <w:rFonts w:ascii="Gill Sans" w:hAnsi="Gill Sans" w:cs="Gill Sans"/>
                <w:color w:val="000000"/>
                <w:szCs w:val="22"/>
                <w:lang w:val="en-AU"/>
              </w:rPr>
            </w:pPr>
            <w:r w:rsidRPr="00DB2678">
              <w:rPr>
                <w:rFonts w:ascii="Gill Sans" w:hAnsi="Gill Sans" w:cs="Gill Sans"/>
                <w:b/>
                <w:color w:val="000000"/>
                <w:szCs w:val="22"/>
                <w:lang w:val="en-AU"/>
              </w:rPr>
              <w:t xml:space="preserve">Context: </w:t>
            </w:r>
            <w:r>
              <w:rPr>
                <w:rFonts w:ascii="Gill Sans" w:hAnsi="Gill Sans" w:cs="Gill Sans"/>
                <w:color w:val="000000"/>
                <w:szCs w:val="22"/>
                <w:lang w:val="en-AU"/>
              </w:rPr>
              <w:t>Students readiness for transitioning from vocational education to Bachelor of Hospitality Management at Holmesglen Institute (dual sector; in partnership with Uni Canberra) and need for academic support. Students transitioning into BA with Diploma or Advanced Diploma of Hospitality. Large number of students = CALD or international; decision was made to develop ‘just-in-time’ support. LASS program designed as partnership between BHM course leader, academics, academic from academic skills unit and a librarian, and also consulted with counsellors to check the LASS met students’ needs. LASS = 2-hour, weekly class, linked to other content in the BHM</w:t>
            </w:r>
          </w:p>
          <w:p w14:paraId="42C301ED" w14:textId="77777777" w:rsidR="00F934ED" w:rsidRPr="00D252DA" w:rsidRDefault="00F934ED" w:rsidP="00F934ED">
            <w:pPr>
              <w:rPr>
                <w:rFonts w:ascii="Gill Sans" w:hAnsi="Gill Sans" w:cs="Gill Sans"/>
                <w:color w:val="000000"/>
                <w:szCs w:val="22"/>
                <w:lang w:val="en-AU"/>
              </w:rPr>
            </w:pPr>
            <w:r w:rsidRPr="00DB2678">
              <w:rPr>
                <w:rFonts w:ascii="Gill Sans" w:hAnsi="Gill Sans" w:cs="Gill Sans"/>
                <w:b/>
                <w:color w:val="000000"/>
                <w:szCs w:val="22"/>
                <w:lang w:val="en-AU"/>
              </w:rPr>
              <w:t xml:space="preserve">Aim: </w:t>
            </w:r>
            <w:r>
              <w:rPr>
                <w:rFonts w:ascii="Gill Sans" w:hAnsi="Gill Sans" w:cs="Gill Sans"/>
                <w:color w:val="000000"/>
                <w:szCs w:val="22"/>
                <w:lang w:val="en-AU"/>
              </w:rPr>
              <w:t>To analyse the effectiveness of the Learning Academic Skills Support (LASS) program, designed to support students into undergraduate level study.</w:t>
            </w:r>
          </w:p>
          <w:p w14:paraId="4E2DC401" w14:textId="77777777" w:rsidR="00F934ED" w:rsidRPr="00FF2A42" w:rsidRDefault="00F934ED" w:rsidP="00F934ED">
            <w:pPr>
              <w:rPr>
                <w:rFonts w:ascii="Gill Sans" w:hAnsi="Gill Sans" w:cs="Gill Sans"/>
                <w:color w:val="000000"/>
                <w:szCs w:val="22"/>
                <w:lang w:val="en-AU"/>
              </w:rPr>
            </w:pPr>
            <w:r w:rsidRPr="00DB2678">
              <w:rPr>
                <w:rFonts w:ascii="Gill Sans" w:hAnsi="Gill Sans" w:cs="Gill Sans"/>
                <w:b/>
                <w:color w:val="000000"/>
                <w:szCs w:val="22"/>
                <w:lang w:val="en-AU"/>
              </w:rPr>
              <w:t xml:space="preserve">Methodology: </w:t>
            </w:r>
            <w:r>
              <w:rPr>
                <w:rFonts w:ascii="Gill Sans" w:hAnsi="Gill Sans" w:cs="Gill Sans"/>
                <w:color w:val="000000"/>
                <w:szCs w:val="22"/>
                <w:lang w:val="en-AU"/>
              </w:rPr>
              <w:t>Evaluation (survey completed by 61% of LASS students)</w:t>
            </w:r>
          </w:p>
          <w:p w14:paraId="4CC52B36" w14:textId="77777777" w:rsidR="00F934ED" w:rsidRDefault="00F934ED" w:rsidP="00F934ED">
            <w:pPr>
              <w:rPr>
                <w:rFonts w:ascii="Gill Sans" w:hAnsi="Gill Sans" w:cs="Gill Sans"/>
                <w:color w:val="000000"/>
                <w:szCs w:val="22"/>
                <w:lang w:val="en-AU"/>
              </w:rPr>
            </w:pPr>
            <w:r w:rsidRPr="00DB2678">
              <w:rPr>
                <w:rFonts w:ascii="Gill Sans" w:hAnsi="Gill Sans" w:cs="Gill Sans"/>
                <w:b/>
                <w:color w:val="000000"/>
                <w:szCs w:val="22"/>
                <w:lang w:val="en-AU"/>
              </w:rPr>
              <w:t xml:space="preserve">Findings: </w:t>
            </w:r>
            <w:r>
              <w:rPr>
                <w:rFonts w:ascii="Gill Sans" w:hAnsi="Gill Sans" w:cs="Gill Sans"/>
                <w:color w:val="000000"/>
                <w:szCs w:val="22"/>
                <w:lang w:val="en-AU"/>
              </w:rPr>
              <w:t>Majority of students (70%) = international students; most had completed lower level qualifications at Holmesglen Institute.</w:t>
            </w:r>
          </w:p>
          <w:p w14:paraId="43179015" w14:textId="77777777" w:rsidR="00F934ED" w:rsidRDefault="00F934ED" w:rsidP="00F934ED">
            <w:pPr>
              <w:rPr>
                <w:rFonts w:ascii="Gill Sans" w:hAnsi="Gill Sans" w:cs="Gill Sans"/>
                <w:color w:val="000000"/>
                <w:szCs w:val="22"/>
                <w:lang w:val="en-AU"/>
              </w:rPr>
            </w:pPr>
            <w:r>
              <w:rPr>
                <w:rFonts w:ascii="Gill Sans" w:hAnsi="Gill Sans" w:cs="Gill Sans"/>
                <w:color w:val="000000"/>
                <w:szCs w:val="22"/>
                <w:lang w:val="en-AU"/>
              </w:rPr>
              <w:t xml:space="preserve">LASS introduced students to plagiarism software but 37.5% still thought it was OK to cut and paste directly from sources into assignment. </w:t>
            </w:r>
          </w:p>
          <w:p w14:paraId="79FF4AD2" w14:textId="77777777" w:rsidR="00F934ED" w:rsidRDefault="00F934ED" w:rsidP="00F934ED">
            <w:pPr>
              <w:rPr>
                <w:rFonts w:ascii="Gill Sans" w:hAnsi="Gill Sans" w:cs="Gill Sans"/>
                <w:color w:val="000000"/>
                <w:szCs w:val="22"/>
                <w:lang w:val="en-AU"/>
              </w:rPr>
            </w:pPr>
            <w:r>
              <w:rPr>
                <w:rFonts w:ascii="Gill Sans" w:hAnsi="Gill Sans" w:cs="Gill Sans"/>
                <w:color w:val="000000"/>
                <w:szCs w:val="22"/>
                <w:lang w:val="en-AU"/>
              </w:rPr>
              <w:t>37.5% of students thought they would have a chance to resubmit assignments until competent (not the case in BHM)</w:t>
            </w:r>
          </w:p>
          <w:p w14:paraId="51E64848" w14:textId="77777777" w:rsidR="00F934ED" w:rsidRDefault="00F934ED" w:rsidP="00F934ED">
            <w:pPr>
              <w:rPr>
                <w:rFonts w:ascii="Gill Sans" w:hAnsi="Gill Sans" w:cs="Gill Sans"/>
                <w:color w:val="000000"/>
                <w:szCs w:val="22"/>
                <w:lang w:val="en-AU"/>
              </w:rPr>
            </w:pPr>
            <w:r>
              <w:rPr>
                <w:rFonts w:ascii="Gill Sans" w:hAnsi="Gill Sans" w:cs="Gill Sans"/>
                <w:color w:val="000000"/>
                <w:szCs w:val="22"/>
                <w:lang w:val="en-AU"/>
              </w:rPr>
              <w:t>LASS students underestimated the amount of time/ effort needed to complete BHM studies. In terms of differences/ difficulties:</w:t>
            </w:r>
          </w:p>
          <w:p w14:paraId="0A6FE4E0" w14:textId="77777777" w:rsidR="00F934ED" w:rsidRDefault="00F934ED" w:rsidP="00F934ED">
            <w:pPr>
              <w:rPr>
                <w:rFonts w:ascii="Gill Sans" w:hAnsi="Gill Sans" w:cs="Gill Sans"/>
                <w:color w:val="000000"/>
                <w:szCs w:val="22"/>
                <w:lang w:val="en-AU"/>
              </w:rPr>
            </w:pPr>
            <w:r>
              <w:rPr>
                <w:rFonts w:ascii="Gill Sans" w:hAnsi="Gill Sans" w:cs="Gill Sans"/>
                <w:color w:val="000000"/>
                <w:szCs w:val="22"/>
                <w:lang w:val="en-AU"/>
              </w:rPr>
              <w:t>59% reported challenges with level/quality of work</w:t>
            </w:r>
          </w:p>
          <w:p w14:paraId="01AC1C60" w14:textId="77777777" w:rsidR="00F934ED" w:rsidRDefault="00F934ED" w:rsidP="00F934ED">
            <w:pPr>
              <w:rPr>
                <w:rFonts w:ascii="Gill Sans" w:hAnsi="Gill Sans" w:cs="Gill Sans"/>
                <w:color w:val="000000"/>
                <w:szCs w:val="22"/>
                <w:lang w:val="en-AU"/>
              </w:rPr>
            </w:pPr>
            <w:r>
              <w:rPr>
                <w:rFonts w:ascii="Gill Sans" w:hAnsi="Gill Sans" w:cs="Gill Sans"/>
                <w:color w:val="000000"/>
                <w:szCs w:val="22"/>
                <w:lang w:val="en-AU"/>
              </w:rPr>
              <w:t>40% reported difficulties with assessment tasks</w:t>
            </w:r>
          </w:p>
          <w:p w14:paraId="42C94ECA" w14:textId="77777777" w:rsidR="00F934ED" w:rsidRDefault="00F934ED" w:rsidP="00F934ED">
            <w:pPr>
              <w:rPr>
                <w:rFonts w:ascii="Gill Sans" w:hAnsi="Gill Sans" w:cs="Gill Sans"/>
                <w:color w:val="000000"/>
                <w:szCs w:val="22"/>
                <w:lang w:val="en-AU"/>
              </w:rPr>
            </w:pPr>
            <w:r>
              <w:rPr>
                <w:rFonts w:ascii="Gill Sans" w:hAnsi="Gill Sans" w:cs="Gill Sans"/>
                <w:color w:val="000000"/>
                <w:szCs w:val="22"/>
                <w:lang w:val="en-AU"/>
              </w:rPr>
              <w:t>30% reported challenges with level of research required</w:t>
            </w:r>
          </w:p>
          <w:p w14:paraId="3FE072E7" w14:textId="77777777" w:rsidR="00F934ED" w:rsidRDefault="00F934ED" w:rsidP="00F934ED">
            <w:pPr>
              <w:rPr>
                <w:rFonts w:ascii="Gill Sans" w:hAnsi="Gill Sans" w:cs="Gill Sans"/>
                <w:color w:val="000000"/>
                <w:szCs w:val="22"/>
                <w:lang w:val="en-AU"/>
              </w:rPr>
            </w:pPr>
            <w:r>
              <w:rPr>
                <w:rFonts w:ascii="Gill Sans" w:hAnsi="Gill Sans" w:cs="Gill Sans"/>
                <w:color w:val="000000"/>
                <w:szCs w:val="22"/>
                <w:lang w:val="en-AU"/>
              </w:rPr>
              <w:t xml:space="preserve">Overall, students rated the LASS course positively. Biggest improvements self-reported = academic writing </w:t>
            </w:r>
            <w:r>
              <w:rPr>
                <w:rFonts w:ascii="Gill Sans" w:hAnsi="Gill Sans" w:cs="Gill Sans"/>
                <w:color w:val="000000"/>
                <w:szCs w:val="22"/>
                <w:lang w:val="en-AU"/>
              </w:rPr>
              <w:lastRenderedPageBreak/>
              <w:t>(81%), research (52%), referencing (50%) and reading (40%)</w:t>
            </w:r>
          </w:p>
          <w:p w14:paraId="1973EE61" w14:textId="20A4D865" w:rsidR="00F934ED" w:rsidRPr="00076E76" w:rsidRDefault="00F934ED" w:rsidP="00F934ED">
            <w:pPr>
              <w:rPr>
                <w:rFonts w:ascii="Gill Sans" w:hAnsi="Gill Sans" w:cs="Gill Sans"/>
                <w:b/>
                <w:color w:val="000000"/>
                <w:szCs w:val="22"/>
                <w:lang w:val="en-AU"/>
              </w:rPr>
            </w:pPr>
            <w:r w:rsidRPr="00DB2678">
              <w:rPr>
                <w:rFonts w:ascii="Gill Sans" w:hAnsi="Gill Sans" w:cs="Gill Sans"/>
                <w:b/>
                <w:color w:val="000000"/>
                <w:szCs w:val="22"/>
                <w:lang w:val="en-AU"/>
              </w:rPr>
              <w:t>Core argument:</w:t>
            </w:r>
            <w:r>
              <w:rPr>
                <w:rFonts w:ascii="Gill Sans" w:hAnsi="Gill Sans" w:cs="Gill Sans"/>
                <w:b/>
                <w:color w:val="000000"/>
                <w:szCs w:val="22"/>
                <w:lang w:val="en-AU"/>
              </w:rPr>
              <w:t xml:space="preserve"> </w:t>
            </w:r>
            <w:r>
              <w:rPr>
                <w:rFonts w:ascii="Gill Sans" w:hAnsi="Gill Sans" w:cs="Gill Sans"/>
                <w:color w:val="000000"/>
                <w:szCs w:val="22"/>
                <w:lang w:val="en-AU"/>
              </w:rPr>
              <w:t>“</w:t>
            </w:r>
            <w:r w:rsidRPr="006D0D61">
              <w:rPr>
                <w:rFonts w:ascii="Gill Sans" w:hAnsi="Gill Sans" w:cs="Gill Sans"/>
                <w:color w:val="000000"/>
                <w:szCs w:val="22"/>
              </w:rPr>
              <w:t>The underlying objective of the</w:t>
            </w:r>
            <w:r>
              <w:rPr>
                <w:rFonts w:ascii="Gill Sans" w:hAnsi="Gill Sans" w:cs="Gill Sans"/>
                <w:color w:val="000000"/>
                <w:szCs w:val="22"/>
              </w:rPr>
              <w:t xml:space="preserve"> </w:t>
            </w:r>
            <w:r w:rsidRPr="006D0D61">
              <w:rPr>
                <w:rFonts w:ascii="Gill Sans" w:hAnsi="Gill Sans" w:cs="Gill Sans"/>
                <w:color w:val="000000"/>
                <w:szCs w:val="22"/>
              </w:rPr>
              <w:t>LASS program is to support and empower students as independent learners within the</w:t>
            </w:r>
            <w:r>
              <w:rPr>
                <w:rFonts w:ascii="Gill Sans" w:hAnsi="Gill Sans" w:cs="Gill Sans"/>
                <w:color w:val="000000"/>
                <w:szCs w:val="22"/>
              </w:rPr>
              <w:t xml:space="preserve"> </w:t>
            </w:r>
            <w:r w:rsidRPr="006D0D61">
              <w:rPr>
                <w:rFonts w:ascii="Gill Sans" w:hAnsi="Gill Sans" w:cs="Gill Sans"/>
                <w:color w:val="000000"/>
                <w:szCs w:val="22"/>
              </w:rPr>
              <w:t xml:space="preserve">HE </w:t>
            </w:r>
            <w:proofErr w:type="gramStart"/>
            <w:r w:rsidRPr="006D0D61">
              <w:rPr>
                <w:rFonts w:ascii="Gill Sans" w:hAnsi="Gill Sans" w:cs="Gill Sans"/>
                <w:color w:val="000000"/>
                <w:szCs w:val="22"/>
              </w:rPr>
              <w:t>space</w:t>
            </w:r>
            <w:proofErr w:type="gramEnd"/>
            <w:r w:rsidRPr="006D0D61">
              <w:rPr>
                <w:rFonts w:ascii="Gill Sans" w:hAnsi="Gill Sans" w:cs="Gill Sans"/>
                <w:color w:val="000000"/>
                <w:szCs w:val="22"/>
              </w:rPr>
              <w:t>, strongly scaffolding articu</w:t>
            </w:r>
            <w:r>
              <w:rPr>
                <w:rFonts w:ascii="Gill Sans" w:hAnsi="Gill Sans" w:cs="Gill Sans"/>
                <w:color w:val="000000"/>
                <w:szCs w:val="22"/>
              </w:rPr>
              <w:t>lating students during their fi</w:t>
            </w:r>
            <w:r w:rsidRPr="006D0D61">
              <w:rPr>
                <w:rFonts w:ascii="Gill Sans" w:hAnsi="Gill Sans" w:cs="Gill Sans"/>
                <w:color w:val="000000"/>
                <w:szCs w:val="22"/>
              </w:rPr>
              <w:t>rst semester, but its</w:t>
            </w:r>
            <w:r>
              <w:rPr>
                <w:rFonts w:ascii="Gill Sans" w:hAnsi="Gill Sans" w:cs="Gill Sans"/>
                <w:color w:val="000000"/>
                <w:szCs w:val="22"/>
              </w:rPr>
              <w:t xml:space="preserve"> </w:t>
            </w:r>
            <w:r w:rsidRPr="006D0D61">
              <w:rPr>
                <w:rFonts w:ascii="Gill Sans" w:hAnsi="Gill Sans" w:cs="Gill Sans"/>
                <w:color w:val="000000"/>
                <w:szCs w:val="22"/>
              </w:rPr>
              <w:t>long-term success depends on those same students going on to succeed autonomously</w:t>
            </w:r>
            <w:r>
              <w:rPr>
                <w:rFonts w:ascii="Gill Sans" w:hAnsi="Gill Sans" w:cs="Gill Sans"/>
                <w:color w:val="000000"/>
                <w:szCs w:val="22"/>
              </w:rPr>
              <w:t xml:space="preserve"> </w:t>
            </w:r>
            <w:r w:rsidRPr="006D0D61">
              <w:rPr>
                <w:rFonts w:ascii="Gill Sans" w:hAnsi="Gill Sans" w:cs="Gill Sans"/>
                <w:color w:val="000000"/>
                <w:szCs w:val="22"/>
              </w:rPr>
              <w:t>in successive semesters. So too, building research capabilities amongst practitioners</w:t>
            </w:r>
            <w:r>
              <w:rPr>
                <w:rFonts w:ascii="Gill Sans" w:hAnsi="Gill Sans" w:cs="Gill Sans"/>
                <w:color w:val="000000"/>
                <w:szCs w:val="22"/>
              </w:rPr>
              <w:t xml:space="preserve"> </w:t>
            </w:r>
            <w:r w:rsidRPr="006D0D61">
              <w:rPr>
                <w:rFonts w:ascii="Gill Sans" w:hAnsi="Gill Sans" w:cs="Gill Sans"/>
                <w:color w:val="000000"/>
                <w:szCs w:val="22"/>
              </w:rPr>
              <w:t>helps to develop a culture of questioning and knowledge sharing that pushes tertiary</w:t>
            </w:r>
            <w:r>
              <w:rPr>
                <w:rFonts w:ascii="Gill Sans" w:hAnsi="Gill Sans" w:cs="Gill Sans"/>
                <w:color w:val="000000"/>
                <w:szCs w:val="22"/>
              </w:rPr>
              <w:t xml:space="preserve"> </w:t>
            </w:r>
            <w:r w:rsidRPr="006D0D61">
              <w:rPr>
                <w:rFonts w:ascii="Gill Sans" w:hAnsi="Gill Sans" w:cs="Gill Sans"/>
                <w:color w:val="000000"/>
                <w:szCs w:val="22"/>
              </w:rPr>
              <w:t>education forward, enriching a body of knowledge that comes from its heart</w:t>
            </w:r>
            <w:r>
              <w:rPr>
                <w:rFonts w:ascii="Gill Sans" w:hAnsi="Gill Sans" w:cs="Gill Sans"/>
                <w:color w:val="000000"/>
                <w:szCs w:val="22"/>
              </w:rPr>
              <w:t>” (p.127)</w:t>
            </w:r>
          </w:p>
        </w:tc>
      </w:tr>
      <w:tr w:rsidR="00F934ED" w:rsidRPr="00076E76" w14:paraId="3A4067D6" w14:textId="77777777" w:rsidTr="002E557C">
        <w:tc>
          <w:tcPr>
            <w:tcW w:w="5529" w:type="dxa"/>
          </w:tcPr>
          <w:p w14:paraId="6032FD02" w14:textId="735EF30A" w:rsidR="00F934ED" w:rsidRDefault="00F934ED" w:rsidP="00F934ED">
            <w:pPr>
              <w:rPr>
                <w:rFonts w:ascii="Gill Sans" w:hAnsi="Gill Sans" w:cs="Gill Sans"/>
                <w:szCs w:val="22"/>
              </w:rPr>
            </w:pPr>
            <w:r w:rsidRPr="00076E76">
              <w:rPr>
                <w:rFonts w:ascii="Gill Sans" w:hAnsi="Gill Sans" w:cs="Gill Sans"/>
                <w:szCs w:val="22"/>
              </w:rPr>
              <w:lastRenderedPageBreak/>
              <w:t>Holliman, A.</w:t>
            </w:r>
            <w:r>
              <w:rPr>
                <w:rFonts w:ascii="Gill Sans" w:hAnsi="Gill Sans" w:cs="Gill Sans"/>
                <w:szCs w:val="22"/>
              </w:rPr>
              <w:t xml:space="preserve">; </w:t>
            </w:r>
            <w:proofErr w:type="spellStart"/>
            <w:r>
              <w:rPr>
                <w:rFonts w:ascii="Gill Sans" w:hAnsi="Gill Sans" w:cs="Gill Sans"/>
                <w:szCs w:val="22"/>
              </w:rPr>
              <w:t>Sheriston</w:t>
            </w:r>
            <w:proofErr w:type="spellEnd"/>
            <w:r>
              <w:rPr>
                <w:rFonts w:ascii="Gill Sans" w:hAnsi="Gill Sans" w:cs="Gill Sans"/>
                <w:szCs w:val="22"/>
              </w:rPr>
              <w:t xml:space="preserve">, L.; Martin, A.; Collie, R. &amp; Sayer, D. (2018). </w:t>
            </w:r>
            <w:hyperlink r:id="rId75" w:history="1">
              <w:r w:rsidRPr="00224790">
                <w:rPr>
                  <w:rStyle w:val="Hyperlink"/>
                  <w:rFonts w:ascii="Gill Sans" w:hAnsi="Gill Sans" w:cs="Gill Sans"/>
                  <w:szCs w:val="22"/>
                </w:rPr>
                <w:t xml:space="preserve">Adaptability: does students’ adjustment to university predict their mid-course academic achievement and </w:t>
              </w:r>
              <w:proofErr w:type="gramStart"/>
              <w:r w:rsidRPr="00224790">
                <w:rPr>
                  <w:rStyle w:val="Hyperlink"/>
                  <w:rFonts w:ascii="Gill Sans" w:hAnsi="Gill Sans" w:cs="Gill Sans"/>
                  <w:szCs w:val="22"/>
                </w:rPr>
                <w:t>satisfaction?,</w:t>
              </w:r>
              <w:proofErr w:type="gramEnd"/>
            </w:hyperlink>
            <w:r>
              <w:rPr>
                <w:rFonts w:ascii="Gill Sans" w:hAnsi="Gill Sans" w:cs="Gill Sans"/>
                <w:szCs w:val="22"/>
              </w:rPr>
              <w:t xml:space="preserve"> </w:t>
            </w:r>
            <w:r>
              <w:rPr>
                <w:rFonts w:ascii="Gill Sans" w:hAnsi="Gill Sans" w:cs="Gill Sans"/>
                <w:i/>
                <w:szCs w:val="22"/>
              </w:rPr>
              <w:t xml:space="preserve">Journal of Further and Higher Education, </w:t>
            </w:r>
            <w:r w:rsidRPr="00467EA7">
              <w:rPr>
                <w:rFonts w:ascii="Gill Sans" w:hAnsi="Gill Sans" w:cs="Gill Sans"/>
                <w:szCs w:val="22"/>
              </w:rPr>
              <w:t>DOI: 10.1080/0309877X.2018.1491957</w:t>
            </w:r>
          </w:p>
          <w:p w14:paraId="1F212C57" w14:textId="77777777" w:rsidR="00F934ED" w:rsidRDefault="00F934ED" w:rsidP="00F934ED">
            <w:pPr>
              <w:rPr>
                <w:rFonts w:ascii="Gill Sans" w:hAnsi="Gill Sans" w:cs="Gill Sans"/>
                <w:szCs w:val="22"/>
              </w:rPr>
            </w:pPr>
          </w:p>
          <w:p w14:paraId="56AECDAF" w14:textId="0FFBD075" w:rsidR="00F934ED" w:rsidRDefault="00F934ED" w:rsidP="00F934ED">
            <w:pPr>
              <w:rPr>
                <w:rFonts w:ascii="Gill Sans" w:hAnsi="Gill Sans" w:cs="Gill Sans"/>
                <w:szCs w:val="22"/>
              </w:rPr>
            </w:pPr>
            <w:r>
              <w:rPr>
                <w:rFonts w:ascii="Gill Sans" w:hAnsi="Gill Sans" w:cs="Gill Sans"/>
                <w:szCs w:val="22"/>
              </w:rPr>
              <w:t>UK/ AUS</w:t>
            </w:r>
          </w:p>
          <w:p w14:paraId="6733A58A"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58F71F4B" w14:textId="77777777" w:rsidR="00F934ED" w:rsidRDefault="00F934ED" w:rsidP="00F934ED">
            <w:pPr>
              <w:rPr>
                <w:rFonts w:ascii="Gill Sans" w:hAnsi="Gill Sans" w:cs="Gill Sans"/>
                <w:szCs w:val="22"/>
              </w:rPr>
            </w:pPr>
          </w:p>
          <w:p w14:paraId="45ECC94C" w14:textId="2223FD05" w:rsidR="00F934ED" w:rsidRPr="00234696" w:rsidRDefault="00F934ED" w:rsidP="00F934ED">
            <w:pPr>
              <w:rPr>
                <w:rFonts w:ascii="Gill Sans" w:hAnsi="Gill Sans" w:cs="Gill Sans"/>
                <w:szCs w:val="22"/>
              </w:rPr>
            </w:pPr>
            <w:r>
              <w:rPr>
                <w:rFonts w:ascii="Gill Sans" w:hAnsi="Gill Sans" w:cs="Gill Sans"/>
                <w:szCs w:val="22"/>
              </w:rPr>
              <w:t xml:space="preserve">Keywords: </w:t>
            </w:r>
            <w:r w:rsidRPr="00467EA7">
              <w:rPr>
                <w:rFonts w:ascii="Gill Sans" w:hAnsi="Gill Sans" w:cs="Gill Sans"/>
                <w:i/>
                <w:szCs w:val="22"/>
              </w:rPr>
              <w:t>Adaptability; buoyancy; motivation; achievement; satisfaction; university</w:t>
            </w:r>
          </w:p>
        </w:tc>
        <w:tc>
          <w:tcPr>
            <w:tcW w:w="10064" w:type="dxa"/>
          </w:tcPr>
          <w:p w14:paraId="0696DFBC" w14:textId="77777777" w:rsidR="00F934ED" w:rsidRPr="00967B25" w:rsidRDefault="00F934ED" w:rsidP="00F934ED">
            <w:pPr>
              <w:rPr>
                <w:rFonts w:ascii="Gill Sans" w:hAnsi="Gill Sans" w:cs="Gill Sans"/>
                <w:color w:val="000000"/>
                <w:szCs w:val="22"/>
              </w:rPr>
            </w:pPr>
            <w:r w:rsidRPr="00076E76">
              <w:rPr>
                <w:rFonts w:ascii="Gill Sans" w:hAnsi="Gill Sans" w:cs="Gill Sans"/>
                <w:b/>
                <w:color w:val="000000"/>
                <w:szCs w:val="22"/>
                <w:lang w:val="en-AU"/>
              </w:rPr>
              <w:t xml:space="preserve">Context: </w:t>
            </w:r>
            <w:r>
              <w:rPr>
                <w:rFonts w:ascii="Gill Sans" w:hAnsi="Gill Sans" w:cs="Gill Sans"/>
                <w:color w:val="000000"/>
                <w:szCs w:val="22"/>
                <w:lang w:val="en-AU"/>
              </w:rPr>
              <w:t>Students’ adaptability, academic buoyancy (“</w:t>
            </w:r>
            <w:r w:rsidRPr="00967B25">
              <w:rPr>
                <w:rFonts w:ascii="Gill Sans" w:hAnsi="Gill Sans" w:cs="Gill Sans"/>
                <w:color w:val="000000"/>
                <w:szCs w:val="22"/>
              </w:rPr>
              <w:t>ability to successfully navigate ‘everyday’ or</w:t>
            </w:r>
          </w:p>
          <w:p w14:paraId="25E86CD2" w14:textId="64D6AA10" w:rsidR="00F934ED" w:rsidRPr="00467EA7" w:rsidRDefault="00F934ED" w:rsidP="00F934ED">
            <w:pPr>
              <w:rPr>
                <w:rFonts w:ascii="Gill Sans" w:hAnsi="Gill Sans" w:cs="Gill Sans"/>
                <w:color w:val="000000"/>
                <w:szCs w:val="22"/>
                <w:lang w:val="en-AU"/>
              </w:rPr>
            </w:pPr>
            <w:r w:rsidRPr="00967B25">
              <w:rPr>
                <w:rFonts w:ascii="Gill Sans" w:hAnsi="Gill Sans" w:cs="Gill Sans"/>
                <w:color w:val="000000"/>
                <w:szCs w:val="22"/>
              </w:rPr>
              <w:t>low-level academic setbacks, challenges, adversities, and pressures</w:t>
            </w:r>
            <w:r>
              <w:rPr>
                <w:rFonts w:ascii="Gill Sans" w:hAnsi="Gill Sans" w:cs="Gill Sans"/>
                <w:color w:val="000000"/>
                <w:szCs w:val="22"/>
              </w:rPr>
              <w:t>”, p.2)</w:t>
            </w:r>
            <w:r>
              <w:rPr>
                <w:rFonts w:ascii="Gill Sans" w:hAnsi="Gill Sans" w:cs="Gill Sans"/>
                <w:color w:val="000000"/>
                <w:szCs w:val="22"/>
                <w:lang w:val="en-AU"/>
              </w:rPr>
              <w:t>, and academic motivation as predictors for mid-course achievement. Majority of research on adaptability has focused on school age children; authors thus identify higher education as a gap, with no research on whether adaptability being predictive of course satisfaction.</w:t>
            </w:r>
          </w:p>
          <w:p w14:paraId="60A37314" w14:textId="60734062" w:rsidR="00F934ED" w:rsidRDefault="00F934ED" w:rsidP="00F934ED">
            <w:pPr>
              <w:rPr>
                <w:rFonts w:ascii="Gill Sans" w:hAnsi="Gill Sans" w:cs="Gill Sans"/>
                <w:color w:val="000000"/>
                <w:szCs w:val="22"/>
              </w:rPr>
            </w:pPr>
            <w:r w:rsidRPr="00076E76">
              <w:rPr>
                <w:rFonts w:ascii="Gill Sans" w:hAnsi="Gill Sans" w:cs="Gill Sans"/>
                <w:b/>
                <w:color w:val="000000"/>
                <w:szCs w:val="22"/>
                <w:lang w:val="en-AU"/>
              </w:rPr>
              <w:t xml:space="preserve">Aim: </w:t>
            </w:r>
            <w:r>
              <w:rPr>
                <w:rFonts w:ascii="Gill Sans" w:hAnsi="Gill Sans" w:cs="Gill Sans"/>
                <w:color w:val="000000"/>
                <w:szCs w:val="22"/>
                <w:lang w:val="en-AU"/>
              </w:rPr>
              <w:t>To “</w:t>
            </w:r>
            <w:r w:rsidRPr="005A41EF">
              <w:rPr>
                <w:rFonts w:ascii="Gill Sans" w:hAnsi="Gill Sans" w:cs="Gill Sans"/>
                <w:color w:val="000000"/>
                <w:szCs w:val="22"/>
              </w:rPr>
              <w:t>examine the extent to which first-year university</w:t>
            </w:r>
            <w:r>
              <w:rPr>
                <w:rFonts w:ascii="Gill Sans" w:hAnsi="Gill Sans" w:cs="Gill Sans"/>
                <w:color w:val="000000"/>
                <w:szCs w:val="22"/>
              </w:rPr>
              <w:t xml:space="preserve"> </w:t>
            </w:r>
            <w:r w:rsidRPr="005A41EF">
              <w:rPr>
                <w:rFonts w:ascii="Gill Sans" w:hAnsi="Gill Sans" w:cs="Gill Sans"/>
                <w:color w:val="000000"/>
                <w:szCs w:val="22"/>
              </w:rPr>
              <w:t>students’ adaptability predicts their mid-course academic achi</w:t>
            </w:r>
            <w:r>
              <w:rPr>
                <w:rFonts w:ascii="Gill Sans" w:hAnsi="Gill Sans" w:cs="Gill Sans"/>
                <w:color w:val="000000"/>
                <w:szCs w:val="22"/>
              </w:rPr>
              <w:t>evement and course satisfaction” (p.2). Two RQs presented on p.4:</w:t>
            </w:r>
          </w:p>
          <w:p w14:paraId="502AAE64" w14:textId="5A10D519" w:rsidR="00F934ED" w:rsidRPr="00461CC2" w:rsidRDefault="00F934ED" w:rsidP="00F934ED">
            <w:pPr>
              <w:rPr>
                <w:rFonts w:ascii="Gill Sans" w:hAnsi="Gill Sans" w:cs="Gill Sans"/>
                <w:color w:val="000000"/>
                <w:szCs w:val="22"/>
              </w:rPr>
            </w:pPr>
            <w:r w:rsidRPr="00461CC2">
              <w:rPr>
                <w:rFonts w:ascii="Gill Sans" w:hAnsi="Gill Sans" w:cs="Gill Sans"/>
                <w:color w:val="000000"/>
                <w:szCs w:val="22"/>
              </w:rPr>
              <w:t>(1) What is the relationship between university students’ adaptability, academic buoyancy,</w:t>
            </w:r>
            <w:r>
              <w:rPr>
                <w:rFonts w:ascii="Gill Sans" w:hAnsi="Gill Sans" w:cs="Gill Sans"/>
                <w:color w:val="000000"/>
                <w:szCs w:val="22"/>
              </w:rPr>
              <w:t xml:space="preserve"> </w:t>
            </w:r>
            <w:r w:rsidRPr="00461CC2">
              <w:rPr>
                <w:rFonts w:ascii="Gill Sans" w:hAnsi="Gill Sans" w:cs="Gill Sans"/>
                <w:color w:val="000000"/>
                <w:szCs w:val="22"/>
              </w:rPr>
              <w:t>academic motivation, and their academic outcomes (mid-course academic achievement</w:t>
            </w:r>
            <w:r>
              <w:rPr>
                <w:rFonts w:ascii="Gill Sans" w:hAnsi="Gill Sans" w:cs="Gill Sans"/>
                <w:color w:val="000000"/>
                <w:szCs w:val="22"/>
              </w:rPr>
              <w:t xml:space="preserve"> </w:t>
            </w:r>
            <w:r w:rsidRPr="00461CC2">
              <w:rPr>
                <w:rFonts w:ascii="Gill Sans" w:hAnsi="Gill Sans" w:cs="Gill Sans"/>
                <w:color w:val="000000"/>
                <w:szCs w:val="22"/>
              </w:rPr>
              <w:t>and satisfaction)?</w:t>
            </w:r>
          </w:p>
          <w:p w14:paraId="4079E6D0" w14:textId="357564C2" w:rsidR="00F934ED" w:rsidRPr="005A41EF" w:rsidRDefault="00F934ED" w:rsidP="00F934ED">
            <w:pPr>
              <w:rPr>
                <w:rFonts w:ascii="Gill Sans" w:hAnsi="Gill Sans" w:cs="Gill Sans"/>
                <w:color w:val="000000"/>
                <w:szCs w:val="22"/>
                <w:lang w:val="en-AU"/>
              </w:rPr>
            </w:pPr>
            <w:r w:rsidRPr="00461CC2">
              <w:rPr>
                <w:rFonts w:ascii="Gill Sans" w:hAnsi="Gill Sans" w:cs="Gill Sans"/>
                <w:color w:val="000000"/>
                <w:szCs w:val="22"/>
              </w:rPr>
              <w:t>(2) Is university students’ adaptability uniquely associated with their academic outcomes (mid</w:t>
            </w:r>
            <w:r>
              <w:rPr>
                <w:rFonts w:ascii="Gill Sans" w:hAnsi="Gill Sans" w:cs="Gill Sans"/>
                <w:color w:val="000000"/>
                <w:szCs w:val="22"/>
              </w:rPr>
              <w:t>-</w:t>
            </w:r>
            <w:r w:rsidRPr="00461CC2">
              <w:rPr>
                <w:rFonts w:ascii="Gill Sans" w:hAnsi="Gill Sans" w:cs="Gill Sans"/>
                <w:color w:val="000000"/>
                <w:szCs w:val="22"/>
              </w:rPr>
              <w:t>course</w:t>
            </w:r>
            <w:r>
              <w:rPr>
                <w:rFonts w:ascii="Gill Sans" w:hAnsi="Gill Sans" w:cs="Gill Sans"/>
                <w:color w:val="000000"/>
                <w:szCs w:val="22"/>
              </w:rPr>
              <w:t xml:space="preserve"> </w:t>
            </w:r>
            <w:r w:rsidRPr="00461CC2">
              <w:rPr>
                <w:rFonts w:ascii="Gill Sans" w:hAnsi="Gill Sans" w:cs="Gill Sans"/>
                <w:color w:val="000000"/>
                <w:szCs w:val="22"/>
              </w:rPr>
              <w:t>academic achievement and satisfaction) beyond the influences of academic buoyancy</w:t>
            </w:r>
            <w:r>
              <w:rPr>
                <w:rFonts w:ascii="Gill Sans" w:hAnsi="Gill Sans" w:cs="Gill Sans"/>
                <w:color w:val="000000"/>
                <w:szCs w:val="22"/>
              </w:rPr>
              <w:t xml:space="preserve"> </w:t>
            </w:r>
            <w:r w:rsidRPr="00461CC2">
              <w:rPr>
                <w:rFonts w:ascii="Gill Sans" w:hAnsi="Gill Sans" w:cs="Gill Sans"/>
                <w:color w:val="000000"/>
                <w:szCs w:val="22"/>
              </w:rPr>
              <w:t>and academic motivation?</w:t>
            </w:r>
          </w:p>
          <w:p w14:paraId="7982A858" w14:textId="3869F415" w:rsidR="00F934ED" w:rsidRPr="00A34327"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Theoretical frame:</w:t>
            </w:r>
            <w:r>
              <w:rPr>
                <w:rFonts w:ascii="Gill Sans" w:hAnsi="Gill Sans" w:cs="Gill Sans"/>
                <w:b/>
                <w:color w:val="000000"/>
                <w:szCs w:val="22"/>
                <w:lang w:val="en-AU"/>
              </w:rPr>
              <w:t xml:space="preserve"> </w:t>
            </w:r>
            <w:r>
              <w:rPr>
                <w:rFonts w:ascii="Gill Sans" w:hAnsi="Gill Sans" w:cs="Gill Sans"/>
                <w:color w:val="000000"/>
                <w:szCs w:val="22"/>
                <w:lang w:val="en-AU"/>
              </w:rPr>
              <w:t>Psychological notion of ‘adaptability’: impact of adapting on achievement (e.g. Martin et al., 2013). “</w:t>
            </w:r>
            <w:r w:rsidRPr="00461CC2">
              <w:rPr>
                <w:rFonts w:ascii="Gill Sans" w:hAnsi="Gill Sans" w:cs="Gill Sans"/>
                <w:color w:val="000000"/>
                <w:szCs w:val="22"/>
              </w:rPr>
              <w:t xml:space="preserve">Adaptability focuses on the extent to which students are able to make the appropriate </w:t>
            </w:r>
            <w:r>
              <w:rPr>
                <w:rFonts w:ascii="Gill Sans" w:hAnsi="Gill Sans" w:cs="Gill Sans"/>
                <w:color w:val="000000"/>
                <w:szCs w:val="22"/>
              </w:rPr>
              <w:t xml:space="preserve">  c</w:t>
            </w:r>
            <w:r w:rsidRPr="00461CC2">
              <w:rPr>
                <w:rFonts w:ascii="Gill Sans" w:hAnsi="Gill Sans" w:cs="Gill Sans"/>
                <w:color w:val="000000"/>
                <w:szCs w:val="22"/>
              </w:rPr>
              <w:t>ognitive,</w:t>
            </w:r>
            <w:r>
              <w:rPr>
                <w:rFonts w:ascii="Gill Sans" w:hAnsi="Gill Sans" w:cs="Gill Sans"/>
                <w:color w:val="000000"/>
                <w:szCs w:val="22"/>
              </w:rPr>
              <w:t xml:space="preserve"> </w:t>
            </w:r>
            <w:proofErr w:type="spellStart"/>
            <w:r w:rsidRPr="00461CC2">
              <w:rPr>
                <w:rFonts w:ascii="Gill Sans" w:hAnsi="Gill Sans" w:cs="Gill Sans"/>
                <w:color w:val="000000"/>
                <w:szCs w:val="22"/>
              </w:rPr>
              <w:t>behavioural</w:t>
            </w:r>
            <w:proofErr w:type="spellEnd"/>
            <w:r w:rsidRPr="00461CC2">
              <w:rPr>
                <w:rFonts w:ascii="Gill Sans" w:hAnsi="Gill Sans" w:cs="Gill Sans"/>
                <w:color w:val="000000"/>
                <w:szCs w:val="22"/>
              </w:rPr>
              <w:t>, and emotional adjustments required to successfully navigate changing, novel, and</w:t>
            </w:r>
            <w:r>
              <w:rPr>
                <w:rFonts w:ascii="Gill Sans" w:hAnsi="Gill Sans" w:cs="Gill Sans"/>
                <w:color w:val="000000"/>
                <w:szCs w:val="22"/>
              </w:rPr>
              <w:t xml:space="preserve"> </w:t>
            </w:r>
            <w:r w:rsidRPr="00461CC2">
              <w:rPr>
                <w:rFonts w:ascii="Gill Sans" w:hAnsi="Gill Sans" w:cs="Gill Sans"/>
                <w:color w:val="000000"/>
                <w:szCs w:val="22"/>
              </w:rPr>
              <w:t>uncertain circumstances or situations</w:t>
            </w:r>
            <w:r>
              <w:rPr>
                <w:rFonts w:ascii="Gill Sans" w:hAnsi="Gill Sans" w:cs="Gill Sans"/>
                <w:color w:val="000000"/>
                <w:szCs w:val="22"/>
              </w:rPr>
              <w:t>” (p.3)</w:t>
            </w:r>
          </w:p>
          <w:p w14:paraId="24812F42" w14:textId="2468BA9A" w:rsidR="00F934ED" w:rsidRPr="00F86130"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Pr>
                <w:rFonts w:ascii="Gill Sans" w:hAnsi="Gill Sans" w:cs="Gill Sans"/>
                <w:color w:val="000000"/>
                <w:szCs w:val="22"/>
                <w:lang w:val="en-AU"/>
              </w:rPr>
              <w:t xml:space="preserve">Questionnaire using Adaptability scale (Martin et al., 2013); first-year Psychology students (n=90: 80%f, aged between 18–48). </w:t>
            </w:r>
          </w:p>
          <w:p w14:paraId="185A2D27" w14:textId="77777777" w:rsidR="00F934ED" w:rsidRDefault="00F934ED" w:rsidP="00F934ED">
            <w:pPr>
              <w:rPr>
                <w:rFonts w:ascii="Gill Sans" w:hAnsi="Gill Sans" w:cs="Gill Sans"/>
                <w:b/>
                <w:color w:val="000000"/>
                <w:szCs w:val="22"/>
                <w:lang w:val="en-AU"/>
              </w:rPr>
            </w:pPr>
            <w:r w:rsidRPr="00076E76">
              <w:rPr>
                <w:rFonts w:ascii="Gill Sans" w:hAnsi="Gill Sans" w:cs="Gill Sans"/>
                <w:b/>
                <w:color w:val="000000"/>
                <w:szCs w:val="22"/>
                <w:lang w:val="en-AU"/>
              </w:rPr>
              <w:t xml:space="preserve">Findings: </w:t>
            </w:r>
          </w:p>
          <w:p w14:paraId="7357D720" w14:textId="77777777" w:rsidR="00F934ED" w:rsidRDefault="00F934ED" w:rsidP="00F934ED">
            <w:pPr>
              <w:rPr>
                <w:rFonts w:ascii="Gill Sans" w:hAnsi="Gill Sans" w:cs="Gill Sans"/>
                <w:color w:val="000000"/>
                <w:szCs w:val="22"/>
                <w:lang w:val="en-AU"/>
              </w:rPr>
            </w:pPr>
            <w:r>
              <w:rPr>
                <w:rFonts w:ascii="Gill Sans" w:hAnsi="Gill Sans" w:cs="Gill Sans"/>
                <w:color w:val="000000"/>
                <w:szCs w:val="22"/>
                <w:lang w:val="en-AU"/>
              </w:rPr>
              <w:t>No significant results with regard to age, but some suggestion that women are less likely to feel able to cope with setbacks.</w:t>
            </w:r>
          </w:p>
          <w:p w14:paraId="62977E77" w14:textId="77777777" w:rsidR="00F934ED" w:rsidRDefault="00F934ED" w:rsidP="00F934ED">
            <w:pPr>
              <w:rPr>
                <w:rFonts w:ascii="Gill Sans" w:hAnsi="Gill Sans" w:cs="Gill Sans"/>
                <w:color w:val="000000"/>
                <w:szCs w:val="22"/>
                <w:lang w:val="en-AU"/>
              </w:rPr>
            </w:pPr>
            <w:r>
              <w:rPr>
                <w:rFonts w:ascii="Gill Sans" w:hAnsi="Gill Sans" w:cs="Gill Sans"/>
                <w:color w:val="000000"/>
                <w:szCs w:val="22"/>
                <w:lang w:val="en-AU"/>
              </w:rPr>
              <w:t>Adaptability and motivation positively correlate with academic achievement and course satisfaction</w:t>
            </w:r>
          </w:p>
          <w:p w14:paraId="35581914" w14:textId="77777777" w:rsidR="00F934ED" w:rsidRDefault="00F934ED" w:rsidP="00F934ED">
            <w:pPr>
              <w:rPr>
                <w:rFonts w:ascii="Gill Sans" w:hAnsi="Gill Sans" w:cs="Gill Sans"/>
                <w:color w:val="000000"/>
                <w:szCs w:val="22"/>
              </w:rPr>
            </w:pPr>
            <w:r>
              <w:rPr>
                <w:rFonts w:ascii="Gill Sans" w:hAnsi="Gill Sans" w:cs="Gill Sans"/>
                <w:color w:val="000000"/>
                <w:szCs w:val="22"/>
                <w:lang w:val="en-AU"/>
              </w:rPr>
              <w:t>Predictors: adaptability = “</w:t>
            </w:r>
            <w:r w:rsidRPr="002102A3">
              <w:rPr>
                <w:rFonts w:ascii="Gill Sans" w:hAnsi="Gill Sans" w:cs="Gill Sans"/>
                <w:color w:val="000000"/>
                <w:szCs w:val="22"/>
              </w:rPr>
              <w:t>a significant unique predictor of students’ university academic</w:t>
            </w:r>
            <w:r>
              <w:rPr>
                <w:rFonts w:ascii="Gill Sans" w:hAnsi="Gill Sans" w:cs="Gill Sans"/>
                <w:color w:val="000000"/>
                <w:szCs w:val="22"/>
              </w:rPr>
              <w:t xml:space="preserve"> </w:t>
            </w:r>
            <w:r w:rsidRPr="002102A3">
              <w:rPr>
                <w:rFonts w:ascii="Gill Sans" w:hAnsi="Gill Sans" w:cs="Gill Sans"/>
                <w:color w:val="000000"/>
                <w:szCs w:val="22"/>
              </w:rPr>
              <w:t>achievement, such that beyond the effects of buoyancy and motivation, adaptability was a unique</w:t>
            </w:r>
            <w:r>
              <w:rPr>
                <w:rFonts w:ascii="Gill Sans" w:hAnsi="Gill Sans" w:cs="Gill Sans"/>
                <w:color w:val="000000"/>
                <w:szCs w:val="22"/>
              </w:rPr>
              <w:t xml:space="preserve"> </w:t>
            </w:r>
            <w:r w:rsidRPr="002102A3">
              <w:rPr>
                <w:rFonts w:ascii="Gill Sans" w:hAnsi="Gill Sans" w:cs="Gill Sans"/>
                <w:color w:val="000000"/>
                <w:szCs w:val="22"/>
              </w:rPr>
              <w:t>predictor of academic achievement</w:t>
            </w:r>
            <w:r>
              <w:rPr>
                <w:rFonts w:ascii="Gill Sans" w:hAnsi="Gill Sans" w:cs="Gill Sans"/>
                <w:color w:val="000000"/>
                <w:szCs w:val="22"/>
              </w:rPr>
              <w:t>” (p.7)</w:t>
            </w:r>
          </w:p>
          <w:p w14:paraId="263453A1" w14:textId="7E79CDCB" w:rsidR="00F934ED" w:rsidRDefault="00F934ED" w:rsidP="00F934ED">
            <w:pPr>
              <w:rPr>
                <w:rFonts w:ascii="Gill Sans" w:hAnsi="Gill Sans" w:cs="Gill Sans"/>
                <w:color w:val="000000"/>
                <w:szCs w:val="22"/>
              </w:rPr>
            </w:pPr>
            <w:r>
              <w:rPr>
                <w:rFonts w:ascii="Gill Sans" w:hAnsi="Gill Sans" w:cs="Gill Sans"/>
                <w:color w:val="000000"/>
                <w:szCs w:val="22"/>
              </w:rPr>
              <w:t>Buoyancy and motivation = significant predictors for course satisfaction</w:t>
            </w:r>
            <w:r w:rsidRPr="00076E76">
              <w:rPr>
                <w:rFonts w:ascii="Gill Sans" w:hAnsi="Gill Sans" w:cs="Gill Sans"/>
                <w:b/>
                <w:color w:val="000000"/>
                <w:szCs w:val="22"/>
                <w:lang w:val="en-AU"/>
              </w:rPr>
              <w:br/>
            </w:r>
            <w:r w:rsidRPr="00076E76">
              <w:rPr>
                <w:rFonts w:ascii="Gill Sans" w:hAnsi="Gill Sans" w:cs="Gill Sans"/>
                <w:b/>
                <w:color w:val="000000"/>
                <w:szCs w:val="22"/>
                <w:lang w:val="en-AU"/>
              </w:rPr>
              <w:lastRenderedPageBreak/>
              <w:t>Core argument:</w:t>
            </w:r>
            <w:r>
              <w:rPr>
                <w:rFonts w:ascii="Gill Sans" w:hAnsi="Gill Sans" w:cs="Gill Sans"/>
                <w:b/>
                <w:color w:val="000000"/>
                <w:szCs w:val="22"/>
                <w:lang w:val="en-AU"/>
              </w:rPr>
              <w:t xml:space="preserve"> </w:t>
            </w:r>
            <w:r>
              <w:rPr>
                <w:rFonts w:ascii="Gill Sans" w:hAnsi="Gill Sans" w:cs="Gill Sans"/>
                <w:color w:val="000000"/>
                <w:szCs w:val="22"/>
                <w:lang w:val="en-AU"/>
              </w:rPr>
              <w:t>“</w:t>
            </w:r>
            <w:r w:rsidRPr="00DE5993">
              <w:rPr>
                <w:rFonts w:ascii="Gill Sans" w:hAnsi="Gill Sans" w:cs="Gill Sans"/>
                <w:color w:val="000000"/>
                <w:szCs w:val="22"/>
              </w:rPr>
              <w:t>university students’ adaptability was found to positively predict academic achievement,</w:t>
            </w:r>
            <w:r>
              <w:rPr>
                <w:rFonts w:ascii="Gill Sans" w:hAnsi="Gill Sans" w:cs="Gill Sans"/>
                <w:color w:val="000000"/>
                <w:szCs w:val="22"/>
              </w:rPr>
              <w:t xml:space="preserve"> </w:t>
            </w:r>
            <w:r w:rsidRPr="00DE5993">
              <w:rPr>
                <w:rFonts w:ascii="Gill Sans" w:hAnsi="Gill Sans" w:cs="Gill Sans"/>
                <w:color w:val="000000"/>
                <w:szCs w:val="22"/>
              </w:rPr>
              <w:t>beyond the effects of academic buoyancy and academic motivation</w:t>
            </w:r>
            <w:r>
              <w:rPr>
                <w:rFonts w:ascii="Gill Sans" w:hAnsi="Gill Sans" w:cs="Gill Sans"/>
                <w:color w:val="000000"/>
                <w:szCs w:val="22"/>
              </w:rPr>
              <w:t>” (p.8)</w:t>
            </w:r>
          </w:p>
          <w:p w14:paraId="53361163" w14:textId="77777777" w:rsidR="00F934ED" w:rsidRDefault="00F934ED" w:rsidP="00F934ED">
            <w:pPr>
              <w:rPr>
                <w:rFonts w:ascii="Gill Sans" w:hAnsi="Gill Sans" w:cs="Gill Sans"/>
                <w:color w:val="000000"/>
                <w:szCs w:val="22"/>
              </w:rPr>
            </w:pPr>
            <w:r>
              <w:rPr>
                <w:rFonts w:ascii="Gill Sans" w:hAnsi="Gill Sans" w:cs="Gill Sans"/>
                <w:color w:val="000000"/>
                <w:szCs w:val="22"/>
                <w:lang w:val="en-AU"/>
              </w:rPr>
              <w:t>Implications: universities should “</w:t>
            </w:r>
            <w:r w:rsidRPr="00DF7DB4">
              <w:rPr>
                <w:rFonts w:ascii="Gill Sans" w:hAnsi="Gill Sans" w:cs="Gill Sans"/>
                <w:color w:val="000000"/>
                <w:szCs w:val="22"/>
              </w:rPr>
              <w:t>engage their students in a dialogue to help them understand all that university life bring</w:t>
            </w:r>
            <w:r>
              <w:rPr>
                <w:rFonts w:ascii="Gill Sans" w:hAnsi="Gill Sans" w:cs="Gill Sans"/>
                <w:color w:val="000000"/>
                <w:szCs w:val="22"/>
              </w:rPr>
              <w:t>s” (p.8), with regard to the full gamut of experiences that students will need to adapt to. Martin et al. (2015) suggest 3 steps:</w:t>
            </w:r>
          </w:p>
          <w:p w14:paraId="6A6A3EC2" w14:textId="42E54E99" w:rsidR="00F934ED" w:rsidRDefault="00F934ED" w:rsidP="00F934ED">
            <w:pPr>
              <w:rPr>
                <w:rFonts w:ascii="Gill Sans" w:hAnsi="Gill Sans" w:cs="Gill Sans"/>
                <w:color w:val="000000"/>
                <w:szCs w:val="22"/>
              </w:rPr>
            </w:pPr>
            <w:r>
              <w:rPr>
                <w:rFonts w:ascii="Gill Sans" w:hAnsi="Gill Sans" w:cs="Gill Sans"/>
                <w:color w:val="000000"/>
                <w:szCs w:val="22"/>
              </w:rPr>
              <w:t>“</w:t>
            </w:r>
            <w:r w:rsidRPr="00612631">
              <w:rPr>
                <w:rFonts w:ascii="Gill Sans" w:hAnsi="Gill Sans" w:cs="Gill Sans"/>
                <w:color w:val="000000"/>
                <w:szCs w:val="22"/>
              </w:rPr>
              <w:t>(a) help students first identify and recognise situations</w:t>
            </w:r>
            <w:r>
              <w:rPr>
                <w:rFonts w:ascii="Gill Sans" w:hAnsi="Gill Sans" w:cs="Gill Sans"/>
                <w:color w:val="000000"/>
                <w:szCs w:val="22"/>
              </w:rPr>
              <w:t xml:space="preserve"> </w:t>
            </w:r>
            <w:r w:rsidRPr="00612631">
              <w:rPr>
                <w:rFonts w:ascii="Gill Sans" w:hAnsi="Gill Sans" w:cs="Gill Sans"/>
                <w:color w:val="000000"/>
                <w:szCs w:val="22"/>
              </w:rPr>
              <w:t>of change, uncertainty, and novelty that might require an appropriate regulatory response,</w:t>
            </w:r>
            <w:r>
              <w:rPr>
                <w:rFonts w:ascii="Gill Sans" w:hAnsi="Gill Sans" w:cs="Gill Sans"/>
                <w:color w:val="000000"/>
                <w:szCs w:val="22"/>
              </w:rPr>
              <w:t xml:space="preserve"> </w:t>
            </w:r>
          </w:p>
          <w:p w14:paraId="6719AB2F" w14:textId="77777777" w:rsidR="00F934ED" w:rsidRDefault="00F934ED" w:rsidP="00F934ED">
            <w:pPr>
              <w:rPr>
                <w:rFonts w:ascii="Gill Sans" w:hAnsi="Gill Sans" w:cs="Gill Sans"/>
                <w:color w:val="000000"/>
                <w:szCs w:val="22"/>
              </w:rPr>
            </w:pPr>
            <w:r w:rsidRPr="00612631">
              <w:rPr>
                <w:rFonts w:ascii="Gill Sans" w:hAnsi="Gill Sans" w:cs="Gill Sans"/>
                <w:color w:val="000000"/>
                <w:szCs w:val="22"/>
              </w:rPr>
              <w:t xml:space="preserve">(b) show students how to adjust their cognition, </w:t>
            </w:r>
            <w:proofErr w:type="spellStart"/>
            <w:r w:rsidRPr="00612631">
              <w:rPr>
                <w:rFonts w:ascii="Gill Sans" w:hAnsi="Gill Sans" w:cs="Gill Sans"/>
                <w:color w:val="000000"/>
                <w:szCs w:val="22"/>
              </w:rPr>
              <w:t>behaviour</w:t>
            </w:r>
            <w:proofErr w:type="spellEnd"/>
            <w:r w:rsidRPr="00612631">
              <w:rPr>
                <w:rFonts w:ascii="Gill Sans" w:hAnsi="Gill Sans" w:cs="Gill Sans"/>
                <w:color w:val="000000"/>
                <w:szCs w:val="22"/>
              </w:rPr>
              <w:t>, and emotions to the demands of the</w:t>
            </w:r>
            <w:r>
              <w:rPr>
                <w:rFonts w:ascii="Gill Sans" w:hAnsi="Gill Sans" w:cs="Gill Sans"/>
                <w:color w:val="000000"/>
                <w:szCs w:val="22"/>
              </w:rPr>
              <w:t xml:space="preserve"> </w:t>
            </w:r>
            <w:r w:rsidRPr="00612631">
              <w:rPr>
                <w:rFonts w:ascii="Gill Sans" w:hAnsi="Gill Sans" w:cs="Gill Sans"/>
                <w:color w:val="000000"/>
                <w:szCs w:val="22"/>
              </w:rPr>
              <w:t xml:space="preserve">situation, and </w:t>
            </w:r>
          </w:p>
          <w:p w14:paraId="27F3423A" w14:textId="482CD694" w:rsidR="00F934ED" w:rsidRPr="00DE5993" w:rsidRDefault="00F934ED" w:rsidP="00F934ED">
            <w:pPr>
              <w:rPr>
                <w:rFonts w:ascii="Gill Sans" w:hAnsi="Gill Sans" w:cs="Gill Sans"/>
                <w:color w:val="000000"/>
                <w:szCs w:val="22"/>
                <w:lang w:val="en-AU"/>
              </w:rPr>
            </w:pPr>
            <w:r w:rsidRPr="00612631">
              <w:rPr>
                <w:rFonts w:ascii="Gill Sans" w:hAnsi="Gill Sans" w:cs="Gill Sans"/>
                <w:color w:val="000000"/>
                <w:szCs w:val="22"/>
              </w:rPr>
              <w:t>(c) help students to recognise the importance of these regulatory responses with a</w:t>
            </w:r>
            <w:r>
              <w:rPr>
                <w:rFonts w:ascii="Gill Sans" w:hAnsi="Gill Sans" w:cs="Gill Sans"/>
                <w:color w:val="000000"/>
                <w:szCs w:val="22"/>
              </w:rPr>
              <w:t xml:space="preserve"> </w:t>
            </w:r>
            <w:r w:rsidRPr="00612631">
              <w:rPr>
                <w:rFonts w:ascii="Gill Sans" w:hAnsi="Gill Sans" w:cs="Gill Sans"/>
                <w:color w:val="000000"/>
                <w:szCs w:val="22"/>
              </w:rPr>
              <w:t>view to sustaining them for future occasion</w:t>
            </w:r>
            <w:r>
              <w:rPr>
                <w:rFonts w:ascii="Gill Sans" w:hAnsi="Gill Sans" w:cs="Gill Sans"/>
                <w:color w:val="000000"/>
                <w:szCs w:val="22"/>
              </w:rPr>
              <w:t>s when adaptability is required” (p.8).</w:t>
            </w:r>
          </w:p>
        </w:tc>
      </w:tr>
      <w:tr w:rsidR="00F934ED" w:rsidRPr="00076E76" w14:paraId="5FFDAF74" w14:textId="77777777" w:rsidTr="00516A4D">
        <w:tc>
          <w:tcPr>
            <w:tcW w:w="5529" w:type="dxa"/>
            <w:shd w:val="clear" w:color="auto" w:fill="auto"/>
          </w:tcPr>
          <w:p w14:paraId="4A26DE46" w14:textId="5C45F155" w:rsidR="00F934ED" w:rsidRPr="00076E76" w:rsidRDefault="00F934ED" w:rsidP="00F934ED">
            <w:pPr>
              <w:rPr>
                <w:rFonts w:ascii="Gill Sans" w:hAnsi="Gill Sans" w:cs="Gill Sans"/>
                <w:szCs w:val="22"/>
                <w:lang w:val="en-GB"/>
              </w:rPr>
            </w:pPr>
            <w:r w:rsidRPr="00076E76">
              <w:rPr>
                <w:rFonts w:ascii="Gill Sans" w:hAnsi="Gill Sans" w:cs="Gill Sans"/>
                <w:szCs w:val="22"/>
                <w:lang w:val="en-GB"/>
              </w:rPr>
              <w:lastRenderedPageBreak/>
              <w:t xml:space="preserve">Hussey, T. &amp; Smith, P. (2010). </w:t>
            </w:r>
            <w:hyperlink r:id="rId76" w:anchor=".XggGTC2Q1QI" w:history="1">
              <w:r w:rsidRPr="001779F8">
                <w:rPr>
                  <w:rStyle w:val="Hyperlink"/>
                  <w:rFonts w:ascii="Gill Sans" w:hAnsi="Gill Sans" w:cs="Gill Sans"/>
                  <w:szCs w:val="22"/>
                  <w:lang w:val="en-GB"/>
                </w:rPr>
                <w:t>Transitions in higher education</w:t>
              </w:r>
            </w:hyperlink>
            <w:r w:rsidRPr="00076E76">
              <w:rPr>
                <w:rFonts w:ascii="Gill Sans" w:hAnsi="Gill Sans" w:cs="Gill Sans"/>
                <w:szCs w:val="22"/>
                <w:lang w:val="en-GB"/>
              </w:rPr>
              <w:t xml:space="preserve">, </w:t>
            </w:r>
            <w:r w:rsidRPr="00076E76">
              <w:rPr>
                <w:rFonts w:ascii="Gill Sans" w:hAnsi="Gill Sans" w:cs="Gill Sans"/>
                <w:i/>
                <w:szCs w:val="22"/>
                <w:lang w:val="en-GB"/>
              </w:rPr>
              <w:t>Innovations in Education and Training International</w:t>
            </w:r>
            <w:r>
              <w:rPr>
                <w:rFonts w:ascii="Gill Sans" w:hAnsi="Gill Sans" w:cs="Gill Sans"/>
                <w:szCs w:val="22"/>
                <w:lang w:val="en-GB"/>
              </w:rPr>
              <w:t>, 47(2), 155–</w:t>
            </w:r>
            <w:r w:rsidRPr="00076E76">
              <w:rPr>
                <w:rFonts w:ascii="Gill Sans" w:hAnsi="Gill Sans" w:cs="Gill Sans"/>
                <w:szCs w:val="22"/>
                <w:lang w:val="en-GB"/>
              </w:rPr>
              <w:t>164.</w:t>
            </w:r>
          </w:p>
          <w:p w14:paraId="78075196" w14:textId="77777777" w:rsidR="00F934ED" w:rsidRPr="00076E76" w:rsidRDefault="00F934ED" w:rsidP="00F934ED">
            <w:pPr>
              <w:rPr>
                <w:rFonts w:ascii="Gill Sans" w:hAnsi="Gill Sans" w:cs="Gill Sans"/>
                <w:szCs w:val="22"/>
              </w:rPr>
            </w:pPr>
          </w:p>
          <w:p w14:paraId="4BD1D03E" w14:textId="77777777" w:rsidR="00F934ED" w:rsidRPr="00076E76" w:rsidRDefault="00F934ED" w:rsidP="00F934ED">
            <w:pPr>
              <w:rPr>
                <w:rFonts w:ascii="Gill Sans" w:hAnsi="Gill Sans" w:cs="Gill Sans"/>
                <w:szCs w:val="22"/>
              </w:rPr>
            </w:pPr>
            <w:r w:rsidRPr="00076E76">
              <w:rPr>
                <w:rFonts w:ascii="Gill Sans" w:hAnsi="Gill Sans" w:cs="Gill Sans"/>
                <w:szCs w:val="22"/>
              </w:rPr>
              <w:t>UK</w:t>
            </w:r>
          </w:p>
          <w:p w14:paraId="27CE3D35"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596E2998" w14:textId="77777777" w:rsidR="00F934ED" w:rsidRPr="00076E76" w:rsidRDefault="00F934ED" w:rsidP="00F934ED">
            <w:pPr>
              <w:rPr>
                <w:rFonts w:ascii="Gill Sans" w:hAnsi="Gill Sans" w:cs="Gill Sans"/>
                <w:szCs w:val="22"/>
              </w:rPr>
            </w:pPr>
          </w:p>
          <w:p w14:paraId="5E58641A" w14:textId="5333CF30" w:rsidR="00F934ED" w:rsidRPr="00076E76" w:rsidRDefault="00F934ED" w:rsidP="00F934ED">
            <w:pPr>
              <w:rPr>
                <w:rFonts w:ascii="Gill Sans" w:hAnsi="Gill Sans" w:cs="Gill Sans"/>
                <w:szCs w:val="22"/>
              </w:rPr>
            </w:pPr>
            <w:r w:rsidRPr="00076E76">
              <w:rPr>
                <w:rFonts w:ascii="Gill Sans" w:hAnsi="Gill Sans" w:cs="Gill Sans"/>
                <w:szCs w:val="22"/>
              </w:rPr>
              <w:t xml:space="preserve">Keywords: </w:t>
            </w:r>
            <w:r w:rsidRPr="00076E76">
              <w:rPr>
                <w:rFonts w:ascii="Gill Sans" w:hAnsi="Gill Sans" w:cs="Gill Sans"/>
                <w:i/>
                <w:szCs w:val="22"/>
              </w:rPr>
              <w:t>transitions; diversity; mass education; student drop-out; student-centred; education</w:t>
            </w:r>
          </w:p>
        </w:tc>
        <w:tc>
          <w:tcPr>
            <w:tcW w:w="10064" w:type="dxa"/>
          </w:tcPr>
          <w:p w14:paraId="62C813E3" w14:textId="78A2E39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sidRPr="00076E76">
              <w:rPr>
                <w:rFonts w:ascii="Gill Sans" w:hAnsi="Gill Sans" w:cs="Gill Sans"/>
                <w:color w:val="000000"/>
                <w:szCs w:val="22"/>
                <w:lang w:val="en-AU"/>
              </w:rPr>
              <w:t>Widening participation/ massification of higher education and the ‘problems’ that arise from increased diversity of student body. This plays out in the diversity of experiences of/ transitions. “</w:t>
            </w:r>
            <w:r w:rsidRPr="00076E76">
              <w:rPr>
                <w:rFonts w:ascii="Gill Sans" w:hAnsi="Gill Sans" w:cs="Gill Sans"/>
                <w:color w:val="000000"/>
                <w:szCs w:val="22"/>
              </w:rPr>
              <w:t xml:space="preserve">It is the chief task of an institution to ensure that the desirable transitions are </w:t>
            </w:r>
            <w:proofErr w:type="gramStart"/>
            <w:r w:rsidRPr="00076E76">
              <w:rPr>
                <w:rFonts w:ascii="Gill Sans" w:hAnsi="Gill Sans" w:cs="Gill Sans"/>
                <w:color w:val="000000"/>
                <w:szCs w:val="22"/>
              </w:rPr>
              <w:t>achieved</w:t>
            </w:r>
            <w:proofErr w:type="gramEnd"/>
            <w:r w:rsidRPr="00076E76">
              <w:rPr>
                <w:rFonts w:ascii="Gill Sans" w:hAnsi="Gill Sans" w:cs="Gill Sans"/>
                <w:color w:val="000000"/>
                <w:szCs w:val="22"/>
              </w:rPr>
              <w:t xml:space="preserve"> and the undesirable ones avoided, while allowing some flexibility about which of these are to accommodate different values” (p.156).</w:t>
            </w:r>
          </w:p>
          <w:p w14:paraId="30AFD723" w14:textId="737C0520"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sidRPr="00076E76">
              <w:rPr>
                <w:rFonts w:ascii="Gill Sans" w:hAnsi="Gill Sans" w:cs="Gill Sans"/>
                <w:color w:val="000000"/>
                <w:szCs w:val="22"/>
                <w:lang w:val="en-AU"/>
              </w:rPr>
              <w:t>To argue that design/delivery of higher education should be based on major transitions/ changes that [all??] students undertake/ designed around ‘individual development’.</w:t>
            </w:r>
          </w:p>
          <w:p w14:paraId="64DD343A" w14:textId="6A1D9FE3"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Theoretical frame: </w:t>
            </w:r>
            <w:r w:rsidRPr="00076E76">
              <w:rPr>
                <w:rFonts w:ascii="Gill Sans" w:hAnsi="Gill Sans" w:cs="Gill Sans"/>
                <w:color w:val="000000"/>
                <w:szCs w:val="22"/>
                <w:lang w:val="en-AU"/>
              </w:rPr>
              <w:t>Transition as change –some planned, some expected, some unexpected</w:t>
            </w:r>
          </w:p>
          <w:p w14:paraId="15297F19" w14:textId="0043530E"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Essay</w:t>
            </w:r>
          </w:p>
          <w:p w14:paraId="4B096C05" w14:textId="77777777" w:rsidR="00F934ED" w:rsidRPr="00076E76" w:rsidRDefault="00F934ED" w:rsidP="00F934ED">
            <w:pPr>
              <w:rPr>
                <w:rFonts w:ascii="Gill Sans" w:hAnsi="Gill Sans" w:cs="Gill Sans"/>
                <w:b/>
                <w:color w:val="000000"/>
                <w:szCs w:val="22"/>
                <w:lang w:val="en-AU"/>
              </w:rPr>
            </w:pPr>
            <w:r w:rsidRPr="00076E76">
              <w:rPr>
                <w:rFonts w:ascii="Gill Sans" w:hAnsi="Gill Sans" w:cs="Gill Sans"/>
                <w:b/>
                <w:color w:val="000000"/>
                <w:szCs w:val="22"/>
                <w:lang w:val="en-AU"/>
              </w:rPr>
              <w:t>Discussion:</w:t>
            </w:r>
          </w:p>
          <w:p w14:paraId="0BDB89C6" w14:textId="77777777" w:rsidR="00F934ED" w:rsidRPr="00076E76" w:rsidRDefault="00F934ED" w:rsidP="00F934ED">
            <w:pPr>
              <w:rPr>
                <w:rFonts w:ascii="Gill Sans" w:hAnsi="Gill Sans" w:cs="Gill Sans"/>
                <w:b/>
                <w:color w:val="000000"/>
                <w:szCs w:val="22"/>
                <w:lang w:val="en-AU"/>
              </w:rPr>
            </w:pPr>
            <w:r w:rsidRPr="00076E76">
              <w:rPr>
                <w:rFonts w:ascii="Gill Sans" w:hAnsi="Gill Sans" w:cs="Gill Sans"/>
                <w:color w:val="000000"/>
                <w:szCs w:val="22"/>
                <w:lang w:val="en-AU"/>
              </w:rPr>
              <w:t>Authors make the case that there are different types of transitions that students undertake:</w:t>
            </w:r>
            <w:r w:rsidRPr="00076E76">
              <w:rPr>
                <w:rFonts w:ascii="Gill Sans" w:hAnsi="Gill Sans" w:cs="Gill Sans"/>
                <w:b/>
                <w:color w:val="000000"/>
                <w:szCs w:val="22"/>
                <w:lang w:val="en-AU"/>
              </w:rPr>
              <w:t xml:space="preserve"> </w:t>
            </w:r>
          </w:p>
          <w:p w14:paraId="11D5630B"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Transitions in knowledge, understanding and skills (from novice to ‘skilled participant’ of discipline)</w:t>
            </w:r>
          </w:p>
          <w:p w14:paraId="3F3F5564"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Autonomy (from passive to autonomous student)</w:t>
            </w:r>
          </w:p>
          <w:p w14:paraId="5E2C421F"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Approaches to learning (from surface to deep learning)</w:t>
            </w:r>
          </w:p>
          <w:p w14:paraId="3E1E5B81" w14:textId="7777777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lang w:val="en-AU"/>
              </w:rPr>
              <w:t>Social and cultural integration, which “</w:t>
            </w:r>
            <w:r w:rsidRPr="00076E76">
              <w:rPr>
                <w:rFonts w:ascii="Gill Sans" w:hAnsi="Gill Sans" w:cs="Gill Sans"/>
                <w:color w:val="000000"/>
                <w:szCs w:val="22"/>
              </w:rPr>
              <w:t>involves identifying, understanding and assimilating a complex range of assumptions, behaviours and practices often tacitly represented by the range of disciplines, or fields, they are studying; and the demands persist throughout their studies” (p.159)</w:t>
            </w:r>
          </w:p>
          <w:p w14:paraId="00052233" w14:textId="5EE11C59"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rPr>
              <w:t>Students’ self-concept – including self-esteem and self-efficacy [taking a psychological view]</w:t>
            </w:r>
            <w:r w:rsidRPr="00076E76">
              <w:rPr>
                <w:rFonts w:ascii="Gill Sans" w:hAnsi="Gill Sans" w:cs="Gill Sans"/>
                <w:b/>
                <w:color w:val="000000"/>
                <w:szCs w:val="22"/>
                <w:lang w:val="en-AU"/>
              </w:rPr>
              <w:br/>
              <w:t xml:space="preserve">Core argument: </w:t>
            </w:r>
            <w:r w:rsidRPr="00076E76">
              <w:rPr>
                <w:rFonts w:ascii="Gill Sans" w:hAnsi="Gill Sans" w:cs="Gill Sans"/>
                <w:color w:val="000000"/>
                <w:szCs w:val="22"/>
                <w:lang w:val="en-AU"/>
              </w:rPr>
              <w:t>Need to identify ‘worthwhile’ transitions that students undertake and design/ deliver higher education in disciplinary-dependent ways.</w:t>
            </w:r>
          </w:p>
        </w:tc>
      </w:tr>
      <w:tr w:rsidR="00F934ED" w:rsidRPr="00076E76" w14:paraId="0BFCFC5D" w14:textId="77777777" w:rsidTr="00BB40D5">
        <w:tc>
          <w:tcPr>
            <w:tcW w:w="5529" w:type="dxa"/>
            <w:shd w:val="clear" w:color="auto" w:fill="auto"/>
          </w:tcPr>
          <w:p w14:paraId="1C182F76" w14:textId="456D3142" w:rsidR="00F934ED" w:rsidRDefault="00F934ED" w:rsidP="00F934ED">
            <w:pPr>
              <w:rPr>
                <w:rFonts w:ascii="Gill Sans" w:hAnsi="Gill Sans" w:cs="Gill Sans"/>
                <w:szCs w:val="22"/>
              </w:rPr>
            </w:pPr>
            <w:r w:rsidRPr="00076E76">
              <w:rPr>
                <w:rFonts w:ascii="Gill Sans" w:hAnsi="Gill Sans" w:cs="Gill Sans"/>
                <w:szCs w:val="22"/>
              </w:rPr>
              <w:t>Jackson, C. (2003).</w:t>
            </w:r>
            <w:r>
              <w:rPr>
                <w:rFonts w:ascii="Gill Sans" w:hAnsi="Gill Sans" w:cs="Gill Sans"/>
                <w:szCs w:val="22"/>
              </w:rPr>
              <w:t xml:space="preserve"> </w:t>
            </w:r>
            <w:hyperlink r:id="rId77" w:anchor="metadata_info_tab_contents" w:history="1">
              <w:r w:rsidRPr="00AD0BB4">
                <w:rPr>
                  <w:rStyle w:val="Hyperlink"/>
                  <w:rFonts w:ascii="Gill Sans" w:hAnsi="Gill Sans" w:cs="Gill Sans"/>
                  <w:szCs w:val="22"/>
                </w:rPr>
                <w:t>Transition into Higher Education: gendered implications for academic self-concept</w:t>
              </w:r>
            </w:hyperlink>
            <w:r>
              <w:rPr>
                <w:rFonts w:ascii="Gill Sans" w:hAnsi="Gill Sans" w:cs="Gill Sans"/>
                <w:szCs w:val="22"/>
              </w:rPr>
              <w:t xml:space="preserve">, </w:t>
            </w:r>
            <w:r>
              <w:rPr>
                <w:rFonts w:ascii="Gill Sans" w:hAnsi="Gill Sans" w:cs="Gill Sans"/>
                <w:i/>
                <w:szCs w:val="22"/>
              </w:rPr>
              <w:t xml:space="preserve">Oxford </w:t>
            </w:r>
            <w:r>
              <w:rPr>
                <w:rFonts w:ascii="Gill Sans" w:hAnsi="Gill Sans" w:cs="Gill Sans"/>
                <w:i/>
                <w:szCs w:val="22"/>
              </w:rPr>
              <w:lastRenderedPageBreak/>
              <w:t>Review of Education</w:t>
            </w:r>
            <w:r>
              <w:rPr>
                <w:rFonts w:ascii="Gill Sans" w:hAnsi="Gill Sans" w:cs="Gill Sans"/>
                <w:szCs w:val="22"/>
              </w:rPr>
              <w:t>, 29(3), 331–346.</w:t>
            </w:r>
          </w:p>
          <w:p w14:paraId="74C986D5" w14:textId="77777777" w:rsidR="00F934ED" w:rsidRDefault="00F934ED" w:rsidP="00F934ED">
            <w:pPr>
              <w:rPr>
                <w:rFonts w:ascii="Gill Sans" w:hAnsi="Gill Sans" w:cs="Gill Sans"/>
                <w:szCs w:val="22"/>
              </w:rPr>
            </w:pPr>
          </w:p>
          <w:p w14:paraId="15F7483B" w14:textId="77777777" w:rsidR="00F934ED" w:rsidRDefault="00F934ED" w:rsidP="00F934ED">
            <w:pPr>
              <w:rPr>
                <w:rFonts w:ascii="Gill Sans" w:hAnsi="Gill Sans" w:cs="Gill Sans"/>
                <w:szCs w:val="22"/>
              </w:rPr>
            </w:pPr>
            <w:r>
              <w:rPr>
                <w:rFonts w:ascii="Gill Sans" w:hAnsi="Gill Sans" w:cs="Gill Sans"/>
                <w:szCs w:val="22"/>
              </w:rPr>
              <w:t>UK</w:t>
            </w:r>
          </w:p>
          <w:p w14:paraId="232A5B33"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4A9AC916" w14:textId="77777777" w:rsidR="00F934ED" w:rsidRDefault="00F934ED" w:rsidP="00F934ED">
            <w:pPr>
              <w:rPr>
                <w:rFonts w:ascii="Gill Sans" w:hAnsi="Gill Sans" w:cs="Gill Sans"/>
                <w:szCs w:val="22"/>
              </w:rPr>
            </w:pPr>
          </w:p>
          <w:p w14:paraId="7112B503" w14:textId="69A5AF96" w:rsidR="00F934ED" w:rsidRPr="004B28E9" w:rsidRDefault="00500B09" w:rsidP="00F934ED">
            <w:pPr>
              <w:rPr>
                <w:rFonts w:ascii="Gill Sans" w:hAnsi="Gill Sans" w:cs="Gill Sans"/>
                <w:szCs w:val="22"/>
              </w:rPr>
            </w:pPr>
            <w:r>
              <w:rPr>
                <w:rFonts w:ascii="Gill Sans" w:hAnsi="Gill Sans" w:cs="Gill Sans"/>
                <w:szCs w:val="22"/>
              </w:rPr>
              <w:t>Keywords (Sally’s)</w:t>
            </w:r>
            <w:r w:rsidR="00F934ED">
              <w:rPr>
                <w:rFonts w:ascii="Gill Sans" w:hAnsi="Gill Sans" w:cs="Gill Sans"/>
                <w:szCs w:val="22"/>
              </w:rPr>
              <w:t>: gender, academic self-concept, transition, school to university</w:t>
            </w:r>
          </w:p>
        </w:tc>
        <w:tc>
          <w:tcPr>
            <w:tcW w:w="10064" w:type="dxa"/>
          </w:tcPr>
          <w:p w14:paraId="3D753818" w14:textId="3E192A71" w:rsidR="00F934ED" w:rsidRPr="00A31CC7"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lastRenderedPageBreak/>
              <w:t xml:space="preserve">Context: </w:t>
            </w:r>
            <w:r>
              <w:rPr>
                <w:rFonts w:ascii="Gill Sans" w:hAnsi="Gill Sans" w:cs="Gill Sans"/>
                <w:color w:val="000000"/>
                <w:szCs w:val="22"/>
                <w:lang w:val="en-AU"/>
              </w:rPr>
              <w:t xml:space="preserve">Secondary school to university transitions into English higher education; students’ perceptions of their academic competence. Author argues that at the time of writing, the dominant focus in transitions </w:t>
            </w:r>
            <w:r>
              <w:rPr>
                <w:rFonts w:ascii="Gill Sans" w:hAnsi="Gill Sans" w:cs="Gill Sans"/>
                <w:color w:val="000000"/>
                <w:szCs w:val="22"/>
                <w:lang w:val="en-AU"/>
              </w:rPr>
              <w:lastRenderedPageBreak/>
              <w:t xml:space="preserve">research was on compulsory schooling; </w:t>
            </w:r>
            <w:proofErr w:type="gramStart"/>
            <w:r>
              <w:rPr>
                <w:rFonts w:ascii="Gill Sans" w:hAnsi="Gill Sans" w:cs="Gill Sans"/>
                <w:color w:val="000000"/>
                <w:szCs w:val="22"/>
                <w:lang w:val="en-AU"/>
              </w:rPr>
              <w:t>therefore</w:t>
            </w:r>
            <w:proofErr w:type="gramEnd"/>
            <w:r>
              <w:rPr>
                <w:rFonts w:ascii="Gill Sans" w:hAnsi="Gill Sans" w:cs="Gill Sans"/>
                <w:color w:val="000000"/>
                <w:szCs w:val="22"/>
                <w:lang w:val="en-AU"/>
              </w:rPr>
              <w:t xml:space="preserve"> the optional nature of higher education (and students’ right/ choice to withdraw) makes it a compelling area to examine.</w:t>
            </w:r>
          </w:p>
          <w:p w14:paraId="54F5C8E9" w14:textId="076E8252" w:rsidR="00F934ED" w:rsidRPr="00A31CC7"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Pr>
                <w:rFonts w:ascii="Gill Sans" w:hAnsi="Gill Sans" w:cs="Gill Sans"/>
                <w:color w:val="000000"/>
                <w:szCs w:val="22"/>
                <w:lang w:val="en-AU"/>
              </w:rPr>
              <w:t>To examine the impact of transitioning into higher education on students’ self-concept, with a particular focus on gender, responding to these questions: “</w:t>
            </w:r>
            <w:r w:rsidRPr="007D0AD6">
              <w:rPr>
                <w:rFonts w:ascii="Gill Sans" w:hAnsi="Gill Sans" w:cs="Gill Sans"/>
                <w:color w:val="000000"/>
                <w:szCs w:val="22"/>
              </w:rPr>
              <w:t>does moving from a</w:t>
            </w:r>
            <w:r>
              <w:rPr>
                <w:rFonts w:ascii="Gill Sans" w:hAnsi="Gill Sans" w:cs="Gill Sans"/>
                <w:color w:val="000000"/>
                <w:szCs w:val="22"/>
              </w:rPr>
              <w:t xml:space="preserve"> </w:t>
            </w:r>
            <w:r w:rsidRPr="007D0AD6">
              <w:rPr>
                <w:rFonts w:ascii="Gill Sans" w:hAnsi="Gill Sans" w:cs="Gill Sans"/>
                <w:color w:val="000000"/>
                <w:szCs w:val="22"/>
              </w:rPr>
              <w:t>relatively small pond (sixth form or college) where many students are likely to feel like</w:t>
            </w:r>
            <w:r>
              <w:rPr>
                <w:rFonts w:ascii="Gill Sans" w:hAnsi="Gill Sans" w:cs="Gill Sans"/>
                <w:color w:val="000000"/>
                <w:szCs w:val="22"/>
              </w:rPr>
              <w:t xml:space="preserve"> </w:t>
            </w:r>
            <w:r w:rsidRPr="007D0AD6">
              <w:rPr>
                <w:rFonts w:ascii="Gill Sans" w:hAnsi="Gill Sans" w:cs="Gill Sans"/>
                <w:color w:val="000000"/>
                <w:szCs w:val="22"/>
              </w:rPr>
              <w:t>fairly ‘big fish’, to a larger pond (university) where most students are likely to feel like</w:t>
            </w:r>
            <w:r>
              <w:rPr>
                <w:rFonts w:ascii="Gill Sans" w:hAnsi="Gill Sans" w:cs="Gill Sans"/>
                <w:color w:val="000000"/>
                <w:szCs w:val="22"/>
              </w:rPr>
              <w:t xml:space="preserve"> </w:t>
            </w:r>
            <w:r w:rsidRPr="007D0AD6">
              <w:rPr>
                <w:rFonts w:ascii="Gill Sans" w:hAnsi="Gill Sans" w:cs="Gill Sans"/>
                <w:color w:val="000000"/>
                <w:szCs w:val="22"/>
              </w:rPr>
              <w:t>much ‘smaller fish’, affect self-concept?</w:t>
            </w:r>
            <w:r>
              <w:rPr>
                <w:rFonts w:ascii="Gill Sans" w:hAnsi="Gill Sans" w:cs="Gill Sans"/>
                <w:color w:val="000000"/>
                <w:szCs w:val="22"/>
                <w:lang w:val="en-AU"/>
              </w:rPr>
              <w:t xml:space="preserve"> (p.332)</w:t>
            </w:r>
          </w:p>
          <w:p w14:paraId="74296477" w14:textId="512A3403" w:rsidR="00F934ED" w:rsidRPr="007D0AD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Theoretical frame:</w:t>
            </w:r>
            <w:r>
              <w:rPr>
                <w:rFonts w:ascii="Gill Sans" w:hAnsi="Gill Sans" w:cs="Gill Sans"/>
                <w:b/>
                <w:color w:val="000000"/>
                <w:szCs w:val="22"/>
                <w:lang w:val="en-AU"/>
              </w:rPr>
              <w:t xml:space="preserve"> </w:t>
            </w:r>
            <w:r>
              <w:rPr>
                <w:rFonts w:ascii="Gill Sans" w:hAnsi="Gill Sans" w:cs="Gill Sans"/>
                <w:color w:val="000000"/>
                <w:szCs w:val="22"/>
                <w:lang w:val="en-AU"/>
              </w:rPr>
              <w:t>Self-concept = “</w:t>
            </w:r>
            <w:r w:rsidRPr="00FB1101">
              <w:rPr>
                <w:rFonts w:ascii="Gill Sans" w:hAnsi="Gill Sans" w:cs="Gill Sans"/>
                <w:color w:val="000000"/>
                <w:szCs w:val="22"/>
              </w:rPr>
              <w:t>multifaceted and</w:t>
            </w:r>
            <w:r>
              <w:rPr>
                <w:rFonts w:ascii="Gill Sans" w:hAnsi="Gill Sans" w:cs="Gill Sans"/>
                <w:color w:val="000000"/>
                <w:szCs w:val="22"/>
              </w:rPr>
              <w:t xml:space="preserve"> </w:t>
            </w:r>
            <w:r w:rsidRPr="00FB1101">
              <w:rPr>
                <w:rFonts w:ascii="Gill Sans" w:hAnsi="Gill Sans" w:cs="Gill Sans"/>
                <w:color w:val="000000"/>
                <w:szCs w:val="22"/>
              </w:rPr>
              <w:t>hierarchical; it comprises a general self-concept facet at the apex, which is then divided</w:t>
            </w:r>
            <w:r>
              <w:rPr>
                <w:rFonts w:ascii="Gill Sans" w:hAnsi="Gill Sans" w:cs="Gill Sans"/>
                <w:color w:val="000000"/>
                <w:szCs w:val="22"/>
              </w:rPr>
              <w:t xml:space="preserve"> </w:t>
            </w:r>
            <w:r w:rsidRPr="00FB1101">
              <w:rPr>
                <w:rFonts w:ascii="Gill Sans" w:hAnsi="Gill Sans" w:cs="Gill Sans"/>
                <w:color w:val="000000"/>
                <w:szCs w:val="22"/>
              </w:rPr>
              <w:t>into academic and non-academic components of self-concept</w:t>
            </w:r>
            <w:r>
              <w:rPr>
                <w:rFonts w:ascii="Gill Sans" w:hAnsi="Gill Sans" w:cs="Gill Sans"/>
                <w:color w:val="000000"/>
                <w:szCs w:val="22"/>
              </w:rPr>
              <w:t>” (p.332).</w:t>
            </w:r>
          </w:p>
          <w:p w14:paraId="7300108E" w14:textId="2614891A" w:rsidR="00F934ED" w:rsidRPr="00FB1101"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Pr>
                <w:rFonts w:ascii="Gill Sans" w:hAnsi="Gill Sans" w:cs="Gill Sans"/>
                <w:color w:val="000000"/>
                <w:szCs w:val="22"/>
                <w:lang w:val="en-AU"/>
              </w:rPr>
              <w:t xml:space="preserve">Questionnaire, which </w:t>
            </w:r>
            <w:r>
              <w:rPr>
                <w:rFonts w:ascii="Gill Sans" w:hAnsi="Gill Sans" w:cs="Gill Sans"/>
                <w:color w:val="000000"/>
                <w:szCs w:val="22"/>
              </w:rPr>
              <w:t>used</w:t>
            </w:r>
            <w:r w:rsidRPr="00813996">
              <w:rPr>
                <w:rFonts w:ascii="Gill Sans" w:hAnsi="Gill Sans" w:cs="Gill Sans"/>
                <w:color w:val="000000"/>
                <w:szCs w:val="22"/>
              </w:rPr>
              <w:t xml:space="preserve"> four sub-scales of the Self-Description Questionnaire-III (SDQ-III, Marsh, 199</w:t>
            </w:r>
            <w:r>
              <w:rPr>
                <w:rFonts w:ascii="Gill Sans" w:hAnsi="Gill Sans" w:cs="Gill Sans"/>
                <w:color w:val="000000"/>
                <w:szCs w:val="22"/>
              </w:rPr>
              <w:t>0)</w:t>
            </w:r>
            <w:r>
              <w:rPr>
                <w:rFonts w:ascii="Gill Sans" w:hAnsi="Gill Sans" w:cs="Gill Sans"/>
                <w:color w:val="000000"/>
                <w:szCs w:val="22"/>
                <w:lang w:val="en-AU"/>
              </w:rPr>
              <w:t xml:space="preserve"> with students from three different universities (see p.334 for details) at two points: 1) freshers week (n=508) and end of first semester (n=268). In total, 147 questionnaires for both survey points were usable (87f, 60m). Interviews also conducted with Year 2 students (n=5; 3f, 2m)</w:t>
            </w:r>
          </w:p>
          <w:p w14:paraId="2E288B9B" w14:textId="77777777" w:rsidR="00F934ED"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Findings: </w:t>
            </w:r>
            <w:r>
              <w:rPr>
                <w:rFonts w:ascii="Gill Sans" w:hAnsi="Gill Sans" w:cs="Gill Sans"/>
                <w:color w:val="000000"/>
                <w:szCs w:val="22"/>
                <w:lang w:val="en-AU"/>
              </w:rPr>
              <w:t>Significant gender differences appeared with regard to self-concept</w:t>
            </w:r>
          </w:p>
          <w:p w14:paraId="79852609" w14:textId="77777777" w:rsidR="00F934ED" w:rsidRDefault="00F934ED" w:rsidP="00F934ED">
            <w:pPr>
              <w:rPr>
                <w:rFonts w:ascii="Gill Sans" w:hAnsi="Gill Sans" w:cs="Gill Sans"/>
                <w:color w:val="000000"/>
                <w:szCs w:val="22"/>
                <w:lang w:val="en-AU"/>
              </w:rPr>
            </w:pPr>
            <w:r>
              <w:rPr>
                <w:rFonts w:ascii="Gill Sans" w:hAnsi="Gill Sans" w:cs="Gill Sans"/>
                <w:color w:val="000000"/>
                <w:szCs w:val="22"/>
                <w:lang w:val="en-AU"/>
              </w:rPr>
              <w:t>Overall, men = display higher self-concept than women in terms of 1) problem solving and 2) general self-concept</w:t>
            </w:r>
          </w:p>
          <w:p w14:paraId="7475F6EC" w14:textId="77777777" w:rsidR="00F934ED" w:rsidRDefault="00F934ED" w:rsidP="00F934ED">
            <w:pPr>
              <w:rPr>
                <w:rFonts w:ascii="Gill Sans" w:hAnsi="Gill Sans" w:cs="Gill Sans"/>
                <w:color w:val="000000"/>
                <w:szCs w:val="22"/>
                <w:lang w:val="en-AU"/>
              </w:rPr>
            </w:pPr>
            <w:r>
              <w:rPr>
                <w:rFonts w:ascii="Gill Sans" w:hAnsi="Gill Sans" w:cs="Gill Sans"/>
                <w:color w:val="000000"/>
                <w:szCs w:val="22"/>
                <w:lang w:val="en-AU"/>
              </w:rPr>
              <w:t>Over time, women experienced a drop in self-concept for verbal and general academic, with verbal dropping markedly.</w:t>
            </w:r>
          </w:p>
          <w:p w14:paraId="75B71712" w14:textId="30F5492B" w:rsidR="00F934ED" w:rsidRPr="00730E63" w:rsidRDefault="00F934ED" w:rsidP="00F934ED">
            <w:pPr>
              <w:rPr>
                <w:rFonts w:ascii="Gill Sans" w:hAnsi="Gill Sans" w:cs="Gill Sans"/>
                <w:color w:val="000000"/>
                <w:szCs w:val="22"/>
                <w:lang w:val="en-AU"/>
              </w:rPr>
            </w:pPr>
            <w:r>
              <w:rPr>
                <w:rFonts w:ascii="Gill Sans" w:hAnsi="Gill Sans" w:cs="Gill Sans"/>
                <w:color w:val="000000"/>
                <w:szCs w:val="22"/>
                <w:lang w:val="en-AU"/>
              </w:rPr>
              <w:t>Males = more likely to rank themselves highly against peers at both points of the survey. Both sexes are likely to experience a drop in perceived ability, but women are more likely to perceive a profound drop in ability</w:t>
            </w:r>
            <w:r w:rsidRPr="00076E76">
              <w:rPr>
                <w:rFonts w:ascii="Gill Sans" w:hAnsi="Gill Sans" w:cs="Gill Sans"/>
                <w:b/>
                <w:color w:val="000000"/>
                <w:szCs w:val="22"/>
                <w:lang w:val="en-AU"/>
              </w:rPr>
              <w:br/>
              <w:t>Core argument:</w:t>
            </w:r>
            <w:r>
              <w:rPr>
                <w:rFonts w:ascii="Gill Sans" w:hAnsi="Gill Sans" w:cs="Gill Sans"/>
                <w:b/>
                <w:color w:val="000000"/>
                <w:szCs w:val="22"/>
                <w:lang w:val="en-AU"/>
              </w:rPr>
              <w:t xml:space="preserve"> </w:t>
            </w:r>
            <w:r>
              <w:rPr>
                <w:rFonts w:ascii="Gill Sans" w:hAnsi="Gill Sans" w:cs="Gill Sans"/>
                <w:color w:val="000000"/>
                <w:szCs w:val="22"/>
                <w:lang w:val="en-AU"/>
              </w:rPr>
              <w:t>Perceptions of academic competence = “</w:t>
            </w:r>
            <w:r w:rsidRPr="0077269B">
              <w:rPr>
                <w:rFonts w:ascii="Gill Sans" w:hAnsi="Gill Sans" w:cs="Gill Sans"/>
                <w:color w:val="000000"/>
                <w:szCs w:val="22"/>
              </w:rPr>
              <w:t>perhaps the aspect of identity</w:t>
            </w:r>
            <w:r>
              <w:rPr>
                <w:rFonts w:ascii="Gill Sans" w:hAnsi="Gill Sans" w:cs="Gill Sans"/>
                <w:color w:val="000000"/>
                <w:szCs w:val="22"/>
              </w:rPr>
              <w:t xml:space="preserve"> </w:t>
            </w:r>
            <w:r w:rsidRPr="0077269B">
              <w:rPr>
                <w:rFonts w:ascii="Gill Sans" w:hAnsi="Gill Sans" w:cs="Gill Sans"/>
                <w:color w:val="000000"/>
                <w:szCs w:val="22"/>
              </w:rPr>
              <w:t>that is the most vulnerable over the transition to university</w:t>
            </w:r>
            <w:r>
              <w:rPr>
                <w:rFonts w:ascii="Gill Sans" w:hAnsi="Gill Sans" w:cs="Gill Sans"/>
                <w:color w:val="000000"/>
                <w:szCs w:val="22"/>
              </w:rPr>
              <w:t>” (p.342). For women, the ‘big fish little pond effect’ appears to explain the significant drop in perceived position and competence.</w:t>
            </w:r>
          </w:p>
        </w:tc>
      </w:tr>
      <w:tr w:rsidR="00F934ED" w:rsidRPr="00076E76" w14:paraId="0047BDA7" w14:textId="77777777" w:rsidTr="002E557C">
        <w:tc>
          <w:tcPr>
            <w:tcW w:w="5529" w:type="dxa"/>
          </w:tcPr>
          <w:p w14:paraId="2763F884" w14:textId="31430A2F" w:rsidR="00F934ED" w:rsidRPr="00937842" w:rsidRDefault="00F934ED" w:rsidP="00F934ED">
            <w:pPr>
              <w:contextualSpacing/>
              <w:rPr>
                <w:rFonts w:ascii="Gill Sans" w:hAnsi="Gill Sans" w:cs="Gill Sans"/>
                <w:szCs w:val="22"/>
              </w:rPr>
            </w:pPr>
            <w:r w:rsidRPr="00937842">
              <w:rPr>
                <w:rFonts w:ascii="Gill Sans" w:hAnsi="Gill Sans" w:cs="Gill Sans"/>
                <w:szCs w:val="22"/>
              </w:rPr>
              <w:lastRenderedPageBreak/>
              <w:t xml:space="preserve">Jansen, E. &amp; van der Meer, J. (2012). </w:t>
            </w:r>
            <w:hyperlink r:id="rId78" w:history="1">
              <w:r w:rsidRPr="00937842">
                <w:rPr>
                  <w:rStyle w:val="Hyperlink"/>
                  <w:rFonts w:ascii="Gill Sans" w:hAnsi="Gill Sans" w:cs="Gill Sans"/>
                  <w:szCs w:val="22"/>
                </w:rPr>
                <w:t>Ready for university? A cross-national study of students’ perceived preparedness for university</w:t>
              </w:r>
            </w:hyperlink>
            <w:r w:rsidRPr="00937842">
              <w:rPr>
                <w:rFonts w:ascii="Gill Sans" w:hAnsi="Gill Sans" w:cs="Gill Sans"/>
                <w:szCs w:val="22"/>
              </w:rPr>
              <w:t xml:space="preserve">, </w:t>
            </w:r>
            <w:r w:rsidRPr="00937842">
              <w:rPr>
                <w:rFonts w:ascii="Gill Sans" w:hAnsi="Gill Sans" w:cs="Gill Sans"/>
                <w:i/>
                <w:szCs w:val="22"/>
              </w:rPr>
              <w:t xml:space="preserve">Australian Educational Researcher, </w:t>
            </w:r>
            <w:r w:rsidRPr="00937842">
              <w:rPr>
                <w:rFonts w:ascii="Gill Sans" w:hAnsi="Gill Sans" w:cs="Gill Sans"/>
                <w:szCs w:val="22"/>
              </w:rPr>
              <w:t>39(1), 1–16.</w:t>
            </w:r>
          </w:p>
          <w:p w14:paraId="4141A988" w14:textId="77777777" w:rsidR="00F934ED" w:rsidRPr="00937842" w:rsidRDefault="00F934ED" w:rsidP="00F934ED">
            <w:pPr>
              <w:contextualSpacing/>
              <w:rPr>
                <w:rFonts w:ascii="Gill Sans" w:hAnsi="Gill Sans" w:cs="Gill Sans"/>
                <w:szCs w:val="22"/>
              </w:rPr>
            </w:pPr>
          </w:p>
          <w:p w14:paraId="0F11AE7C" w14:textId="77777777" w:rsidR="00F934ED" w:rsidRPr="00937842" w:rsidRDefault="00F934ED" w:rsidP="00F934ED">
            <w:pPr>
              <w:contextualSpacing/>
              <w:rPr>
                <w:rFonts w:ascii="Gill Sans" w:hAnsi="Gill Sans" w:cs="Gill Sans"/>
                <w:szCs w:val="22"/>
              </w:rPr>
            </w:pPr>
            <w:r w:rsidRPr="00937842">
              <w:rPr>
                <w:rFonts w:ascii="Gill Sans" w:hAnsi="Gill Sans" w:cs="Gill Sans"/>
                <w:szCs w:val="22"/>
              </w:rPr>
              <w:t>NZ/ NETHERLANDS</w:t>
            </w:r>
          </w:p>
          <w:p w14:paraId="75D21682" w14:textId="77777777" w:rsidR="00F934ED" w:rsidRDefault="00F934ED" w:rsidP="00F934ED">
            <w:pPr>
              <w:rPr>
                <w:rFonts w:ascii="Gill Sans" w:hAnsi="Gill Sans" w:cs="Gill Sans"/>
                <w:szCs w:val="22"/>
              </w:rPr>
            </w:pPr>
            <w:r w:rsidRPr="00937842">
              <w:rPr>
                <w:rFonts w:ascii="Gill Sans" w:hAnsi="Gill Sans" w:cs="Gill Sans"/>
                <w:szCs w:val="22"/>
              </w:rPr>
              <w:t>Annotation written by Evonne Irwin</w:t>
            </w:r>
          </w:p>
          <w:p w14:paraId="17B68139" w14:textId="77777777" w:rsidR="00F934ED" w:rsidRDefault="00F934ED" w:rsidP="00F934ED">
            <w:pPr>
              <w:rPr>
                <w:rFonts w:ascii="Gill Sans" w:hAnsi="Gill Sans" w:cs="Gill Sans"/>
                <w:szCs w:val="22"/>
              </w:rPr>
            </w:pPr>
          </w:p>
          <w:p w14:paraId="6C306F48" w14:textId="3BCCACFA" w:rsidR="00F934ED" w:rsidRPr="00076E76" w:rsidRDefault="00F934ED" w:rsidP="00F934ED">
            <w:pPr>
              <w:rPr>
                <w:rFonts w:ascii="Gill Sans" w:hAnsi="Gill Sans" w:cs="Gill Sans"/>
                <w:szCs w:val="22"/>
              </w:rPr>
            </w:pPr>
            <w:r>
              <w:rPr>
                <w:rFonts w:ascii="Gill Sans" w:hAnsi="Gill Sans" w:cs="Gill Sans"/>
                <w:szCs w:val="22"/>
              </w:rPr>
              <w:t xml:space="preserve">Keywords: </w:t>
            </w:r>
            <w:r w:rsidRPr="00FE7D34">
              <w:rPr>
                <w:rFonts w:ascii="Gill Sans" w:hAnsi="Gill Sans" w:cs="Gill Sans"/>
                <w:i/>
                <w:szCs w:val="22"/>
              </w:rPr>
              <w:t xml:space="preserve">Readiness; </w:t>
            </w:r>
            <w:r w:rsidR="00500B09">
              <w:rPr>
                <w:rFonts w:ascii="Gill Sans" w:hAnsi="Gill Sans" w:cs="Gill Sans"/>
                <w:i/>
                <w:szCs w:val="22"/>
              </w:rPr>
              <w:t>t</w:t>
            </w:r>
            <w:r w:rsidRPr="00FE7D34">
              <w:rPr>
                <w:rFonts w:ascii="Gill Sans" w:hAnsi="Gill Sans" w:cs="Gill Sans"/>
                <w:i/>
                <w:szCs w:val="22"/>
              </w:rPr>
              <w:t xml:space="preserve">ransition; </w:t>
            </w:r>
            <w:r w:rsidR="00500B09">
              <w:rPr>
                <w:rFonts w:ascii="Gill Sans" w:hAnsi="Gill Sans" w:cs="Gill Sans"/>
                <w:i/>
                <w:szCs w:val="22"/>
              </w:rPr>
              <w:t>f</w:t>
            </w:r>
            <w:r w:rsidRPr="00FE7D34">
              <w:rPr>
                <w:rFonts w:ascii="Gill Sans" w:hAnsi="Gill Sans" w:cs="Gill Sans"/>
                <w:i/>
                <w:szCs w:val="22"/>
              </w:rPr>
              <w:t xml:space="preserve">irst-year experience; </w:t>
            </w:r>
            <w:r w:rsidR="00500B09">
              <w:rPr>
                <w:rFonts w:ascii="Gill Sans" w:hAnsi="Gill Sans" w:cs="Gill Sans"/>
                <w:i/>
                <w:szCs w:val="22"/>
              </w:rPr>
              <w:t>c</w:t>
            </w:r>
            <w:r w:rsidRPr="00FE7D34">
              <w:rPr>
                <w:rFonts w:ascii="Gill Sans" w:hAnsi="Gill Sans" w:cs="Gill Sans"/>
                <w:i/>
                <w:szCs w:val="22"/>
              </w:rPr>
              <w:t>ross-national comparisons</w:t>
            </w:r>
          </w:p>
        </w:tc>
        <w:tc>
          <w:tcPr>
            <w:tcW w:w="10064" w:type="dxa"/>
          </w:tcPr>
          <w:p w14:paraId="0C80C0B8" w14:textId="77777777" w:rsidR="00F934ED" w:rsidRPr="00937842" w:rsidRDefault="00F934ED" w:rsidP="00F934ED">
            <w:pPr>
              <w:rPr>
                <w:rFonts w:ascii="Gill Sans" w:hAnsi="Gill Sans" w:cs="Gill Sans"/>
                <w:color w:val="000000"/>
                <w:szCs w:val="22"/>
                <w:lang w:val="en-AU"/>
              </w:rPr>
            </w:pPr>
            <w:r w:rsidRPr="00937842">
              <w:rPr>
                <w:rFonts w:ascii="Gill Sans" w:hAnsi="Gill Sans" w:cs="Gill Sans"/>
                <w:b/>
                <w:color w:val="000000"/>
                <w:szCs w:val="22"/>
                <w:lang w:val="en-AU"/>
              </w:rPr>
              <w:t xml:space="preserve">Context: </w:t>
            </w:r>
            <w:r w:rsidRPr="00937842">
              <w:rPr>
                <w:rFonts w:ascii="Gill Sans" w:hAnsi="Gill Sans" w:cs="Gill Sans"/>
                <w:color w:val="000000"/>
                <w:szCs w:val="22"/>
                <w:lang w:val="en-AU"/>
              </w:rPr>
              <w:t>Cross-national study involving New Zealand and the Netherlands measuring students’ perceived preparedness for university before entering higher education. Framed in terms of demands for a ‘highly educated workforce’ and widening participation policy contexts which aim to improve access to higher education but do not necessarily lead to increased completions of degree programs. Focuses on attrition, transitions, academic preparedness and the first-year experience.</w:t>
            </w:r>
          </w:p>
          <w:p w14:paraId="426DFDA1" w14:textId="77777777" w:rsidR="00F934ED" w:rsidRPr="00937842" w:rsidRDefault="00F934ED" w:rsidP="00F934ED">
            <w:pPr>
              <w:rPr>
                <w:rFonts w:ascii="Gill Sans" w:hAnsi="Gill Sans" w:cs="Gill Sans"/>
                <w:color w:val="000000"/>
                <w:szCs w:val="22"/>
                <w:lang w:val="en-AU"/>
              </w:rPr>
            </w:pPr>
            <w:r w:rsidRPr="00937842">
              <w:rPr>
                <w:rFonts w:ascii="Gill Sans" w:hAnsi="Gill Sans" w:cs="Gill Sans"/>
                <w:b/>
                <w:color w:val="000000"/>
                <w:szCs w:val="22"/>
                <w:lang w:val="en-AU"/>
              </w:rPr>
              <w:t xml:space="preserve">Aim: </w:t>
            </w:r>
            <w:r w:rsidRPr="00937842">
              <w:rPr>
                <w:rFonts w:ascii="Gill Sans" w:hAnsi="Gill Sans" w:cs="Gill Sans"/>
                <w:color w:val="000000"/>
                <w:szCs w:val="22"/>
                <w:lang w:val="en-AU"/>
              </w:rPr>
              <w:t>Research questions addressed: “Do students from the two countries differ in their overall self-perceived preparedness and in their self-estimated chances of success?” “Can we establish differences on aspects of readiness between the two groups of students?” “To what extent can we explain the perceived preparedness by readiness and self-estimated chances of success? Which factors differ and which factors can be considered to have a similar effect on perceived preparedness in the two countries?” (p. 4)</w:t>
            </w:r>
          </w:p>
          <w:p w14:paraId="10A7D877" w14:textId="77777777" w:rsidR="00F934ED" w:rsidRPr="00937842" w:rsidRDefault="00F934ED" w:rsidP="00F934ED">
            <w:pPr>
              <w:rPr>
                <w:rFonts w:ascii="Gill Sans" w:hAnsi="Gill Sans" w:cs="Gill Sans"/>
                <w:color w:val="000000"/>
                <w:szCs w:val="22"/>
                <w:lang w:val="en-AU"/>
              </w:rPr>
            </w:pPr>
            <w:r w:rsidRPr="00937842">
              <w:rPr>
                <w:rFonts w:ascii="Gill Sans" w:hAnsi="Gill Sans" w:cs="Gill Sans"/>
                <w:b/>
                <w:color w:val="000000"/>
                <w:szCs w:val="22"/>
                <w:lang w:val="en-AU"/>
              </w:rPr>
              <w:lastRenderedPageBreak/>
              <w:t>Methodology:</w:t>
            </w:r>
            <w:r w:rsidRPr="00937842">
              <w:rPr>
                <w:rFonts w:ascii="Gill Sans" w:hAnsi="Gill Sans" w:cs="Gill Sans"/>
                <w:color w:val="000000"/>
                <w:szCs w:val="22"/>
                <w:lang w:val="en-AU"/>
              </w:rPr>
              <w:t xml:space="preserve"> Uses a survey instrument developed by the authors: The Readiness and Expectations Questionnaire (REQ) (2007; 2008) administered online and/or by hardcopy prior to the start of the academic year in each country. The survey was initially trialled in both countries, analysed and modified. The results reported in this paper are from the first iteration of the survey. Survey responses were statistically analysed. Responses: NZ, </w:t>
            </w:r>
            <w:r w:rsidRPr="00937842">
              <w:rPr>
                <w:rFonts w:ascii="Gill Sans" w:hAnsi="Gill Sans" w:cs="Gill Sans"/>
                <w:i/>
                <w:color w:val="000000"/>
                <w:szCs w:val="22"/>
                <w:lang w:val="en-AU"/>
              </w:rPr>
              <w:t>n</w:t>
            </w:r>
            <w:r w:rsidRPr="00937842">
              <w:rPr>
                <w:rFonts w:ascii="Gill Sans" w:hAnsi="Gill Sans" w:cs="Gill Sans"/>
                <w:color w:val="000000"/>
                <w:szCs w:val="22"/>
                <w:lang w:val="en-AU"/>
              </w:rPr>
              <w:t xml:space="preserve"> = 458; Netherlands, </w:t>
            </w:r>
            <w:r w:rsidRPr="00937842">
              <w:rPr>
                <w:rFonts w:ascii="Gill Sans" w:hAnsi="Gill Sans" w:cs="Gill Sans"/>
                <w:i/>
                <w:color w:val="000000"/>
                <w:szCs w:val="22"/>
                <w:lang w:val="en-AU"/>
              </w:rPr>
              <w:t xml:space="preserve">n </w:t>
            </w:r>
            <w:r w:rsidRPr="00937842">
              <w:rPr>
                <w:rFonts w:ascii="Gill Sans" w:hAnsi="Gill Sans" w:cs="Gill Sans"/>
                <w:color w:val="000000"/>
                <w:szCs w:val="22"/>
                <w:lang w:val="en-AU"/>
              </w:rPr>
              <w:t xml:space="preserve">= 1490; Total, </w:t>
            </w:r>
            <w:r w:rsidRPr="00937842">
              <w:rPr>
                <w:rFonts w:ascii="Gill Sans" w:hAnsi="Gill Sans" w:cs="Gill Sans"/>
                <w:i/>
                <w:color w:val="000000"/>
                <w:szCs w:val="22"/>
                <w:lang w:val="en-AU"/>
              </w:rPr>
              <w:t>n</w:t>
            </w:r>
            <w:r w:rsidRPr="00937842">
              <w:rPr>
                <w:rFonts w:ascii="Gill Sans" w:hAnsi="Gill Sans" w:cs="Gill Sans"/>
                <w:color w:val="000000"/>
                <w:szCs w:val="22"/>
                <w:lang w:val="en-AU"/>
              </w:rPr>
              <w:t xml:space="preserve"> = 1948. </w:t>
            </w:r>
          </w:p>
          <w:p w14:paraId="122811F1" w14:textId="77777777" w:rsidR="00F934ED" w:rsidRPr="00937842" w:rsidRDefault="00F934ED" w:rsidP="00F934ED">
            <w:pPr>
              <w:rPr>
                <w:rFonts w:ascii="Gill Sans" w:hAnsi="Gill Sans" w:cs="Gill Sans"/>
                <w:color w:val="000000"/>
                <w:szCs w:val="22"/>
                <w:lang w:val="en-AU"/>
              </w:rPr>
            </w:pPr>
            <w:r w:rsidRPr="00937842">
              <w:rPr>
                <w:rFonts w:ascii="Gill Sans" w:hAnsi="Gill Sans" w:cs="Gill Sans"/>
                <w:b/>
                <w:color w:val="000000"/>
                <w:szCs w:val="22"/>
                <w:lang w:val="en-AU"/>
              </w:rPr>
              <w:t xml:space="preserve">Findings: </w:t>
            </w:r>
            <w:r w:rsidRPr="00937842">
              <w:rPr>
                <w:rFonts w:ascii="Gill Sans" w:hAnsi="Gill Sans" w:cs="Gill Sans"/>
                <w:color w:val="000000"/>
                <w:szCs w:val="22"/>
                <w:lang w:val="en-AU"/>
              </w:rPr>
              <w:t xml:space="preserve">RQ1: The study found significant differences in perceptions of preparedness between students in the two countries (the NS students had been in a non-differentiated school system, whereas the Dutch students were from a differentiated system and had completed schooling in a school with a curriculum designed specifically for students who seek entry to university). However, the NZ students expressed greater confidence in their future university success than the Dutch students. </w:t>
            </w:r>
          </w:p>
          <w:p w14:paraId="264513AF" w14:textId="77777777" w:rsidR="00F934ED" w:rsidRPr="00937842" w:rsidRDefault="00F934ED" w:rsidP="00F934ED">
            <w:pPr>
              <w:autoSpaceDE w:val="0"/>
              <w:autoSpaceDN w:val="0"/>
              <w:adjustRightInd w:val="0"/>
              <w:rPr>
                <w:rFonts w:ascii="Gill Sans" w:hAnsi="Gill Sans" w:cs="Gill Sans"/>
                <w:color w:val="000000"/>
                <w:szCs w:val="22"/>
                <w:lang w:val="en-AU"/>
              </w:rPr>
            </w:pPr>
            <w:r w:rsidRPr="00937842">
              <w:rPr>
                <w:rFonts w:ascii="Gill Sans" w:hAnsi="Gill Sans" w:cs="Gill Sans"/>
                <w:color w:val="000000"/>
                <w:szCs w:val="22"/>
                <w:lang w:val="en-AU"/>
              </w:rPr>
              <w:t>RQ2: Differences were also found between the two groups in perceptions of their time management,</w:t>
            </w:r>
            <w:r w:rsidRPr="00937842">
              <w:rPr>
                <w:rFonts w:ascii="Gill Sans" w:hAnsi="Gill Sans" w:cs="Gill Sans"/>
                <w:color w:val="000000"/>
                <w:szCs w:val="22"/>
              </w:rPr>
              <w:t xml:space="preserve"> </w:t>
            </w:r>
            <w:r w:rsidRPr="00937842">
              <w:rPr>
                <w:rFonts w:ascii="Gill Sans" w:eastAsiaTheme="minorHAnsi" w:hAnsi="Gill Sans" w:cs="Gill Sans"/>
                <w:szCs w:val="22"/>
              </w:rPr>
              <w:t>information processing, written communication (where the Dutch students scored higher), and group work (where the NZ students scored higher)</w:t>
            </w:r>
            <w:r w:rsidRPr="00937842">
              <w:rPr>
                <w:rFonts w:ascii="Gill Sans" w:hAnsi="Gill Sans" w:cs="Gill Sans"/>
                <w:szCs w:val="22"/>
              </w:rPr>
              <w:t>.</w:t>
            </w:r>
            <w:r w:rsidRPr="00937842">
              <w:rPr>
                <w:rFonts w:ascii="Gill Sans" w:hAnsi="Gill Sans" w:cs="Gill Sans"/>
                <w:color w:val="000000"/>
                <w:szCs w:val="22"/>
                <w:lang w:val="en-AU"/>
              </w:rPr>
              <w:t xml:space="preserve"> </w:t>
            </w:r>
          </w:p>
          <w:p w14:paraId="4310DED7" w14:textId="77777777" w:rsidR="00F934ED" w:rsidRPr="00937842" w:rsidRDefault="00F934ED" w:rsidP="00F934ED">
            <w:pPr>
              <w:autoSpaceDE w:val="0"/>
              <w:autoSpaceDN w:val="0"/>
              <w:adjustRightInd w:val="0"/>
              <w:rPr>
                <w:rFonts w:ascii="Gill Sans" w:eastAsiaTheme="minorHAnsi" w:hAnsi="Gill Sans" w:cs="Gill Sans"/>
                <w:szCs w:val="22"/>
              </w:rPr>
            </w:pPr>
            <w:r w:rsidRPr="00937842">
              <w:rPr>
                <w:rFonts w:ascii="Gill Sans" w:hAnsi="Gill Sans" w:cs="Gill Sans"/>
                <w:szCs w:val="22"/>
              </w:rPr>
              <w:t>RQ3: All aspects of readiness tested in the study except ICT skills were found to be significant contributors to students’ perceptions of their preparedness for university.</w:t>
            </w:r>
          </w:p>
          <w:p w14:paraId="192A212F" w14:textId="7941B5C5" w:rsidR="00F934ED" w:rsidRPr="00076E76" w:rsidRDefault="00F934ED" w:rsidP="00F934ED">
            <w:pPr>
              <w:rPr>
                <w:rFonts w:ascii="Gill Sans" w:hAnsi="Gill Sans" w:cs="Gill Sans"/>
                <w:b/>
                <w:color w:val="000000"/>
                <w:szCs w:val="22"/>
                <w:lang w:val="en-AU"/>
              </w:rPr>
            </w:pPr>
            <w:r w:rsidRPr="00937842">
              <w:rPr>
                <w:rFonts w:ascii="Gill Sans" w:hAnsi="Gill Sans" w:cs="Gill Sans"/>
                <w:b/>
                <w:color w:val="000000"/>
                <w:szCs w:val="22"/>
                <w:lang w:val="en-AU"/>
              </w:rPr>
              <w:t>Core Argument:</w:t>
            </w:r>
            <w:r w:rsidRPr="00937842">
              <w:rPr>
                <w:rFonts w:ascii="Gill Sans" w:hAnsi="Gill Sans" w:cs="Gill Sans"/>
                <w:color w:val="000000"/>
                <w:szCs w:val="22"/>
                <w:lang w:val="en-AU"/>
              </w:rPr>
              <w:t xml:space="preserve"> While there were significant differences between the two cohorts studied and the high school systems they came from, many of those differences were not either not remarkable or not very significant. The university preparedness high schools in the Netherlands have not produced the desired effects. Therefore, the authors suggest greater attention be paid by universities to Transition Pedagogy (Kift 2008) and contextualised, embedded academic skills to better prepare students for university study.</w:t>
            </w:r>
          </w:p>
        </w:tc>
      </w:tr>
      <w:tr w:rsidR="00F934ED" w:rsidRPr="00076E76" w14:paraId="256114F9" w14:textId="77777777" w:rsidTr="002E557C">
        <w:tc>
          <w:tcPr>
            <w:tcW w:w="5529" w:type="dxa"/>
          </w:tcPr>
          <w:p w14:paraId="32809C91" w14:textId="42CC8173" w:rsidR="00F934ED" w:rsidRPr="00076E76" w:rsidRDefault="00F934ED" w:rsidP="00F934ED">
            <w:pPr>
              <w:rPr>
                <w:rFonts w:ascii="Gill Sans" w:hAnsi="Gill Sans" w:cs="Gill Sans"/>
                <w:szCs w:val="22"/>
              </w:rPr>
            </w:pPr>
            <w:r w:rsidRPr="00076E76">
              <w:rPr>
                <w:rFonts w:ascii="Gill Sans" w:hAnsi="Gill Sans" w:cs="Gill Sans"/>
                <w:szCs w:val="22"/>
              </w:rPr>
              <w:lastRenderedPageBreak/>
              <w:t>Jon</w:t>
            </w:r>
            <w:r>
              <w:rPr>
                <w:rFonts w:ascii="Gill Sans" w:hAnsi="Gill Sans" w:cs="Gill Sans"/>
                <w:szCs w:val="22"/>
              </w:rPr>
              <w:t>es, S. (2018</w:t>
            </w:r>
            <w:r w:rsidRPr="00076E76">
              <w:rPr>
                <w:rFonts w:ascii="Gill Sans" w:hAnsi="Gill Sans" w:cs="Gill Sans"/>
                <w:szCs w:val="22"/>
              </w:rPr>
              <w:t xml:space="preserve">). </w:t>
            </w:r>
            <w:hyperlink r:id="rId79" w:history="1">
              <w:r w:rsidRPr="0071576A">
                <w:rPr>
                  <w:rStyle w:val="Hyperlink"/>
                  <w:rFonts w:ascii="Gill Sans" w:hAnsi="Gill Sans" w:cs="Gill Sans"/>
                  <w:szCs w:val="22"/>
                </w:rPr>
                <w:t xml:space="preserve">Expectation vs experience: might transition gaps predict undergraduate students’ outcome </w:t>
              </w:r>
              <w:proofErr w:type="gramStart"/>
              <w:r w:rsidRPr="0071576A">
                <w:rPr>
                  <w:rStyle w:val="Hyperlink"/>
                  <w:rFonts w:ascii="Gill Sans" w:hAnsi="Gill Sans" w:cs="Gill Sans"/>
                  <w:szCs w:val="22"/>
                </w:rPr>
                <w:t>gaps?,</w:t>
              </w:r>
              <w:proofErr w:type="gramEnd"/>
            </w:hyperlink>
            <w:r w:rsidRPr="00076E76">
              <w:rPr>
                <w:rFonts w:ascii="Gill Sans" w:hAnsi="Gill Sans" w:cs="Gill Sans"/>
                <w:szCs w:val="22"/>
              </w:rPr>
              <w:t xml:space="preserve"> </w:t>
            </w:r>
            <w:r w:rsidRPr="00076E76">
              <w:rPr>
                <w:rFonts w:ascii="Gill Sans" w:hAnsi="Gill Sans" w:cs="Gill Sans"/>
                <w:i/>
                <w:szCs w:val="22"/>
              </w:rPr>
              <w:t xml:space="preserve">Journal of Further and Higher Education, </w:t>
            </w:r>
            <w:r>
              <w:rPr>
                <w:rFonts w:ascii="Gill Sans" w:hAnsi="Gill Sans" w:cs="Gill Sans"/>
                <w:szCs w:val="22"/>
              </w:rPr>
              <w:t>42(7), 908–921.</w:t>
            </w:r>
          </w:p>
          <w:p w14:paraId="0B034756" w14:textId="77777777" w:rsidR="00F934ED" w:rsidRPr="00076E76" w:rsidRDefault="00F934ED" w:rsidP="00F934ED">
            <w:pPr>
              <w:rPr>
                <w:rFonts w:ascii="Gill Sans" w:hAnsi="Gill Sans" w:cs="Gill Sans"/>
                <w:szCs w:val="22"/>
              </w:rPr>
            </w:pPr>
          </w:p>
          <w:p w14:paraId="17D46DDC" w14:textId="77777777" w:rsidR="00F934ED" w:rsidRPr="00076E76" w:rsidRDefault="00F934ED" w:rsidP="00F934ED">
            <w:pPr>
              <w:rPr>
                <w:rFonts w:ascii="Gill Sans" w:hAnsi="Gill Sans" w:cs="Gill Sans"/>
                <w:szCs w:val="22"/>
              </w:rPr>
            </w:pPr>
            <w:r w:rsidRPr="00076E76">
              <w:rPr>
                <w:rFonts w:ascii="Gill Sans" w:hAnsi="Gill Sans" w:cs="Gill Sans"/>
                <w:szCs w:val="22"/>
              </w:rPr>
              <w:t>UK</w:t>
            </w:r>
          </w:p>
          <w:p w14:paraId="4B874C90"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209120A2" w14:textId="77777777" w:rsidR="00F934ED" w:rsidRPr="00076E76" w:rsidRDefault="00F934ED" w:rsidP="00F934ED">
            <w:pPr>
              <w:rPr>
                <w:rFonts w:ascii="Gill Sans" w:hAnsi="Gill Sans" w:cs="Gill Sans"/>
                <w:szCs w:val="22"/>
              </w:rPr>
            </w:pPr>
          </w:p>
          <w:p w14:paraId="316D6D81" w14:textId="1FD8D912" w:rsidR="00F934ED" w:rsidRPr="00076E76" w:rsidRDefault="00F934ED" w:rsidP="00F934ED">
            <w:pPr>
              <w:rPr>
                <w:rFonts w:ascii="Gill Sans" w:hAnsi="Gill Sans" w:cs="Gill Sans"/>
                <w:szCs w:val="22"/>
              </w:rPr>
            </w:pPr>
            <w:r w:rsidRPr="00076E76">
              <w:rPr>
                <w:rFonts w:ascii="Gill Sans" w:hAnsi="Gill Sans" w:cs="Gill Sans"/>
                <w:szCs w:val="22"/>
              </w:rPr>
              <w:t xml:space="preserve">Keywords: </w:t>
            </w:r>
            <w:r w:rsidRPr="00076E76">
              <w:rPr>
                <w:rFonts w:ascii="Gill Sans" w:hAnsi="Gill Sans" w:cs="Gill Sans"/>
                <w:i/>
                <w:szCs w:val="22"/>
              </w:rPr>
              <w:t>Student experience; university transition;</w:t>
            </w:r>
            <w:r>
              <w:rPr>
                <w:rFonts w:ascii="Gill Sans" w:hAnsi="Gill Sans" w:cs="Gill Sans"/>
                <w:i/>
                <w:szCs w:val="22"/>
              </w:rPr>
              <w:t xml:space="preserve"> </w:t>
            </w:r>
            <w:r w:rsidRPr="00076E76">
              <w:rPr>
                <w:rFonts w:ascii="Gill Sans" w:hAnsi="Gill Sans" w:cs="Gill Sans"/>
                <w:i/>
                <w:szCs w:val="22"/>
              </w:rPr>
              <w:t>outcome differentials; widening participation; metrics</w:t>
            </w:r>
          </w:p>
        </w:tc>
        <w:tc>
          <w:tcPr>
            <w:tcW w:w="10064" w:type="dxa"/>
          </w:tcPr>
          <w:p w14:paraId="5883E344"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sidRPr="00076E76">
              <w:rPr>
                <w:rFonts w:ascii="Gill Sans" w:hAnsi="Gill Sans" w:cs="Gill Sans"/>
                <w:color w:val="000000"/>
                <w:szCs w:val="22"/>
                <w:lang w:val="en-AU"/>
              </w:rPr>
              <w:t>English higher education; social class, expectations and experiences of transitioning into higher education. Starts by scoping the notion of ‘the gap’ and its take up in the literature (mind the gap, bridging the gap, the achievement gap), and the idea of prior attainment/ predictor of attainment. Transition gaps = exist in ways that universities perceive/receive students, in motivation, cultural assimilation. Literature suggests that universities’ awareness of students prior experiences = scant (p.2). Outcome gaps = attainment/ students’ backgrounds. University = site of research does not distinguish WP students/ offer targeted supports.</w:t>
            </w:r>
          </w:p>
          <w:p w14:paraId="56B28C1B" w14:textId="77777777" w:rsidR="00F934ED" w:rsidRPr="00076E76" w:rsidRDefault="00F934ED" w:rsidP="00F934ED">
            <w:pPr>
              <w:rPr>
                <w:rFonts w:ascii="Gill Sans" w:hAnsi="Gill Sans" w:cs="Gill Sans"/>
                <w:color w:val="000000"/>
                <w:szCs w:val="22"/>
              </w:rPr>
            </w:pPr>
            <w:r w:rsidRPr="00076E76">
              <w:rPr>
                <w:rFonts w:ascii="Gill Sans" w:hAnsi="Gill Sans" w:cs="Gill Sans"/>
                <w:b/>
                <w:color w:val="000000"/>
                <w:szCs w:val="22"/>
                <w:lang w:val="en-AU"/>
              </w:rPr>
              <w:t xml:space="preserve">Aim: </w:t>
            </w:r>
            <w:r w:rsidRPr="00076E76">
              <w:rPr>
                <w:rFonts w:ascii="Gill Sans" w:hAnsi="Gill Sans" w:cs="Gill Sans"/>
                <w:color w:val="000000"/>
                <w:szCs w:val="22"/>
                <w:lang w:val="en-AU"/>
              </w:rPr>
              <w:t>To explore “</w:t>
            </w:r>
            <w:r w:rsidRPr="00076E76">
              <w:rPr>
                <w:rFonts w:ascii="Gill Sans" w:hAnsi="Gill Sans" w:cs="Gill Sans"/>
                <w:color w:val="000000"/>
                <w:szCs w:val="22"/>
              </w:rPr>
              <w:t>(in)congruence between students’ expectations of higher education and their experience</w:t>
            </w:r>
          </w:p>
          <w:p w14:paraId="1AB5D0F0"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rPr>
              <w:t>while at university, tracking how recalled pre-arrival expectations correlate with socio-economic status and school type” or access program for WP students (abstract)</w:t>
            </w:r>
          </w:p>
          <w:p w14:paraId="4C1D3498" w14:textId="77777777" w:rsidR="00F934ED" w:rsidRPr="00076E76" w:rsidRDefault="00F934ED" w:rsidP="00F934ED">
            <w:pPr>
              <w:rPr>
                <w:rFonts w:ascii="Gill Sans" w:hAnsi="Gill Sans" w:cs="Gill Sans"/>
                <w:b/>
                <w:color w:val="000000"/>
                <w:szCs w:val="22"/>
                <w:lang w:val="en-AU"/>
              </w:rPr>
            </w:pPr>
            <w:r w:rsidRPr="00076E76">
              <w:rPr>
                <w:rFonts w:ascii="Gill Sans" w:hAnsi="Gill Sans" w:cs="Gill Sans"/>
                <w:b/>
                <w:color w:val="000000"/>
                <w:szCs w:val="22"/>
                <w:lang w:val="en-AU"/>
              </w:rPr>
              <w:t>Theoretical frame:</w:t>
            </w:r>
          </w:p>
          <w:p w14:paraId="177787E8" w14:textId="77777777" w:rsidR="00F934ED" w:rsidRPr="00076E76" w:rsidRDefault="00F934ED" w:rsidP="00F934ED">
            <w:pPr>
              <w:rPr>
                <w:rFonts w:ascii="Gill Sans" w:hAnsi="Gill Sans" w:cs="Gill Sans"/>
                <w:color w:val="000000"/>
                <w:szCs w:val="22"/>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Exploratory and mixed methods – transition gaps = qualitatively explored; outcome gaps = quantitatively explored;</w:t>
            </w:r>
            <w:r w:rsidRPr="00076E76">
              <w:rPr>
                <w:rFonts w:ascii="Gill Sans" w:hAnsi="Gill Sans" w:cs="Gill Sans"/>
                <w:b/>
                <w:color w:val="000000"/>
                <w:szCs w:val="22"/>
                <w:lang w:val="en-AU"/>
              </w:rPr>
              <w:t xml:space="preserve"> </w:t>
            </w:r>
            <w:r w:rsidRPr="00076E76">
              <w:rPr>
                <w:rFonts w:ascii="Gill Sans" w:hAnsi="Gill Sans" w:cs="Gill Sans"/>
                <w:color w:val="000000"/>
                <w:szCs w:val="22"/>
                <w:lang w:val="en-AU"/>
              </w:rPr>
              <w:t xml:space="preserve">one-to-one interviews with young university students (n=85), categorised into four </w:t>
            </w:r>
            <w:r w:rsidRPr="00076E76">
              <w:rPr>
                <w:rFonts w:ascii="Gill Sans" w:hAnsi="Gill Sans" w:cs="Gill Sans"/>
                <w:color w:val="000000"/>
                <w:szCs w:val="22"/>
                <w:lang w:val="en-AU"/>
              </w:rPr>
              <w:lastRenderedPageBreak/>
              <w:t xml:space="preserve">types: intervention/ non-intervention WP students; state school/ independent school students. All WP = f-in-f and from low-income households (not mature). Intervention = pre-arrival access program. </w:t>
            </w:r>
            <w:r w:rsidRPr="00076E76">
              <w:rPr>
                <w:rFonts w:ascii="Gill Sans" w:hAnsi="Gill Sans" w:cs="Gill Sans"/>
                <w:color w:val="000000"/>
                <w:szCs w:val="22"/>
              </w:rPr>
              <w:t>Questions included ‘is the content of your course what you expected it to be like (if not, why not?)’, ‘how does the way you’re assessed at university differ from the way you were assessed at school/college?’ and ‘are the social aspects of being a student what you expected?’ (p.4). Data = thematically analysed.</w:t>
            </w:r>
          </w:p>
          <w:p w14:paraId="5FA59D34"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Findings: </w:t>
            </w:r>
            <w:r w:rsidRPr="00076E76">
              <w:rPr>
                <w:rFonts w:ascii="Gill Sans" w:hAnsi="Gill Sans" w:cs="Gill Sans"/>
                <w:color w:val="000000"/>
                <w:szCs w:val="22"/>
                <w:lang w:val="en-AU"/>
              </w:rPr>
              <w:t xml:space="preserve">Quantitative analysis: non-intervention school students = most satisfied with support and teaching (non-intervention WP = least). Qualitative analysis suggests 4 codes: </w:t>
            </w:r>
          </w:p>
          <w:p w14:paraId="6F8CD07E" w14:textId="7777777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rPr>
              <w:t>(a) Being Helped: transitioning from fear of academics to co-production of knowledge;</w:t>
            </w:r>
          </w:p>
          <w:p w14:paraId="0827749A" w14:textId="7777777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rPr>
              <w:t>(b) Being Taught: transitioning from explicit instruction to implicit assumption;</w:t>
            </w:r>
          </w:p>
          <w:p w14:paraId="6CB0F11D" w14:textId="7777777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rPr>
              <w:t>(c) Being Assessed: transitioning from ‘not knowing the jump’ to embracing assessment practices;</w:t>
            </w:r>
          </w:p>
          <w:p w14:paraId="5B1ED613" w14:textId="7777777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rPr>
              <w:t>(d) Being Confident: transitioning from ‘not knowing the language’ to fluency in university-speak. (p.5)</w:t>
            </w:r>
          </w:p>
          <w:p w14:paraId="49079083"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i/>
                <w:color w:val="000000"/>
                <w:szCs w:val="22"/>
                <w:lang w:val="en-AU"/>
              </w:rPr>
              <w:t>Being helped</w:t>
            </w:r>
            <w:r w:rsidRPr="00076E76">
              <w:rPr>
                <w:rFonts w:ascii="Gill Sans" w:hAnsi="Gill Sans" w:cs="Gill Sans"/>
                <w:color w:val="000000"/>
                <w:szCs w:val="22"/>
                <w:lang w:val="en-AU"/>
              </w:rPr>
              <w:t>: school students = more positive; WP students = recurring theme of under-confidence to approach academics/ ask for help and they found the independence/ larger class sizes challenging. Independent school students = knew how to ask for help (and some used this to ‘game the assessment system’) but data suggest that some felt there was not enough help. Author speculates that the non-WP students had expectations that aligned most closely with the experiences of university, helping them to ‘close their gaps’ better than WP students.</w:t>
            </w:r>
          </w:p>
          <w:p w14:paraId="423FC3DC" w14:textId="77777777" w:rsidR="00F934ED" w:rsidRPr="00076E76" w:rsidRDefault="00F934ED" w:rsidP="00F934ED">
            <w:pPr>
              <w:rPr>
                <w:rFonts w:ascii="Gill Sans" w:hAnsi="Gill Sans" w:cs="Gill Sans"/>
                <w:color w:val="000000"/>
                <w:szCs w:val="22"/>
              </w:rPr>
            </w:pPr>
            <w:r w:rsidRPr="00076E76">
              <w:rPr>
                <w:rFonts w:ascii="Gill Sans" w:hAnsi="Gill Sans" w:cs="Gill Sans"/>
                <w:i/>
                <w:color w:val="000000"/>
                <w:szCs w:val="22"/>
                <w:lang w:val="en-AU"/>
              </w:rPr>
              <w:t xml:space="preserve">Being </w:t>
            </w:r>
            <w:proofErr w:type="gramStart"/>
            <w:r w:rsidRPr="00076E76">
              <w:rPr>
                <w:rFonts w:ascii="Gill Sans" w:hAnsi="Gill Sans" w:cs="Gill Sans"/>
                <w:i/>
                <w:color w:val="000000"/>
                <w:szCs w:val="22"/>
                <w:lang w:val="en-AU"/>
              </w:rPr>
              <w:t>taught:</w:t>
            </w:r>
            <w:proofErr w:type="gramEnd"/>
            <w:r w:rsidRPr="00076E76">
              <w:rPr>
                <w:rFonts w:ascii="Gill Sans" w:hAnsi="Gill Sans" w:cs="Gill Sans"/>
                <w:color w:val="000000"/>
                <w:szCs w:val="22"/>
                <w:lang w:val="en-AU"/>
              </w:rPr>
              <w:t xml:space="preserve"> data suggests that students’ expectations of teaching = incongruent with reality and the academic demands were higher than expected. Experiences of teaching appeared to be characterised as separation, disorientation and disaffection: “</w:t>
            </w:r>
            <w:r w:rsidRPr="00076E76">
              <w:rPr>
                <w:rFonts w:ascii="Gill Sans" w:hAnsi="Gill Sans" w:cs="Gill Sans"/>
                <w:color w:val="000000"/>
                <w:szCs w:val="22"/>
              </w:rPr>
              <w:t>Many found it challenging to be in an environment regarded</w:t>
            </w:r>
          </w:p>
          <w:p w14:paraId="2349B9B2" w14:textId="7777777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rPr>
              <w:t>as less learner-focused (‘getting the information you need is definitely harder’) and more austere (‘some</w:t>
            </w:r>
          </w:p>
          <w:p w14:paraId="5E65B548" w14:textId="7777777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rPr>
              <w:t>of the rooms / they don’t seem much like they were made for students’)” (p.8). It was markedly (seemingly) easier for independent school students. The intervention appeared to make a positive difference for the WP students who attended – offering a kind of insider knowledge and self-reliance. Notion of preparedness = key: “Students from non-WP backgrounds benefited from a more accurate and nuanced understanding of how universities operate; they were forewarned about the different and new academic environment that they would encounter. In many cases, this was not ‘unspoken’ cultural capital so much as the end product of systematic coaching in how to succeed at university” (p.8).</w:t>
            </w:r>
          </w:p>
          <w:p w14:paraId="7EE88044" w14:textId="77777777" w:rsidR="00F934ED" w:rsidRPr="00076E76" w:rsidRDefault="00F934ED" w:rsidP="00F934ED">
            <w:pPr>
              <w:rPr>
                <w:rFonts w:ascii="Gill Sans" w:hAnsi="Gill Sans" w:cs="Gill Sans"/>
                <w:color w:val="000000"/>
                <w:szCs w:val="22"/>
              </w:rPr>
            </w:pPr>
            <w:r w:rsidRPr="00076E76">
              <w:rPr>
                <w:rFonts w:ascii="Gill Sans" w:hAnsi="Gill Sans" w:cs="Gill Sans"/>
                <w:i/>
                <w:color w:val="000000"/>
                <w:szCs w:val="22"/>
              </w:rPr>
              <w:t>Being assessed:</w:t>
            </w:r>
            <w:r w:rsidRPr="00076E76">
              <w:rPr>
                <w:rFonts w:ascii="Gill Sans" w:hAnsi="Gill Sans" w:cs="Gill Sans"/>
                <w:color w:val="000000"/>
                <w:szCs w:val="22"/>
              </w:rPr>
              <w:t xml:space="preserve"> students generally experienced a ‘jump’ in assessment. WP students = highest level of satisfaction; independent school students = lowest satisfaction (adjusting to academic conventions/ level of feedback/ assessment practices).</w:t>
            </w:r>
          </w:p>
          <w:p w14:paraId="4E0EB5CB" w14:textId="388DAD3C" w:rsidR="00F934ED" w:rsidRPr="00076E76" w:rsidRDefault="00F934ED" w:rsidP="00F934ED">
            <w:pPr>
              <w:rPr>
                <w:rFonts w:ascii="Gill Sans" w:hAnsi="Gill Sans" w:cs="Gill Sans"/>
                <w:b/>
                <w:color w:val="000000"/>
                <w:szCs w:val="22"/>
                <w:lang w:val="en-AU"/>
              </w:rPr>
            </w:pPr>
            <w:r w:rsidRPr="00076E76">
              <w:rPr>
                <w:rFonts w:ascii="Gill Sans" w:hAnsi="Gill Sans" w:cs="Gill Sans"/>
                <w:i/>
                <w:color w:val="000000"/>
                <w:szCs w:val="22"/>
              </w:rPr>
              <w:t>Being confident</w:t>
            </w:r>
            <w:r w:rsidRPr="00076E76">
              <w:rPr>
                <w:rFonts w:ascii="Gill Sans" w:hAnsi="Gill Sans" w:cs="Gill Sans"/>
                <w:color w:val="000000"/>
                <w:szCs w:val="22"/>
              </w:rPr>
              <w:t xml:space="preserve">: system = particularly challenging (disorienting) for WP students + technical challenges + </w:t>
            </w:r>
            <w:r w:rsidRPr="00076E76">
              <w:rPr>
                <w:rFonts w:ascii="Gill Sans" w:hAnsi="Gill Sans" w:cs="Gill Sans"/>
                <w:color w:val="000000"/>
                <w:szCs w:val="22"/>
              </w:rPr>
              <w:lastRenderedPageBreak/>
              <w:t>academic terminology</w:t>
            </w:r>
            <w:r w:rsidRPr="00076E76">
              <w:rPr>
                <w:rFonts w:ascii="Gill Sans" w:hAnsi="Gill Sans" w:cs="Gill Sans"/>
                <w:b/>
                <w:color w:val="000000"/>
                <w:szCs w:val="22"/>
                <w:lang w:val="en-AU"/>
              </w:rPr>
              <w:br/>
              <w:t xml:space="preserve">Core argument: </w:t>
            </w:r>
            <w:r w:rsidRPr="00076E76">
              <w:rPr>
                <w:rFonts w:ascii="Gill Sans" w:hAnsi="Gill Sans" w:cs="Gill Sans"/>
                <w:color w:val="000000"/>
                <w:szCs w:val="22"/>
                <w:lang w:val="en-AU"/>
              </w:rPr>
              <w:t>“</w:t>
            </w:r>
            <w:r w:rsidRPr="00076E76">
              <w:rPr>
                <w:rFonts w:ascii="Gill Sans" w:hAnsi="Gill Sans" w:cs="Gill Sans"/>
                <w:color w:val="000000"/>
                <w:szCs w:val="22"/>
              </w:rPr>
              <w:t>Those who transition successfully report greater confidence, a stronger sense of academic fit, and better professional relationships with university staff. Those who transition unsuccessfully report having to play ‘catch-up’ and a creeping sense of academic disaffection” (p.10).</w:t>
            </w:r>
          </w:p>
        </w:tc>
      </w:tr>
      <w:tr w:rsidR="00F934ED" w:rsidRPr="00076E76" w14:paraId="3443C4FC" w14:textId="77777777" w:rsidTr="002E557C">
        <w:tc>
          <w:tcPr>
            <w:tcW w:w="5529" w:type="dxa"/>
          </w:tcPr>
          <w:p w14:paraId="75E2419F" w14:textId="01CA1A4A" w:rsidR="00F934ED" w:rsidRPr="00076E76" w:rsidRDefault="00F934ED" w:rsidP="00F934ED">
            <w:pPr>
              <w:rPr>
                <w:rFonts w:ascii="Gill Sans" w:hAnsi="Gill Sans" w:cs="Gill Sans"/>
                <w:szCs w:val="22"/>
              </w:rPr>
            </w:pPr>
            <w:proofErr w:type="spellStart"/>
            <w:r w:rsidRPr="00076E76">
              <w:rPr>
                <w:rFonts w:ascii="Gill Sans" w:hAnsi="Gill Sans" w:cs="Gill Sans"/>
                <w:szCs w:val="22"/>
              </w:rPr>
              <w:lastRenderedPageBreak/>
              <w:t>Kahu</w:t>
            </w:r>
            <w:proofErr w:type="spellEnd"/>
            <w:r w:rsidRPr="00076E76">
              <w:rPr>
                <w:rFonts w:ascii="Gill Sans" w:hAnsi="Gill Sans" w:cs="Gill Sans"/>
                <w:szCs w:val="22"/>
              </w:rPr>
              <w:t xml:space="preserve">, E.; Stephens, C.; Leach, L. &amp; </w:t>
            </w:r>
            <w:proofErr w:type="spellStart"/>
            <w:r w:rsidRPr="00076E76">
              <w:rPr>
                <w:rFonts w:ascii="Gill Sans" w:hAnsi="Gill Sans" w:cs="Gill Sans"/>
                <w:szCs w:val="22"/>
              </w:rPr>
              <w:t>Zepke</w:t>
            </w:r>
            <w:proofErr w:type="spellEnd"/>
            <w:r w:rsidRPr="00076E76">
              <w:rPr>
                <w:rFonts w:ascii="Gill Sans" w:hAnsi="Gill Sans" w:cs="Gill Sans"/>
                <w:szCs w:val="22"/>
              </w:rPr>
              <w:t xml:space="preserve">, N. (2015). </w:t>
            </w:r>
            <w:hyperlink r:id="rId80" w:history="1">
              <w:r w:rsidRPr="0071576A">
                <w:rPr>
                  <w:rStyle w:val="Hyperlink"/>
                  <w:rFonts w:ascii="Gill Sans" w:hAnsi="Gill Sans" w:cs="Gill Sans"/>
                  <w:szCs w:val="22"/>
                </w:rPr>
                <w:t>Linking academic emotions and student engagement: mature-aged distance students’ transition to university</w:t>
              </w:r>
            </w:hyperlink>
            <w:r w:rsidRPr="00076E76">
              <w:rPr>
                <w:rFonts w:ascii="Gill Sans" w:hAnsi="Gill Sans" w:cs="Gill Sans"/>
                <w:szCs w:val="22"/>
              </w:rPr>
              <w:t xml:space="preserve">, </w:t>
            </w:r>
            <w:r w:rsidRPr="00076E76">
              <w:rPr>
                <w:rFonts w:ascii="Gill Sans" w:hAnsi="Gill Sans" w:cs="Gill Sans"/>
                <w:i/>
                <w:szCs w:val="22"/>
              </w:rPr>
              <w:t xml:space="preserve">Journal of Further and Higher Education, </w:t>
            </w:r>
            <w:r>
              <w:rPr>
                <w:rFonts w:ascii="Gill Sans" w:hAnsi="Gill Sans" w:cs="Gill Sans"/>
                <w:szCs w:val="22"/>
              </w:rPr>
              <w:t>39(4), 481–</w:t>
            </w:r>
            <w:r w:rsidRPr="00076E76">
              <w:rPr>
                <w:rFonts w:ascii="Gill Sans" w:hAnsi="Gill Sans" w:cs="Gill Sans"/>
                <w:szCs w:val="22"/>
              </w:rPr>
              <w:t>497.</w:t>
            </w:r>
          </w:p>
          <w:p w14:paraId="03FC70E5" w14:textId="77777777" w:rsidR="00F934ED" w:rsidRPr="00076E76" w:rsidRDefault="00F934ED" w:rsidP="00F934ED">
            <w:pPr>
              <w:rPr>
                <w:rFonts w:ascii="Gill Sans" w:hAnsi="Gill Sans" w:cs="Gill Sans"/>
                <w:szCs w:val="22"/>
              </w:rPr>
            </w:pPr>
          </w:p>
          <w:p w14:paraId="0683A5AF" w14:textId="77777777" w:rsidR="00F934ED" w:rsidRPr="00076E76" w:rsidRDefault="00F934ED" w:rsidP="00F934ED">
            <w:pPr>
              <w:rPr>
                <w:rFonts w:ascii="Gill Sans" w:hAnsi="Gill Sans" w:cs="Gill Sans"/>
                <w:szCs w:val="22"/>
              </w:rPr>
            </w:pPr>
            <w:r w:rsidRPr="00076E76">
              <w:rPr>
                <w:rFonts w:ascii="Gill Sans" w:hAnsi="Gill Sans" w:cs="Gill Sans"/>
                <w:szCs w:val="22"/>
              </w:rPr>
              <w:t>NZ</w:t>
            </w:r>
          </w:p>
          <w:p w14:paraId="0377EFAA"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2B31EC01" w14:textId="77777777" w:rsidR="00F934ED" w:rsidRPr="00076E76" w:rsidRDefault="00F934ED" w:rsidP="00F934ED">
            <w:pPr>
              <w:rPr>
                <w:rFonts w:ascii="Gill Sans" w:hAnsi="Gill Sans" w:cs="Gill Sans"/>
                <w:szCs w:val="22"/>
              </w:rPr>
            </w:pPr>
          </w:p>
          <w:p w14:paraId="0914FD2C" w14:textId="3537B263" w:rsidR="00F934ED" w:rsidRPr="00076E76" w:rsidRDefault="00F934ED" w:rsidP="00F934ED">
            <w:pPr>
              <w:rPr>
                <w:rFonts w:ascii="Gill Sans" w:hAnsi="Gill Sans" w:cs="Gill Sans"/>
                <w:szCs w:val="22"/>
              </w:rPr>
            </w:pPr>
            <w:r w:rsidRPr="00076E76">
              <w:rPr>
                <w:rFonts w:ascii="Gill Sans" w:hAnsi="Gill Sans" w:cs="Gill Sans"/>
                <w:szCs w:val="22"/>
              </w:rPr>
              <w:t xml:space="preserve">Keywords: </w:t>
            </w:r>
            <w:r w:rsidRPr="00076E76">
              <w:rPr>
                <w:rFonts w:ascii="Gill Sans" w:hAnsi="Gill Sans" w:cs="Gill Sans"/>
                <w:i/>
                <w:szCs w:val="22"/>
              </w:rPr>
              <w:t>student engagement; academic emotions; transition; mature-aged; distance</w:t>
            </w:r>
          </w:p>
        </w:tc>
        <w:tc>
          <w:tcPr>
            <w:tcW w:w="10064" w:type="dxa"/>
          </w:tcPr>
          <w:p w14:paraId="34C35981"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sidRPr="00076E76">
              <w:rPr>
                <w:rFonts w:ascii="Gill Sans" w:hAnsi="Gill Sans" w:cs="Gill Sans"/>
                <w:color w:val="000000"/>
                <w:szCs w:val="22"/>
                <w:lang w:val="en-AU"/>
              </w:rPr>
              <w:t>Intersection between student experience and mature age students’ emotions in distance higher education with mature age (over 24) students. Scopes literature on emotions/ emotions and engagement (in learning)/ mature age students in NZ</w:t>
            </w:r>
          </w:p>
          <w:p w14:paraId="454D8606"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sidRPr="00076E76">
              <w:rPr>
                <w:rFonts w:ascii="Gill Sans" w:hAnsi="Gill Sans" w:cs="Gill Sans"/>
                <w:color w:val="000000"/>
                <w:szCs w:val="22"/>
                <w:lang w:val="en-AU"/>
              </w:rPr>
              <w:t xml:space="preserve">To </w:t>
            </w:r>
            <w:r w:rsidRPr="00076E76">
              <w:rPr>
                <w:rFonts w:ascii="Gill Sans" w:hAnsi="Gill Sans" w:cs="Gill Sans"/>
                <w:color w:val="000000"/>
                <w:szCs w:val="22"/>
              </w:rPr>
              <w:t>explore relationships between academic emotions and student engagement</w:t>
            </w:r>
          </w:p>
          <w:p w14:paraId="4A1B7E0E"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Theoretical frame: </w:t>
            </w:r>
            <w:proofErr w:type="spellStart"/>
            <w:r w:rsidRPr="00076E76">
              <w:rPr>
                <w:rFonts w:ascii="Gill Sans" w:hAnsi="Gill Sans" w:cs="Gill Sans"/>
                <w:color w:val="000000"/>
                <w:szCs w:val="22"/>
              </w:rPr>
              <w:t>Pekrun’s</w:t>
            </w:r>
            <w:proofErr w:type="spellEnd"/>
            <w:r w:rsidRPr="00076E76">
              <w:rPr>
                <w:rFonts w:ascii="Gill Sans" w:hAnsi="Gill Sans" w:cs="Gill Sans"/>
                <w:color w:val="000000"/>
                <w:szCs w:val="22"/>
              </w:rPr>
              <w:t xml:space="preserve"> taxonomy of academic emotions and </w:t>
            </w:r>
            <w:proofErr w:type="spellStart"/>
            <w:r w:rsidRPr="00076E76">
              <w:rPr>
                <w:rFonts w:ascii="Gill Sans" w:hAnsi="Gill Sans" w:cs="Gill Sans"/>
                <w:color w:val="000000"/>
                <w:szCs w:val="22"/>
              </w:rPr>
              <w:t>Kahu’s</w:t>
            </w:r>
            <w:proofErr w:type="spellEnd"/>
            <w:r w:rsidRPr="00076E76">
              <w:rPr>
                <w:rFonts w:ascii="Gill Sans" w:hAnsi="Gill Sans" w:cs="Gill Sans"/>
                <w:color w:val="000000"/>
                <w:szCs w:val="22"/>
              </w:rPr>
              <w:t xml:space="preserve"> conceptual framework of student engagement</w:t>
            </w:r>
          </w:p>
          <w:p w14:paraId="1BBFABD1"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Mixed methods. Participants = first-year students (n=19) – mix of disciplines, all mature age, mix of modes. Data collection = interviews with participants and families (on preparation, motivations, expectations). Participants recorded weekly video diaries/ written diaries (n=2). Data = thematically analysed. Authors note difficulties of capturing participants’ emotions due to the many possible descriptors</w:t>
            </w:r>
          </w:p>
          <w:p w14:paraId="232F2467" w14:textId="77777777" w:rsidR="00F934ED" w:rsidRPr="00076E76" w:rsidRDefault="00F934ED" w:rsidP="00F934ED">
            <w:pPr>
              <w:rPr>
                <w:rFonts w:ascii="Gill Sans" w:hAnsi="Gill Sans" w:cs="Gill Sans"/>
                <w:color w:val="000000"/>
                <w:szCs w:val="22"/>
              </w:rPr>
            </w:pPr>
            <w:r w:rsidRPr="00076E76">
              <w:rPr>
                <w:rFonts w:ascii="Gill Sans" w:hAnsi="Gill Sans" w:cs="Gill Sans"/>
                <w:b/>
                <w:color w:val="000000"/>
                <w:szCs w:val="22"/>
                <w:lang w:val="en-AU"/>
              </w:rPr>
              <w:t xml:space="preserve">Findings: </w:t>
            </w:r>
            <w:r w:rsidRPr="00076E76">
              <w:rPr>
                <w:rFonts w:ascii="Gill Sans" w:hAnsi="Gill Sans" w:cs="Gill Sans"/>
                <w:color w:val="000000"/>
                <w:szCs w:val="22"/>
                <w:lang w:val="en-AU"/>
              </w:rPr>
              <w:t xml:space="preserve">Data illustrate complex relations between academic emotions (separate from emotions relating to other aspects of their </w:t>
            </w:r>
            <w:proofErr w:type="spellStart"/>
            <w:r w:rsidRPr="00076E76">
              <w:rPr>
                <w:rFonts w:ascii="Gill Sans" w:hAnsi="Gill Sans" w:cs="Gill Sans"/>
                <w:color w:val="000000"/>
                <w:szCs w:val="22"/>
                <w:lang w:val="en-AU"/>
              </w:rPr>
              <w:t>lifeworlds</w:t>
            </w:r>
            <w:proofErr w:type="spellEnd"/>
            <w:r w:rsidRPr="00076E76">
              <w:rPr>
                <w:rFonts w:ascii="Gill Sans" w:hAnsi="Gill Sans" w:cs="Gill Sans"/>
                <w:color w:val="000000"/>
                <w:szCs w:val="22"/>
                <w:lang w:val="en-AU"/>
              </w:rPr>
              <w:t>) and academic engagement. Data supports Christie et al. (2008) = ‘emotional rollercoaster’. Overall, “</w:t>
            </w:r>
            <w:r w:rsidRPr="00076E76">
              <w:rPr>
                <w:rFonts w:ascii="Gill Sans" w:hAnsi="Gill Sans" w:cs="Gill Sans"/>
                <w:color w:val="000000"/>
                <w:szCs w:val="22"/>
              </w:rPr>
              <w:t>enjoyment and anxiety, were common, while others such as hopelessness and relief were rare” (p.486).</w:t>
            </w:r>
          </w:p>
          <w:p w14:paraId="62945517" w14:textId="77777777" w:rsidR="00F934ED" w:rsidRPr="00076E76" w:rsidRDefault="00F934ED" w:rsidP="00F934ED">
            <w:pPr>
              <w:rPr>
                <w:rFonts w:ascii="Gill Sans" w:hAnsi="Gill Sans" w:cs="Gill Sans"/>
                <w:color w:val="000000"/>
                <w:szCs w:val="22"/>
              </w:rPr>
            </w:pPr>
            <w:r w:rsidRPr="00076E76">
              <w:rPr>
                <w:rFonts w:ascii="Gill Sans" w:hAnsi="Gill Sans" w:cs="Gill Sans"/>
                <w:i/>
                <w:color w:val="000000"/>
                <w:szCs w:val="22"/>
              </w:rPr>
              <w:t>Emotional engagement</w:t>
            </w:r>
            <w:r w:rsidRPr="00076E76">
              <w:rPr>
                <w:rFonts w:ascii="Gill Sans" w:hAnsi="Gill Sans" w:cs="Gill Sans"/>
                <w:color w:val="000000"/>
                <w:szCs w:val="22"/>
              </w:rPr>
              <w:t xml:space="preserve"> = interest and enjoyment (related to a sense of love for learning), which both “positively influenced both </w:t>
            </w:r>
            <w:proofErr w:type="spellStart"/>
            <w:r w:rsidRPr="00076E76">
              <w:rPr>
                <w:rFonts w:ascii="Gill Sans" w:hAnsi="Gill Sans" w:cs="Gill Sans"/>
                <w:color w:val="000000"/>
                <w:szCs w:val="22"/>
              </w:rPr>
              <w:t>behavioural</w:t>
            </w:r>
            <w:proofErr w:type="spellEnd"/>
            <w:r w:rsidRPr="00076E76">
              <w:rPr>
                <w:rFonts w:ascii="Gill Sans" w:hAnsi="Gill Sans" w:cs="Gill Sans"/>
                <w:color w:val="000000"/>
                <w:szCs w:val="22"/>
              </w:rPr>
              <w:t xml:space="preserve"> and cognitive engagement” (p.488). Interest triggered engagement (sustained) = resulting in more understanding/ harder work, which in turn triggers satisfaction</w:t>
            </w:r>
          </w:p>
          <w:p w14:paraId="6F912CBE" w14:textId="77777777" w:rsidR="00F934ED" w:rsidRPr="00076E76" w:rsidRDefault="00F934ED" w:rsidP="00F934ED">
            <w:pPr>
              <w:rPr>
                <w:rFonts w:ascii="Gill Sans" w:hAnsi="Gill Sans" w:cs="Gill Sans"/>
                <w:color w:val="000000"/>
                <w:szCs w:val="22"/>
              </w:rPr>
            </w:pPr>
            <w:r w:rsidRPr="00076E76">
              <w:rPr>
                <w:rFonts w:ascii="Gill Sans" w:hAnsi="Gill Sans" w:cs="Gill Sans"/>
                <w:i/>
                <w:color w:val="000000"/>
                <w:szCs w:val="22"/>
              </w:rPr>
              <w:t>Emotional inhibitors</w:t>
            </w:r>
            <w:r w:rsidRPr="00076E76">
              <w:rPr>
                <w:rFonts w:ascii="Gill Sans" w:hAnsi="Gill Sans" w:cs="Gill Sans"/>
                <w:color w:val="000000"/>
                <w:szCs w:val="22"/>
              </w:rPr>
              <w:t>: boredom, frustration, worry. Boredom = triggered by difficulty of topic, lack of relevance and results in lowered cognitive engagement. Frustration = result of teaching practices/ university processes (especially poorly designed materials/ high workloads). Anxiety = peaks at different times of semester, connected with assignments and related to time management/ participating in tasks like discussion forums/ going on campus – related to student’s self-efficacy. Contact with other students = also provoked anxiety for some students. These emotions can both inhibit and prompt academic engagement.</w:t>
            </w:r>
          </w:p>
          <w:p w14:paraId="054146BF" w14:textId="2F6E699D" w:rsidR="00F934ED" w:rsidRPr="00076E76" w:rsidRDefault="00F934ED" w:rsidP="00F934ED">
            <w:pPr>
              <w:rPr>
                <w:rFonts w:ascii="Gill Sans" w:hAnsi="Gill Sans" w:cs="Gill Sans"/>
                <w:b/>
                <w:color w:val="000000"/>
                <w:szCs w:val="22"/>
                <w:lang w:val="en-AU"/>
              </w:rPr>
            </w:pPr>
            <w:r w:rsidRPr="00076E76">
              <w:rPr>
                <w:rFonts w:ascii="Gill Sans" w:hAnsi="Gill Sans" w:cs="Gill Sans"/>
                <w:i/>
                <w:color w:val="000000"/>
                <w:szCs w:val="22"/>
              </w:rPr>
              <w:t>Emotional outcomes</w:t>
            </w:r>
            <w:r w:rsidRPr="00076E76">
              <w:rPr>
                <w:rFonts w:ascii="Gill Sans" w:hAnsi="Gill Sans" w:cs="Gill Sans"/>
                <w:color w:val="000000"/>
                <w:szCs w:val="22"/>
              </w:rPr>
              <w:t>: pride/ disappointment, largely from grades/ achieving milestones (especially first grade) – but for one student, getting good first grade made her complacent for the next (authors remind us of subjective nature of emotional experiences; p.492)</w:t>
            </w:r>
            <w:r w:rsidRPr="00076E76">
              <w:rPr>
                <w:rFonts w:ascii="Gill Sans" w:hAnsi="Gill Sans" w:cs="Gill Sans"/>
                <w:b/>
                <w:color w:val="000000"/>
                <w:szCs w:val="22"/>
                <w:lang w:val="en-AU"/>
              </w:rPr>
              <w:br/>
              <w:t>Core argument:</w:t>
            </w:r>
          </w:p>
        </w:tc>
      </w:tr>
      <w:tr w:rsidR="00F934ED" w:rsidRPr="00076E76" w14:paraId="1A40FEB1" w14:textId="77777777" w:rsidTr="006979B8">
        <w:tc>
          <w:tcPr>
            <w:tcW w:w="5529" w:type="dxa"/>
            <w:shd w:val="clear" w:color="auto" w:fill="auto"/>
          </w:tcPr>
          <w:p w14:paraId="40405CBF" w14:textId="7461FF20" w:rsidR="00F934ED" w:rsidRPr="00076E76" w:rsidRDefault="00F934ED" w:rsidP="00F934ED">
            <w:pPr>
              <w:rPr>
                <w:rFonts w:ascii="Gill Sans" w:hAnsi="Gill Sans" w:cs="Gill Sans"/>
                <w:szCs w:val="22"/>
              </w:rPr>
            </w:pPr>
            <w:r w:rsidRPr="00076E76">
              <w:rPr>
                <w:rFonts w:ascii="Gill Sans" w:hAnsi="Gill Sans" w:cs="Gill Sans"/>
                <w:szCs w:val="22"/>
              </w:rPr>
              <w:t xml:space="preserve">Kapp, R. &amp; </w:t>
            </w:r>
            <w:proofErr w:type="spellStart"/>
            <w:r w:rsidRPr="00076E76">
              <w:rPr>
                <w:rFonts w:ascii="Gill Sans" w:hAnsi="Gill Sans" w:cs="Gill Sans"/>
                <w:szCs w:val="22"/>
              </w:rPr>
              <w:t>Bangeni</w:t>
            </w:r>
            <w:proofErr w:type="spellEnd"/>
            <w:r w:rsidRPr="00076E76">
              <w:rPr>
                <w:rFonts w:ascii="Gill Sans" w:hAnsi="Gill Sans" w:cs="Gill Sans"/>
                <w:szCs w:val="22"/>
              </w:rPr>
              <w:t xml:space="preserve">, B. (2009). </w:t>
            </w:r>
            <w:hyperlink r:id="rId81" w:history="1">
              <w:r w:rsidRPr="006979B8">
                <w:rPr>
                  <w:rStyle w:val="Hyperlink"/>
                  <w:rFonts w:ascii="Gill Sans" w:hAnsi="Gill Sans" w:cs="Gill Sans"/>
                  <w:szCs w:val="22"/>
                </w:rPr>
                <w:t xml:space="preserve">Positioning (in) the </w:t>
              </w:r>
              <w:r w:rsidRPr="006979B8">
                <w:rPr>
                  <w:rStyle w:val="Hyperlink"/>
                  <w:rFonts w:ascii="Gill Sans" w:hAnsi="Gill Sans" w:cs="Gill Sans"/>
                  <w:szCs w:val="22"/>
                </w:rPr>
                <w:lastRenderedPageBreak/>
                <w:t>disciplines: undergraduate students’ negotiations of disciplinary discourses</w:t>
              </w:r>
            </w:hyperlink>
            <w:r w:rsidRPr="00076E76">
              <w:rPr>
                <w:rFonts w:ascii="Gill Sans" w:hAnsi="Gill Sans" w:cs="Gill Sans"/>
                <w:szCs w:val="22"/>
              </w:rPr>
              <w:t xml:space="preserve">, </w:t>
            </w:r>
            <w:r w:rsidRPr="00076E76">
              <w:rPr>
                <w:rFonts w:ascii="Gill Sans" w:hAnsi="Gill Sans" w:cs="Gill Sans"/>
                <w:i/>
                <w:szCs w:val="22"/>
              </w:rPr>
              <w:t xml:space="preserve">Teaching in Higher Education, </w:t>
            </w:r>
            <w:r w:rsidRPr="00076E76">
              <w:rPr>
                <w:rFonts w:ascii="Gill Sans" w:hAnsi="Gill Sans" w:cs="Gill Sans"/>
                <w:szCs w:val="22"/>
              </w:rPr>
              <w:t>14(6)</w:t>
            </w:r>
            <w:r>
              <w:rPr>
                <w:rFonts w:ascii="Gill Sans" w:hAnsi="Gill Sans" w:cs="Gill Sans"/>
                <w:szCs w:val="22"/>
              </w:rPr>
              <w:t>, 587–</w:t>
            </w:r>
            <w:r w:rsidRPr="00076E76">
              <w:rPr>
                <w:rFonts w:ascii="Gill Sans" w:hAnsi="Gill Sans" w:cs="Gill Sans"/>
                <w:szCs w:val="22"/>
              </w:rPr>
              <w:t>596.</w:t>
            </w:r>
          </w:p>
          <w:p w14:paraId="0032EA2D" w14:textId="77777777" w:rsidR="00F934ED" w:rsidRPr="00076E76" w:rsidRDefault="00F934ED" w:rsidP="00F934ED">
            <w:pPr>
              <w:rPr>
                <w:rFonts w:ascii="Gill Sans" w:hAnsi="Gill Sans" w:cs="Gill Sans"/>
                <w:szCs w:val="22"/>
              </w:rPr>
            </w:pPr>
          </w:p>
          <w:p w14:paraId="3E3C099F" w14:textId="77777777" w:rsidR="00F934ED" w:rsidRDefault="00F934ED" w:rsidP="00F934ED">
            <w:pPr>
              <w:rPr>
                <w:rFonts w:ascii="Gill Sans" w:hAnsi="Gill Sans" w:cs="Gill Sans"/>
                <w:szCs w:val="22"/>
              </w:rPr>
            </w:pPr>
            <w:r w:rsidRPr="00076E76">
              <w:rPr>
                <w:rFonts w:ascii="Gill Sans" w:hAnsi="Gill Sans" w:cs="Gill Sans"/>
                <w:szCs w:val="22"/>
              </w:rPr>
              <w:t>SA</w:t>
            </w:r>
          </w:p>
          <w:p w14:paraId="5D0C5A1C"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2049FF57" w14:textId="77777777" w:rsidR="00F934ED" w:rsidRDefault="00F934ED" w:rsidP="00F934ED">
            <w:pPr>
              <w:rPr>
                <w:rFonts w:ascii="Gill Sans" w:hAnsi="Gill Sans" w:cs="Gill Sans"/>
                <w:szCs w:val="22"/>
              </w:rPr>
            </w:pPr>
          </w:p>
          <w:p w14:paraId="1D3EAA63" w14:textId="322679FF" w:rsidR="00F934ED" w:rsidRPr="00076E76" w:rsidRDefault="00F934ED" w:rsidP="00F934ED">
            <w:pPr>
              <w:rPr>
                <w:rFonts w:ascii="Gill Sans" w:hAnsi="Gill Sans" w:cs="Gill Sans"/>
                <w:i/>
                <w:szCs w:val="22"/>
              </w:rPr>
            </w:pPr>
            <w:r>
              <w:rPr>
                <w:rFonts w:ascii="Gill Sans" w:hAnsi="Gill Sans" w:cs="Gill Sans"/>
                <w:szCs w:val="22"/>
              </w:rPr>
              <w:t xml:space="preserve">Keywords: </w:t>
            </w:r>
            <w:r w:rsidRPr="00EE424E">
              <w:rPr>
                <w:rFonts w:ascii="Gill Sans" w:hAnsi="Gill Sans" w:cs="Gill Sans"/>
                <w:i/>
                <w:szCs w:val="22"/>
              </w:rPr>
              <w:t>discourses; identity; language; literacy; longitudinal study</w:t>
            </w:r>
          </w:p>
        </w:tc>
        <w:tc>
          <w:tcPr>
            <w:tcW w:w="10064" w:type="dxa"/>
          </w:tcPr>
          <w:p w14:paraId="2773A633" w14:textId="54A94C80" w:rsidR="00F934ED" w:rsidRPr="006B2E32"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lastRenderedPageBreak/>
              <w:t xml:space="preserve">Context: </w:t>
            </w:r>
            <w:r>
              <w:rPr>
                <w:rFonts w:ascii="Gill Sans" w:hAnsi="Gill Sans" w:cs="Gill Sans"/>
                <w:color w:val="000000"/>
                <w:szCs w:val="22"/>
                <w:lang w:val="en-AU"/>
              </w:rPr>
              <w:t xml:space="preserve">Widening participation in South African higher education  (students from ‘disadvantaged </w:t>
            </w:r>
            <w:r>
              <w:rPr>
                <w:rFonts w:ascii="Gill Sans" w:hAnsi="Gill Sans" w:cs="Gill Sans"/>
                <w:color w:val="000000"/>
                <w:szCs w:val="22"/>
                <w:lang w:val="en-AU"/>
              </w:rPr>
              <w:lastRenderedPageBreak/>
              <w:t>educational backgrounds’ in traditionally ‘white’ university); transitions, academic literacies, identities, which are all particularly challenging for “</w:t>
            </w:r>
            <w:r w:rsidRPr="00F67C20">
              <w:rPr>
                <w:rFonts w:ascii="Gill Sans" w:hAnsi="Gill Sans" w:cs="Gill Sans"/>
                <w:color w:val="000000"/>
                <w:szCs w:val="22"/>
              </w:rPr>
              <w:t>‘black ’ South African students from working-class</w:t>
            </w:r>
            <w:r>
              <w:rPr>
                <w:rFonts w:ascii="Gill Sans" w:hAnsi="Gill Sans" w:cs="Gill Sans"/>
                <w:color w:val="000000"/>
                <w:szCs w:val="22"/>
              </w:rPr>
              <w:t xml:space="preserve"> </w:t>
            </w:r>
            <w:r w:rsidRPr="00F67C20">
              <w:rPr>
                <w:rFonts w:ascii="Gill Sans" w:hAnsi="Gill Sans" w:cs="Gill Sans"/>
                <w:color w:val="000000"/>
                <w:szCs w:val="22"/>
              </w:rPr>
              <w:t>communities who are not fully proficient in English, and who come from print</w:t>
            </w:r>
            <w:r>
              <w:rPr>
                <w:rFonts w:ascii="Gill Sans" w:hAnsi="Gill Sans" w:cs="Gill Sans"/>
                <w:color w:val="000000"/>
                <w:szCs w:val="22"/>
              </w:rPr>
              <w:t>-</w:t>
            </w:r>
            <w:r w:rsidRPr="00F67C20">
              <w:rPr>
                <w:rFonts w:ascii="Gill Sans" w:hAnsi="Gill Sans" w:cs="Gill Sans"/>
                <w:color w:val="000000"/>
                <w:szCs w:val="22"/>
              </w:rPr>
              <w:t>impoverished</w:t>
            </w:r>
            <w:r>
              <w:rPr>
                <w:rFonts w:ascii="Gill Sans" w:hAnsi="Gill Sans" w:cs="Gill Sans"/>
                <w:color w:val="000000"/>
                <w:szCs w:val="22"/>
              </w:rPr>
              <w:t xml:space="preserve"> </w:t>
            </w:r>
            <w:r w:rsidRPr="00F67C20">
              <w:rPr>
                <w:rFonts w:ascii="Gill Sans" w:hAnsi="Gill Sans" w:cs="Gill Sans"/>
                <w:color w:val="000000"/>
                <w:szCs w:val="22"/>
              </w:rPr>
              <w:t>home backgrounds and schools which have not facilitated close,</w:t>
            </w:r>
            <w:r>
              <w:rPr>
                <w:rFonts w:ascii="Gill Sans" w:hAnsi="Gill Sans" w:cs="Gill Sans"/>
                <w:color w:val="000000"/>
                <w:szCs w:val="22"/>
              </w:rPr>
              <w:t xml:space="preserve"> </w:t>
            </w:r>
            <w:r w:rsidRPr="00F67C20">
              <w:rPr>
                <w:rFonts w:ascii="Gill Sans" w:hAnsi="Gill Sans" w:cs="Gill Sans"/>
                <w:color w:val="000000"/>
                <w:szCs w:val="22"/>
              </w:rPr>
              <w:t>critical engagement with texts</w:t>
            </w:r>
            <w:r>
              <w:rPr>
                <w:rFonts w:ascii="Gill Sans" w:hAnsi="Gill Sans" w:cs="Gill Sans"/>
                <w:color w:val="000000"/>
                <w:szCs w:val="22"/>
              </w:rPr>
              <w:t>” (p.588)</w:t>
            </w:r>
          </w:p>
          <w:p w14:paraId="1ABBC181" w14:textId="6A2940B2" w:rsidR="00F934ED" w:rsidRPr="00204AF4"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Pr>
                <w:rFonts w:ascii="Gill Sans" w:hAnsi="Gill Sans" w:cs="Gill Sans"/>
                <w:color w:val="000000"/>
                <w:szCs w:val="22"/>
                <w:lang w:val="en-AU"/>
              </w:rPr>
              <w:t>To examine “</w:t>
            </w:r>
            <w:r w:rsidRPr="00204AF4">
              <w:rPr>
                <w:rFonts w:ascii="Gill Sans" w:hAnsi="Gill Sans" w:cs="Gill Sans"/>
                <w:color w:val="000000"/>
                <w:szCs w:val="22"/>
              </w:rPr>
              <w:t xml:space="preserve">how students position themselves in relation to their disciplines and by </w:t>
            </w:r>
            <w:proofErr w:type="spellStart"/>
            <w:r>
              <w:rPr>
                <w:rFonts w:ascii="Gill Sans" w:hAnsi="Gill Sans" w:cs="Gill Sans"/>
                <w:color w:val="000000"/>
                <w:szCs w:val="22"/>
              </w:rPr>
              <w:t>analysing</w:t>
            </w:r>
            <w:proofErr w:type="spellEnd"/>
            <w:r>
              <w:rPr>
                <w:rFonts w:ascii="Gill Sans" w:hAnsi="Gill Sans" w:cs="Gill Sans"/>
                <w:color w:val="000000"/>
                <w:szCs w:val="22"/>
              </w:rPr>
              <w:t xml:space="preserve"> </w:t>
            </w:r>
            <w:r w:rsidRPr="00204AF4">
              <w:rPr>
                <w:rFonts w:ascii="Gill Sans" w:hAnsi="Gill Sans" w:cs="Gill Sans"/>
                <w:color w:val="000000"/>
                <w:szCs w:val="22"/>
              </w:rPr>
              <w:t>how they position themselves in their writing</w:t>
            </w:r>
            <w:r>
              <w:rPr>
                <w:rFonts w:ascii="Gill Sans" w:hAnsi="Gill Sans" w:cs="Gill Sans"/>
                <w:color w:val="000000"/>
                <w:szCs w:val="22"/>
              </w:rPr>
              <w:t>” (p.589)</w:t>
            </w:r>
          </w:p>
          <w:p w14:paraId="2FFB3693" w14:textId="3AA25F49" w:rsidR="00F934ED" w:rsidRPr="00F67C20"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Theoretical frame:</w:t>
            </w:r>
            <w:r>
              <w:rPr>
                <w:rFonts w:ascii="Gill Sans" w:hAnsi="Gill Sans" w:cs="Gill Sans"/>
                <w:b/>
                <w:color w:val="000000"/>
                <w:szCs w:val="22"/>
                <w:lang w:val="en-AU"/>
              </w:rPr>
              <w:t xml:space="preserve"> </w:t>
            </w:r>
            <w:r>
              <w:rPr>
                <w:rFonts w:ascii="Gill Sans" w:hAnsi="Gill Sans" w:cs="Gill Sans"/>
                <w:color w:val="000000"/>
                <w:szCs w:val="22"/>
                <w:lang w:val="en-AU"/>
              </w:rPr>
              <w:t xml:space="preserve">Post-structuralism/ post-colonial theory; </w:t>
            </w:r>
            <w:r w:rsidRPr="00F67C20">
              <w:rPr>
                <w:rFonts w:ascii="Gill Sans" w:hAnsi="Gill Sans" w:cs="Gill Sans"/>
                <w:color w:val="000000"/>
                <w:szCs w:val="22"/>
                <w:lang w:val="en-AU"/>
              </w:rPr>
              <w:t xml:space="preserve">Clark &amp; </w:t>
            </w:r>
            <w:proofErr w:type="spellStart"/>
            <w:r w:rsidRPr="00F67C20">
              <w:rPr>
                <w:rFonts w:ascii="Gill Sans" w:hAnsi="Gill Sans" w:cs="Gill Sans"/>
                <w:color w:val="000000"/>
                <w:szCs w:val="22"/>
                <w:lang w:val="en-AU"/>
              </w:rPr>
              <w:t>Ivani</w:t>
            </w:r>
            <w:r w:rsidRPr="00F67C20">
              <w:rPr>
                <w:rFonts w:ascii="Times New Roman" w:hAnsi="Times New Roman" w:cs="Times New Roman"/>
                <w:color w:val="000000"/>
                <w:szCs w:val="22"/>
                <w:lang w:val="en-AU"/>
              </w:rPr>
              <w:t>č</w:t>
            </w:r>
            <w:r w:rsidRPr="00F67C20">
              <w:rPr>
                <w:rFonts w:ascii="Gill Sans" w:hAnsi="Gill Sans" w:cs="Gill Sans"/>
                <w:color w:val="000000"/>
                <w:szCs w:val="22"/>
                <w:lang w:val="en-AU"/>
              </w:rPr>
              <w:t>’s</w:t>
            </w:r>
            <w:proofErr w:type="spellEnd"/>
            <w:r w:rsidRPr="00F67C20">
              <w:rPr>
                <w:rFonts w:ascii="Gill Sans" w:hAnsi="Gill Sans" w:cs="Gill Sans"/>
                <w:color w:val="000000"/>
                <w:szCs w:val="22"/>
                <w:lang w:val="en-AU"/>
              </w:rPr>
              <w:t xml:space="preserve"> </w:t>
            </w:r>
            <w:r>
              <w:rPr>
                <w:rFonts w:ascii="Gill Sans" w:hAnsi="Gill Sans" w:cs="Gill Sans"/>
                <w:color w:val="000000"/>
                <w:szCs w:val="22"/>
                <w:lang w:val="en-AU"/>
              </w:rPr>
              <w:t>(1997) theory of writer identity (former selves to becoming selves) and authorial presence in texts</w:t>
            </w:r>
          </w:p>
          <w:p w14:paraId="53696E88" w14:textId="28D6B722" w:rsidR="00F934ED" w:rsidRPr="00F67C20" w:rsidRDefault="00F934ED" w:rsidP="00F934ED">
            <w:pPr>
              <w:rPr>
                <w:rFonts w:ascii="Gill Sans" w:hAnsi="Gill Sans" w:cs="Gill Sans"/>
                <w:color w:val="000000"/>
                <w:szCs w:val="22"/>
                <w:lang w:val="en-AU"/>
              </w:rPr>
            </w:pPr>
            <w:r w:rsidRPr="00F67C20">
              <w:rPr>
                <w:rFonts w:ascii="Gill Sans" w:hAnsi="Gill Sans" w:cs="Gill Sans"/>
                <w:b/>
                <w:color w:val="000000"/>
                <w:szCs w:val="22"/>
                <w:lang w:val="en-AU"/>
              </w:rPr>
              <w:t xml:space="preserve">Methodology: </w:t>
            </w:r>
            <w:r w:rsidRPr="00F67C20">
              <w:rPr>
                <w:rFonts w:ascii="Gill Sans" w:hAnsi="Gill Sans" w:cs="Gill Sans"/>
                <w:color w:val="000000"/>
                <w:szCs w:val="22"/>
                <w:lang w:val="en-AU"/>
              </w:rPr>
              <w:t>Longitudinal case study</w:t>
            </w:r>
            <w:r>
              <w:rPr>
                <w:rFonts w:ascii="Gill Sans" w:hAnsi="Gill Sans" w:cs="Gill Sans"/>
                <w:color w:val="000000"/>
                <w:szCs w:val="22"/>
                <w:lang w:val="en-AU"/>
              </w:rPr>
              <w:t xml:space="preserve"> (repeat individual interviews, focus groups, students’ writing, students’ reflections on writing)</w:t>
            </w:r>
          </w:p>
          <w:p w14:paraId="53F2D551" w14:textId="77777777" w:rsidR="00F934ED" w:rsidRDefault="00F934ED" w:rsidP="00F934ED">
            <w:pPr>
              <w:rPr>
                <w:rFonts w:ascii="Gill Sans" w:hAnsi="Gill Sans" w:cs="Gill Sans"/>
                <w:color w:val="000000"/>
                <w:szCs w:val="22"/>
              </w:rPr>
            </w:pPr>
            <w:r w:rsidRPr="00076E76">
              <w:rPr>
                <w:rFonts w:ascii="Gill Sans" w:hAnsi="Gill Sans" w:cs="Gill Sans"/>
                <w:b/>
                <w:color w:val="000000"/>
                <w:szCs w:val="22"/>
                <w:lang w:val="en-AU"/>
              </w:rPr>
              <w:t xml:space="preserve">Findings: </w:t>
            </w:r>
            <w:r>
              <w:rPr>
                <w:rFonts w:ascii="Gill Sans" w:hAnsi="Gill Sans" w:cs="Gill Sans"/>
                <w:color w:val="000000"/>
                <w:szCs w:val="22"/>
                <w:lang w:val="en-AU"/>
              </w:rPr>
              <w:t>Students had little experience of extended writing before starting their studies. The findings suggest that over time, they developed “</w:t>
            </w:r>
            <w:r w:rsidRPr="002C3D23">
              <w:rPr>
                <w:rFonts w:ascii="Gill Sans" w:hAnsi="Gill Sans" w:cs="Gill Sans"/>
                <w:color w:val="000000"/>
                <w:szCs w:val="22"/>
              </w:rPr>
              <w:t>a high degree</w:t>
            </w:r>
            <w:r>
              <w:rPr>
                <w:rFonts w:ascii="Gill Sans" w:hAnsi="Gill Sans" w:cs="Gill Sans"/>
                <w:color w:val="000000"/>
                <w:szCs w:val="22"/>
              </w:rPr>
              <w:t xml:space="preserve"> </w:t>
            </w:r>
            <w:r w:rsidRPr="002C3D23">
              <w:rPr>
                <w:rFonts w:ascii="Gill Sans" w:hAnsi="Gill Sans" w:cs="Gill Sans"/>
                <w:color w:val="000000"/>
                <w:szCs w:val="22"/>
              </w:rPr>
              <w:t>of meta-awareness about their writing</w:t>
            </w:r>
            <w:r>
              <w:rPr>
                <w:rFonts w:ascii="Gill Sans" w:hAnsi="Gill Sans" w:cs="Gill Sans"/>
                <w:color w:val="000000"/>
                <w:szCs w:val="22"/>
              </w:rPr>
              <w:t xml:space="preserve">” (p.590). </w:t>
            </w:r>
          </w:p>
          <w:p w14:paraId="79F429A5" w14:textId="6E05D40B" w:rsidR="00F934ED" w:rsidRPr="009D2DB0" w:rsidRDefault="00F934ED" w:rsidP="00F934ED">
            <w:pPr>
              <w:rPr>
                <w:rFonts w:ascii="Gill Sans" w:hAnsi="Gill Sans" w:cs="Gill Sans"/>
                <w:color w:val="000000"/>
                <w:szCs w:val="22"/>
              </w:rPr>
            </w:pPr>
            <w:r>
              <w:rPr>
                <w:rFonts w:ascii="Gill Sans" w:hAnsi="Gill Sans" w:cs="Gill Sans"/>
                <w:color w:val="000000"/>
                <w:szCs w:val="22"/>
              </w:rPr>
              <w:t>Students’ reflections suggest that they invested in their disciplines as they progressed through their studies, expressing “</w:t>
            </w:r>
            <w:r w:rsidRPr="0012209D">
              <w:rPr>
                <w:rFonts w:ascii="Gill Sans" w:hAnsi="Gill Sans" w:cs="Gill Sans"/>
                <w:color w:val="000000"/>
                <w:szCs w:val="22"/>
              </w:rPr>
              <w:t>a growing allegiance to the values and culture of the discipline</w:t>
            </w:r>
            <w:r>
              <w:rPr>
                <w:rFonts w:ascii="Gill Sans" w:hAnsi="Gill Sans" w:cs="Gill Sans"/>
                <w:color w:val="000000"/>
                <w:szCs w:val="22"/>
              </w:rPr>
              <w:t>” (p.591); findings suggest that students also experienced an ontological expansion/ shift in their worldviews and values/ assumptions. This was not a linear process; rather, the authors write that the “</w:t>
            </w:r>
            <w:r w:rsidRPr="007E58A0">
              <w:rPr>
                <w:rFonts w:ascii="Gill Sans" w:hAnsi="Gill Sans" w:cs="Gill Sans"/>
                <w:color w:val="000000"/>
                <w:szCs w:val="22"/>
              </w:rPr>
              <w:t>students both absorbed and resisted</w:t>
            </w:r>
            <w:r>
              <w:rPr>
                <w:rFonts w:ascii="Gill Sans" w:hAnsi="Gill Sans" w:cs="Gill Sans"/>
                <w:color w:val="000000"/>
                <w:szCs w:val="22"/>
              </w:rPr>
              <w:t xml:space="preserve"> </w:t>
            </w:r>
            <w:r w:rsidRPr="007E58A0">
              <w:rPr>
                <w:rFonts w:ascii="Gill Sans" w:hAnsi="Gill Sans" w:cs="Gill Sans"/>
                <w:color w:val="000000"/>
                <w:szCs w:val="22"/>
              </w:rPr>
              <w:t>the new discourses and inhabited multiple subject positions as they attempted to</w:t>
            </w:r>
            <w:r>
              <w:rPr>
                <w:rFonts w:ascii="Gill Sans" w:hAnsi="Gill Sans" w:cs="Gill Sans"/>
                <w:color w:val="000000"/>
                <w:szCs w:val="22"/>
              </w:rPr>
              <w:t xml:space="preserve"> </w:t>
            </w:r>
            <w:r w:rsidRPr="007E58A0">
              <w:rPr>
                <w:rFonts w:ascii="Gill Sans" w:hAnsi="Gill Sans" w:cs="Gill Sans"/>
                <w:color w:val="000000"/>
                <w:szCs w:val="22"/>
              </w:rPr>
              <w:t>reconcile conflicting home and institutional discourse practices</w:t>
            </w:r>
            <w:r>
              <w:rPr>
                <w:rFonts w:ascii="Gill Sans" w:hAnsi="Gill Sans" w:cs="Gill Sans"/>
                <w:color w:val="000000"/>
                <w:szCs w:val="22"/>
              </w:rPr>
              <w:t>” (p.592). Students’ shifting relationship with developing identities/ becoming selves = relationship and awareness of audience</w:t>
            </w:r>
            <w:r w:rsidRPr="00076E76">
              <w:rPr>
                <w:rFonts w:ascii="Gill Sans" w:hAnsi="Gill Sans" w:cs="Gill Sans"/>
                <w:b/>
                <w:color w:val="000000"/>
                <w:szCs w:val="22"/>
                <w:lang w:val="en-AU"/>
              </w:rPr>
              <w:br/>
              <w:t>Core argument:</w:t>
            </w:r>
            <w:r>
              <w:rPr>
                <w:rFonts w:ascii="Gill Sans" w:hAnsi="Gill Sans" w:cs="Gill Sans"/>
                <w:b/>
                <w:color w:val="000000"/>
                <w:szCs w:val="22"/>
                <w:lang w:val="en-AU"/>
              </w:rPr>
              <w:t xml:space="preserve"> </w:t>
            </w:r>
            <w:r>
              <w:rPr>
                <w:rFonts w:ascii="Gill Sans" w:hAnsi="Gill Sans" w:cs="Gill Sans"/>
                <w:color w:val="000000"/>
                <w:szCs w:val="22"/>
                <w:lang w:val="en-AU"/>
              </w:rPr>
              <w:t>Authors note complex and nuanced components of transition related specifically to the development of authorial/ discipline-specific identities and positioning, which extend beyond the first semester/ year of university study. Consequently, they argue that universities “</w:t>
            </w:r>
            <w:r w:rsidRPr="009D2DB0">
              <w:rPr>
                <w:rFonts w:ascii="Gill Sans" w:hAnsi="Gill Sans" w:cs="Gill Sans"/>
                <w:color w:val="000000"/>
                <w:szCs w:val="22"/>
              </w:rPr>
              <w:t>still have a long way to go in</w:t>
            </w:r>
          </w:p>
          <w:p w14:paraId="081B4C0B" w14:textId="4CC0B28E" w:rsidR="00F934ED" w:rsidRPr="009D2DB0" w:rsidRDefault="00F934ED" w:rsidP="00F934ED">
            <w:pPr>
              <w:rPr>
                <w:rFonts w:ascii="Gill Sans" w:hAnsi="Gill Sans" w:cs="Gill Sans"/>
                <w:color w:val="000000"/>
                <w:szCs w:val="22"/>
              </w:rPr>
            </w:pPr>
            <w:r w:rsidRPr="009D2DB0">
              <w:rPr>
                <w:rFonts w:ascii="Gill Sans" w:hAnsi="Gill Sans" w:cs="Gill Sans"/>
                <w:color w:val="000000"/>
                <w:szCs w:val="22"/>
              </w:rPr>
              <w:t xml:space="preserve">terms of </w:t>
            </w:r>
            <w:proofErr w:type="spellStart"/>
            <w:r w:rsidRPr="009D2DB0">
              <w:rPr>
                <w:rFonts w:ascii="Gill Sans" w:hAnsi="Gill Sans" w:cs="Gill Sans"/>
                <w:color w:val="000000"/>
                <w:szCs w:val="22"/>
              </w:rPr>
              <w:t>recognising</w:t>
            </w:r>
            <w:proofErr w:type="spellEnd"/>
            <w:r w:rsidRPr="009D2DB0">
              <w:rPr>
                <w:rFonts w:ascii="Gill Sans" w:hAnsi="Gill Sans" w:cs="Gill Sans"/>
                <w:color w:val="000000"/>
                <w:szCs w:val="22"/>
              </w:rPr>
              <w:t xml:space="preserve"> and providing support for both the academic and affective</w:t>
            </w:r>
            <w:r>
              <w:rPr>
                <w:rFonts w:ascii="Gill Sans" w:hAnsi="Gill Sans" w:cs="Gill Sans"/>
                <w:color w:val="000000"/>
                <w:szCs w:val="22"/>
              </w:rPr>
              <w:t xml:space="preserve"> </w:t>
            </w:r>
            <w:r w:rsidRPr="009D2DB0">
              <w:rPr>
                <w:rFonts w:ascii="Gill Sans" w:hAnsi="Gill Sans" w:cs="Gill Sans"/>
                <w:color w:val="000000"/>
                <w:szCs w:val="22"/>
              </w:rPr>
              <w:t>dimensions of their transition and in terms of engaging critically with the effects of</w:t>
            </w:r>
            <w:r>
              <w:rPr>
                <w:rFonts w:ascii="Gill Sans" w:hAnsi="Gill Sans" w:cs="Gill Sans"/>
                <w:color w:val="000000"/>
                <w:szCs w:val="22"/>
              </w:rPr>
              <w:t xml:space="preserve"> </w:t>
            </w:r>
            <w:r w:rsidRPr="009D2DB0">
              <w:rPr>
                <w:rFonts w:ascii="Gill Sans" w:hAnsi="Gill Sans" w:cs="Gill Sans"/>
                <w:color w:val="000000"/>
                <w:szCs w:val="22"/>
              </w:rPr>
              <w:t>our own discourses</w:t>
            </w:r>
            <w:r>
              <w:rPr>
                <w:rFonts w:ascii="Gill Sans" w:hAnsi="Gill Sans" w:cs="Gill Sans"/>
                <w:color w:val="000000"/>
                <w:szCs w:val="22"/>
              </w:rPr>
              <w:t>” (p.595).</w:t>
            </w:r>
          </w:p>
        </w:tc>
      </w:tr>
      <w:tr w:rsidR="00F934ED" w:rsidRPr="00076E76" w14:paraId="6475F016" w14:textId="77777777" w:rsidTr="002E557C">
        <w:tc>
          <w:tcPr>
            <w:tcW w:w="5529" w:type="dxa"/>
          </w:tcPr>
          <w:p w14:paraId="50476E26" w14:textId="17806BCB" w:rsidR="00F934ED" w:rsidRPr="00076E76" w:rsidRDefault="00F934ED" w:rsidP="00F934ED">
            <w:pPr>
              <w:rPr>
                <w:rFonts w:ascii="Gill Sans" w:hAnsi="Gill Sans" w:cs="Gill Sans"/>
                <w:szCs w:val="22"/>
              </w:rPr>
            </w:pPr>
            <w:r w:rsidRPr="00076E76">
              <w:rPr>
                <w:rFonts w:ascii="Gill Sans" w:hAnsi="Gill Sans" w:cs="Gill Sans"/>
                <w:szCs w:val="22"/>
              </w:rPr>
              <w:lastRenderedPageBreak/>
              <w:t xml:space="preserve">Keane, E. (2011). </w:t>
            </w:r>
            <w:hyperlink r:id="rId82" w:history="1">
              <w:r w:rsidRPr="006979B8">
                <w:rPr>
                  <w:rStyle w:val="Hyperlink"/>
                  <w:rFonts w:ascii="Gill Sans" w:hAnsi="Gill Sans" w:cs="Gill Sans"/>
                  <w:szCs w:val="22"/>
                </w:rPr>
                <w:t>Dependence-deconstruction: widening participation and traditional-entry students transitioning from school to higher education in Ireland</w:t>
              </w:r>
            </w:hyperlink>
            <w:r w:rsidRPr="00076E76">
              <w:rPr>
                <w:rFonts w:ascii="Gill Sans" w:hAnsi="Gill Sans" w:cs="Gill Sans"/>
                <w:szCs w:val="22"/>
              </w:rPr>
              <w:t xml:space="preserve">, </w:t>
            </w:r>
            <w:r w:rsidRPr="00076E76">
              <w:rPr>
                <w:rFonts w:ascii="Gill Sans" w:hAnsi="Gill Sans" w:cs="Gill Sans"/>
                <w:i/>
                <w:szCs w:val="22"/>
              </w:rPr>
              <w:t xml:space="preserve">Teaching in Higher Education, </w:t>
            </w:r>
            <w:r w:rsidRPr="00076E76">
              <w:rPr>
                <w:rFonts w:ascii="Gill Sans" w:hAnsi="Gill Sans" w:cs="Gill Sans"/>
                <w:szCs w:val="22"/>
              </w:rPr>
              <w:t>1</w:t>
            </w:r>
            <w:r>
              <w:rPr>
                <w:rFonts w:ascii="Gill Sans" w:hAnsi="Gill Sans" w:cs="Gill Sans"/>
                <w:szCs w:val="22"/>
              </w:rPr>
              <w:t>6(6), 707–</w:t>
            </w:r>
            <w:r w:rsidRPr="00076E76">
              <w:rPr>
                <w:rFonts w:ascii="Gill Sans" w:hAnsi="Gill Sans" w:cs="Gill Sans"/>
                <w:szCs w:val="22"/>
              </w:rPr>
              <w:t>718.</w:t>
            </w:r>
          </w:p>
          <w:p w14:paraId="089E5F4E" w14:textId="77777777" w:rsidR="00F934ED" w:rsidRPr="00076E76" w:rsidRDefault="00F934ED" w:rsidP="00F934ED">
            <w:pPr>
              <w:rPr>
                <w:rFonts w:ascii="Gill Sans" w:hAnsi="Gill Sans" w:cs="Gill Sans"/>
                <w:szCs w:val="22"/>
              </w:rPr>
            </w:pPr>
          </w:p>
          <w:p w14:paraId="3EBAF08E" w14:textId="77777777" w:rsidR="00F934ED" w:rsidRPr="00076E76" w:rsidRDefault="00F934ED" w:rsidP="00F934ED">
            <w:pPr>
              <w:rPr>
                <w:rFonts w:ascii="Gill Sans" w:hAnsi="Gill Sans" w:cs="Gill Sans"/>
                <w:szCs w:val="22"/>
              </w:rPr>
            </w:pPr>
            <w:r w:rsidRPr="00076E76">
              <w:rPr>
                <w:rFonts w:ascii="Gill Sans" w:hAnsi="Gill Sans" w:cs="Gill Sans"/>
                <w:szCs w:val="22"/>
              </w:rPr>
              <w:t>IRE</w:t>
            </w:r>
          </w:p>
          <w:p w14:paraId="0A1103EF"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57ED1BF9" w14:textId="77777777" w:rsidR="00F934ED" w:rsidRPr="00076E76" w:rsidRDefault="00F934ED" w:rsidP="00F934ED">
            <w:pPr>
              <w:rPr>
                <w:rFonts w:ascii="Gill Sans" w:hAnsi="Gill Sans" w:cs="Gill Sans"/>
                <w:szCs w:val="22"/>
              </w:rPr>
            </w:pPr>
          </w:p>
          <w:p w14:paraId="497104B1" w14:textId="08969B43" w:rsidR="00F934ED" w:rsidRPr="00076E76" w:rsidRDefault="00F934ED" w:rsidP="00F934ED">
            <w:pPr>
              <w:rPr>
                <w:rFonts w:ascii="Gill Sans" w:hAnsi="Gill Sans" w:cs="Gill Sans"/>
                <w:szCs w:val="22"/>
              </w:rPr>
            </w:pPr>
            <w:r w:rsidRPr="00076E76">
              <w:rPr>
                <w:rFonts w:ascii="Gill Sans" w:hAnsi="Gill Sans" w:cs="Gill Sans"/>
                <w:szCs w:val="22"/>
              </w:rPr>
              <w:lastRenderedPageBreak/>
              <w:t xml:space="preserve">Keywords: </w:t>
            </w:r>
            <w:r w:rsidRPr="00076E76">
              <w:rPr>
                <w:rFonts w:ascii="Gill Sans" w:hAnsi="Gill Sans" w:cs="Gill Sans"/>
                <w:i/>
                <w:szCs w:val="22"/>
              </w:rPr>
              <w:t>widening participation; student experience; falling standards; social class</w:t>
            </w:r>
          </w:p>
        </w:tc>
        <w:tc>
          <w:tcPr>
            <w:tcW w:w="10064" w:type="dxa"/>
          </w:tcPr>
          <w:p w14:paraId="23F6AFF4" w14:textId="2A7E25D0"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lastRenderedPageBreak/>
              <w:t xml:space="preserve">Context: </w:t>
            </w:r>
            <w:r w:rsidRPr="00076E76">
              <w:rPr>
                <w:rFonts w:ascii="Gill Sans" w:hAnsi="Gill Sans" w:cs="Gill Sans"/>
                <w:color w:val="000000"/>
                <w:szCs w:val="22"/>
                <w:lang w:val="en-AU"/>
              </w:rPr>
              <w:t>Transitions into higher education in Ireland, in context of WP agenda/ massification of higher education. Examines the juxtaposition of equality and quality (dropping standards argument with expansion of HE) by following the transitions of non-traditional/access students and traditional students as they move into an Irish university. Notes popular fears about dumbing down of HE because of WP and critiques of the Irish school system (‘assembly-line model of education’; O’Kelly, 2009). Notes literature on ‘gap’ between school and HE. Argues there is a dearth of empirical work on post-entry experiences of students</w:t>
            </w:r>
          </w:p>
          <w:p w14:paraId="49C8E2F4" w14:textId="77777777" w:rsidR="00F934ED" w:rsidRPr="00076E76" w:rsidRDefault="00F934ED" w:rsidP="00F934ED">
            <w:pPr>
              <w:rPr>
                <w:rFonts w:ascii="Gill Sans" w:hAnsi="Gill Sans" w:cs="Gill Sans"/>
                <w:b/>
                <w:color w:val="000000"/>
                <w:szCs w:val="22"/>
                <w:lang w:val="en-AU"/>
              </w:rPr>
            </w:pPr>
            <w:r w:rsidRPr="00076E76">
              <w:rPr>
                <w:rFonts w:ascii="Gill Sans" w:hAnsi="Gill Sans" w:cs="Gill Sans"/>
                <w:b/>
                <w:color w:val="000000"/>
                <w:szCs w:val="22"/>
                <w:lang w:val="en-AU"/>
              </w:rPr>
              <w:t xml:space="preserve">Aim: </w:t>
            </w:r>
          </w:p>
          <w:p w14:paraId="3AB79723" w14:textId="4148C5FC" w:rsidR="00F934ED" w:rsidRPr="000149B1"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Theoretical frame:</w:t>
            </w:r>
            <w:r w:rsidR="000149B1">
              <w:rPr>
                <w:rFonts w:ascii="Gill Sans" w:hAnsi="Gill Sans" w:cs="Gill Sans"/>
                <w:b/>
                <w:color w:val="000000"/>
                <w:szCs w:val="22"/>
                <w:lang w:val="en-AU"/>
              </w:rPr>
              <w:t xml:space="preserve"> </w:t>
            </w:r>
            <w:r w:rsidR="000149B1">
              <w:rPr>
                <w:rFonts w:ascii="Gill Sans" w:hAnsi="Gill Sans" w:cs="Gill Sans"/>
                <w:color w:val="000000"/>
                <w:szCs w:val="22"/>
                <w:lang w:val="en-AU"/>
              </w:rPr>
              <w:t xml:space="preserve">None explicit. </w:t>
            </w:r>
          </w:p>
          <w:p w14:paraId="302DF428" w14:textId="499CFDB0"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lastRenderedPageBreak/>
              <w:t xml:space="preserve">Methodology: </w:t>
            </w:r>
            <w:r w:rsidRPr="00076E76">
              <w:rPr>
                <w:rFonts w:ascii="Gill Sans" w:hAnsi="Gill Sans" w:cs="Gill Sans"/>
                <w:color w:val="000000"/>
                <w:szCs w:val="22"/>
                <w:lang w:val="en-AU"/>
              </w:rPr>
              <w:t>Constructivist/ grounded theory. Two groups of students: 1) = ‘non-traditional’: accessed higher education via Access course (called SLAs; n=23 mix of Year 1-3/ mix of disciplines) and all from lower social class groups; 2) matched group of ‘traditional’ students = articulated directly from school (TEs) and all from higher social class groups (n=22). Majority of participants = female (32/45) and doing Arts-based courses (34/45). Data collection = demographic questionnaire, 2 x interviews + email follow-up</w:t>
            </w:r>
          </w:p>
          <w:p w14:paraId="27C15CF4" w14:textId="278AA69F"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Findings: </w:t>
            </w:r>
            <w:r w:rsidRPr="00076E76">
              <w:rPr>
                <w:rFonts w:ascii="Gill Sans" w:hAnsi="Gill Sans" w:cs="Gill Sans"/>
                <w:color w:val="000000"/>
                <w:szCs w:val="22"/>
                <w:lang w:val="en-AU"/>
              </w:rPr>
              <w:t>3 themes.</w:t>
            </w:r>
          </w:p>
          <w:p w14:paraId="3CE2D89D" w14:textId="7777777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u w:val="single"/>
                <w:lang w:val="en-AU"/>
              </w:rPr>
              <w:t>Transitioning from dependence to independence</w:t>
            </w:r>
            <w:r w:rsidRPr="00076E76">
              <w:rPr>
                <w:rFonts w:ascii="Gill Sans" w:hAnsi="Gill Sans" w:cs="Gill Sans"/>
                <w:color w:val="000000"/>
                <w:szCs w:val="22"/>
                <w:lang w:val="en-AU"/>
              </w:rPr>
              <w:t>: more SLAs experienced issues with school (many ‘hated’ it – they perceived their teachers as having low expectations of them); broadly the TEs had positive experiences and were generally expected to go on to further education. Both SLAs and TEs described learning at school as dependent (one student = “</w:t>
            </w:r>
            <w:r w:rsidRPr="00076E76">
              <w:rPr>
                <w:rFonts w:ascii="Gill Sans" w:hAnsi="Gill Sans" w:cs="Gill Sans"/>
                <w:color w:val="000000"/>
                <w:szCs w:val="22"/>
              </w:rPr>
              <w:t>‘read, remember, regurgitate’”, p.710) and spoon-feeding = dominant metaphor used by participants. University learning = stark contrast</w:t>
            </w:r>
          </w:p>
          <w:p w14:paraId="03850E30" w14:textId="7777777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u w:val="single"/>
              </w:rPr>
              <w:t>Figuring out/ enacting academic practice</w:t>
            </w:r>
            <w:r w:rsidRPr="00076E76">
              <w:rPr>
                <w:rFonts w:ascii="Gill Sans" w:hAnsi="Gill Sans" w:cs="Gill Sans"/>
                <w:color w:val="000000"/>
                <w:szCs w:val="22"/>
              </w:rPr>
              <w:t xml:space="preserve">: both groups = patterns in academic experiences: poor attendance in Year 1, both groups considered dropping out (largely due to social/ work-related issues). Attendance improved for both groups in Years 2 and 3. Participants in both groups = failed modules and had to repeat; issues largely related to maths/statistical requirements of course, stress, workload, writing. TEs struggled more with transition to independence more than SLAs initially and needed process deconstructed. 3 phases identified: regurgitating, experimental enacting, and stable enacting. SLAs experienced some of phase 1 (regurgitation) and moved directly to phase 2. TEs’ talk suggests the restricted code of schooling = difficult to replace with independent code/ practices. Second phase generally happened at end of Year 1/ Year 2 for TEs. Partly students (TEs in particular) struggled with this shift because it involved risk (incorporating own reading/ opinions in). Overall both groups received similar results (most achieving 2:1 degrees). Most of both groups = postgrad study </w:t>
            </w:r>
            <w:proofErr w:type="gramStart"/>
            <w:r w:rsidRPr="00076E76">
              <w:rPr>
                <w:rFonts w:ascii="Gill Sans" w:hAnsi="Gill Sans" w:cs="Gill Sans"/>
                <w:color w:val="000000"/>
                <w:szCs w:val="22"/>
              </w:rPr>
              <w:t>or</w:t>
            </w:r>
            <w:proofErr w:type="gramEnd"/>
            <w:r w:rsidRPr="00076E76">
              <w:rPr>
                <w:rFonts w:ascii="Gill Sans" w:hAnsi="Gill Sans" w:cs="Gill Sans"/>
                <w:color w:val="000000"/>
                <w:szCs w:val="22"/>
              </w:rPr>
              <w:t xml:space="preserve"> planning to go on to do so.</w:t>
            </w:r>
          </w:p>
          <w:p w14:paraId="7B6E89B2" w14:textId="740CE752" w:rsidR="00F934ED" w:rsidRPr="00076E76" w:rsidRDefault="00F934ED" w:rsidP="00F934ED">
            <w:pPr>
              <w:widowControl w:val="0"/>
              <w:autoSpaceDE w:val="0"/>
              <w:autoSpaceDN w:val="0"/>
              <w:adjustRightInd w:val="0"/>
              <w:rPr>
                <w:rFonts w:ascii="Gill Sans" w:hAnsi="Gill Sans" w:cs="Gill Sans"/>
                <w:szCs w:val="22"/>
              </w:rPr>
            </w:pPr>
            <w:r w:rsidRPr="00076E76">
              <w:rPr>
                <w:rFonts w:ascii="Gill Sans" w:hAnsi="Gill Sans" w:cs="Gill Sans"/>
                <w:color w:val="000000"/>
                <w:szCs w:val="22"/>
                <w:u w:val="single"/>
              </w:rPr>
              <w:t>Impacting factors</w:t>
            </w:r>
            <w:r w:rsidRPr="00076E76">
              <w:rPr>
                <w:rFonts w:ascii="Gill Sans" w:hAnsi="Gill Sans" w:cs="Gill Sans"/>
                <w:color w:val="000000"/>
                <w:szCs w:val="22"/>
              </w:rPr>
              <w:t>: similarity in results = explained by ‘balancing out’ of dis/advantages. SLAs’ previous poor school experiences = balanced out by explicit preparation and scaffolding offered in Access course; in contrast, TEs = initially lost because gap between school and university = larger and they needed to do more deconstruction of prior learning than the SLA group (who had largely disengaged from ways of schooling). However, SLAs = lower academic self-confidence</w:t>
            </w:r>
            <w:r w:rsidRPr="00076E76">
              <w:rPr>
                <w:rFonts w:ascii="Gill Sans" w:hAnsi="Gill Sans" w:cs="Gill Sans"/>
                <w:b/>
                <w:color w:val="000000"/>
                <w:szCs w:val="22"/>
                <w:lang w:val="en-AU"/>
              </w:rPr>
              <w:br/>
              <w:t xml:space="preserve">Core argument: </w:t>
            </w:r>
            <w:r w:rsidRPr="00076E76">
              <w:rPr>
                <w:rFonts w:ascii="Gill Sans" w:hAnsi="Gill Sans" w:cs="Gill Sans"/>
                <w:color w:val="000000"/>
                <w:szCs w:val="22"/>
                <w:lang w:val="en-AU"/>
              </w:rPr>
              <w:t>Findings challenge deficit views of WP students (actually SLAs were further along the 3-part transferral process due to attending Access course). Author suggests there is a “</w:t>
            </w:r>
            <w:r w:rsidRPr="00076E76">
              <w:rPr>
                <w:rFonts w:ascii="Gill Sans" w:hAnsi="Gill Sans" w:cs="Gill Sans"/>
                <w:szCs w:val="22"/>
              </w:rPr>
              <w:t>need for significant system-wide change, including assessment (particularly in terms of the current points system, due to its backwash</w:t>
            </w:r>
          </w:p>
          <w:p w14:paraId="0FCDC7C8" w14:textId="48A81F13" w:rsidR="00F934ED" w:rsidRPr="00076E76" w:rsidRDefault="00F934ED" w:rsidP="00F934ED">
            <w:pPr>
              <w:rPr>
                <w:rFonts w:ascii="Gill Sans" w:hAnsi="Gill Sans" w:cs="Gill Sans"/>
                <w:color w:val="000000"/>
                <w:szCs w:val="22"/>
                <w:lang w:val="en-AU"/>
              </w:rPr>
            </w:pPr>
            <w:r w:rsidRPr="00076E76">
              <w:rPr>
                <w:rFonts w:ascii="Gill Sans" w:hAnsi="Gill Sans" w:cs="Gill Sans"/>
                <w:szCs w:val="22"/>
              </w:rPr>
              <w:t>effect on pedagogy), and teacher and academic staff development” (p.715).</w:t>
            </w:r>
          </w:p>
        </w:tc>
      </w:tr>
      <w:tr w:rsidR="00F934ED" w:rsidRPr="00076E76" w14:paraId="7E19FBE2" w14:textId="77777777" w:rsidTr="002E557C">
        <w:tc>
          <w:tcPr>
            <w:tcW w:w="5529" w:type="dxa"/>
          </w:tcPr>
          <w:p w14:paraId="54E95D1C" w14:textId="5C653422" w:rsidR="00F934ED" w:rsidRPr="00076E76" w:rsidRDefault="00F934ED" w:rsidP="00F934ED">
            <w:pPr>
              <w:rPr>
                <w:rFonts w:ascii="Gill Sans" w:hAnsi="Gill Sans" w:cs="Gill Sans"/>
                <w:szCs w:val="22"/>
              </w:rPr>
            </w:pPr>
            <w:r w:rsidRPr="00076E76">
              <w:rPr>
                <w:rFonts w:ascii="Gill Sans" w:hAnsi="Gill Sans" w:cs="Gill Sans"/>
                <w:szCs w:val="22"/>
              </w:rPr>
              <w:lastRenderedPageBreak/>
              <w:t xml:space="preserve">Kift, S. (2015). </w:t>
            </w:r>
            <w:hyperlink r:id="rId83" w:history="1">
              <w:r w:rsidRPr="006979B8">
                <w:rPr>
                  <w:rStyle w:val="Hyperlink"/>
                  <w:rFonts w:ascii="Gill Sans" w:hAnsi="Gill Sans" w:cs="Gill Sans"/>
                  <w:szCs w:val="22"/>
                </w:rPr>
                <w:t xml:space="preserve">A decade of Transition Pedagogy: A quantum leap in </w:t>
              </w:r>
              <w:proofErr w:type="spellStart"/>
              <w:r w:rsidRPr="006979B8">
                <w:rPr>
                  <w:rStyle w:val="Hyperlink"/>
                  <w:rFonts w:ascii="Gill Sans" w:hAnsi="Gill Sans" w:cs="Gill Sans"/>
                  <w:szCs w:val="22"/>
                </w:rPr>
                <w:t>conceptualising</w:t>
              </w:r>
              <w:proofErr w:type="spellEnd"/>
              <w:r w:rsidRPr="006979B8">
                <w:rPr>
                  <w:rStyle w:val="Hyperlink"/>
                  <w:rFonts w:ascii="Gill Sans" w:hAnsi="Gill Sans" w:cs="Gill Sans"/>
                  <w:szCs w:val="22"/>
                </w:rPr>
                <w:t xml:space="preserve"> first year experience</w:t>
              </w:r>
            </w:hyperlink>
            <w:r w:rsidRPr="00076E76">
              <w:rPr>
                <w:rFonts w:ascii="Gill Sans" w:hAnsi="Gill Sans" w:cs="Gill Sans"/>
                <w:szCs w:val="22"/>
              </w:rPr>
              <w:t xml:space="preserve">, </w:t>
            </w:r>
            <w:r w:rsidRPr="00076E76">
              <w:rPr>
                <w:rFonts w:ascii="Gill Sans" w:hAnsi="Gill Sans" w:cs="Gill Sans"/>
                <w:i/>
                <w:szCs w:val="22"/>
              </w:rPr>
              <w:t xml:space="preserve">HERDSA Review of Higher Education, </w:t>
            </w:r>
            <w:r>
              <w:rPr>
                <w:rFonts w:ascii="Gill Sans" w:hAnsi="Gill Sans" w:cs="Gill Sans"/>
                <w:szCs w:val="22"/>
              </w:rPr>
              <w:t>2, 51–</w:t>
            </w:r>
            <w:r w:rsidRPr="00076E76">
              <w:rPr>
                <w:rFonts w:ascii="Gill Sans" w:hAnsi="Gill Sans" w:cs="Gill Sans"/>
                <w:szCs w:val="22"/>
              </w:rPr>
              <w:t>86</w:t>
            </w:r>
          </w:p>
          <w:p w14:paraId="17A5CB59" w14:textId="77777777" w:rsidR="00F934ED" w:rsidRPr="00076E76" w:rsidRDefault="00F934ED" w:rsidP="00F934ED">
            <w:pPr>
              <w:rPr>
                <w:rFonts w:ascii="Gill Sans" w:hAnsi="Gill Sans" w:cs="Gill Sans"/>
                <w:szCs w:val="22"/>
              </w:rPr>
            </w:pPr>
          </w:p>
          <w:p w14:paraId="4E76D672" w14:textId="4F10A8F7" w:rsidR="00F934ED" w:rsidRPr="00076E76" w:rsidRDefault="00F934ED" w:rsidP="00F934ED">
            <w:pPr>
              <w:rPr>
                <w:rFonts w:ascii="Gill Sans" w:hAnsi="Gill Sans" w:cs="Gill Sans"/>
                <w:szCs w:val="22"/>
              </w:rPr>
            </w:pPr>
            <w:r w:rsidRPr="00076E76">
              <w:rPr>
                <w:rFonts w:ascii="Gill Sans" w:hAnsi="Gill Sans" w:cs="Gill Sans"/>
                <w:szCs w:val="22"/>
              </w:rPr>
              <w:t>AUS</w:t>
            </w:r>
          </w:p>
          <w:p w14:paraId="36859EA5"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400DA756" w14:textId="77777777" w:rsidR="00F934ED" w:rsidRPr="00076E76" w:rsidRDefault="00F934ED" w:rsidP="00F934ED">
            <w:pPr>
              <w:rPr>
                <w:rFonts w:ascii="Gill Sans" w:hAnsi="Gill Sans" w:cs="Gill Sans"/>
                <w:szCs w:val="22"/>
              </w:rPr>
            </w:pPr>
          </w:p>
          <w:p w14:paraId="5D4B9408" w14:textId="41F52668" w:rsidR="00F934ED" w:rsidRPr="00076E76" w:rsidRDefault="00F934ED" w:rsidP="00F934ED">
            <w:pPr>
              <w:rPr>
                <w:rFonts w:ascii="Gill Sans" w:hAnsi="Gill Sans" w:cs="Gill Sans"/>
                <w:szCs w:val="22"/>
              </w:rPr>
            </w:pPr>
            <w:r w:rsidRPr="00076E76">
              <w:rPr>
                <w:rFonts w:ascii="Gill Sans" w:hAnsi="Gill Sans" w:cs="Gill Sans"/>
                <w:szCs w:val="22"/>
              </w:rPr>
              <w:t xml:space="preserve">Keywords: </w:t>
            </w:r>
            <w:r w:rsidRPr="00076E76">
              <w:rPr>
                <w:rFonts w:ascii="Gill Sans" w:hAnsi="Gill Sans" w:cs="Gill Sans"/>
                <w:i/>
                <w:szCs w:val="22"/>
              </w:rPr>
              <w:t>transition pedagogy; first year experience; curriculum design; whole-of-institution; whole-of-student; academic and professional partnerships.</w:t>
            </w:r>
          </w:p>
        </w:tc>
        <w:tc>
          <w:tcPr>
            <w:tcW w:w="10064" w:type="dxa"/>
          </w:tcPr>
          <w:p w14:paraId="749308C6" w14:textId="6529F9FB"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sidRPr="00076E76">
              <w:rPr>
                <w:rFonts w:ascii="Gill Sans" w:hAnsi="Gill Sans" w:cs="Gill Sans"/>
                <w:color w:val="000000"/>
                <w:szCs w:val="22"/>
                <w:lang w:val="en-AU"/>
              </w:rPr>
              <w:t>Set in context of increasing student numbers, increased numbers of equity students (ref to Martin indicators). Discusses attrition rates and cost of drop out. Set in bounded context of first year experience (FYE)- notes how this is diverse and individually experienced and outlined as collection of challenges: “</w:t>
            </w:r>
            <w:r w:rsidRPr="00076E76">
              <w:rPr>
                <w:rFonts w:ascii="Gill Sans" w:hAnsi="Gill Sans" w:cs="Gill Sans"/>
                <w:color w:val="000000"/>
                <w:szCs w:val="22"/>
              </w:rPr>
              <w:t>Consequently, the FYE bears a heavy burden if it is to cut through and mediate these complexities. It may be trite to say, but the first year must be foundational. It must lay down the learning platform for an end clearly in sight. It should foster a critical sense of belonging and student identity, through involvement and connectedness with the student’s university and discipline experiences. It should facilitate the delivery of just-in-time, just-for-me tailored support, especially for time-poor students whose differing social and cultural capital on entry demands the equitable unpacking of the ‘hidden’ rules and expectations of and for learning success” (p.54).</w:t>
            </w:r>
          </w:p>
          <w:p w14:paraId="47C48D9D" w14:textId="2E1559FD"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sidRPr="00076E76">
              <w:rPr>
                <w:rFonts w:ascii="Gill Sans" w:hAnsi="Gill Sans" w:cs="Gill Sans"/>
                <w:color w:val="000000"/>
                <w:szCs w:val="22"/>
                <w:lang w:val="en-AU"/>
              </w:rPr>
              <w:t>To review transition pedagogy (TP) framework</w:t>
            </w:r>
          </w:p>
          <w:p w14:paraId="5A799946" w14:textId="5B2A3045"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Theoretical frame: </w:t>
            </w:r>
          </w:p>
          <w:p w14:paraId="05F9F916" w14:textId="042A05B9"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Review essay</w:t>
            </w:r>
          </w:p>
          <w:p w14:paraId="7C8AAB64" w14:textId="77777777" w:rsidR="00F934ED" w:rsidRPr="00076E76" w:rsidRDefault="00F934ED" w:rsidP="00F934ED">
            <w:pPr>
              <w:rPr>
                <w:rFonts w:ascii="Gill Sans" w:hAnsi="Gill Sans" w:cs="Gill Sans"/>
                <w:b/>
                <w:color w:val="000000"/>
                <w:szCs w:val="22"/>
                <w:lang w:val="en-AU"/>
              </w:rPr>
            </w:pPr>
            <w:r w:rsidRPr="00076E76">
              <w:rPr>
                <w:rFonts w:ascii="Gill Sans" w:hAnsi="Gill Sans" w:cs="Gill Sans"/>
                <w:b/>
                <w:color w:val="000000"/>
                <w:szCs w:val="22"/>
                <w:lang w:val="en-AU"/>
              </w:rPr>
              <w:t xml:space="preserve">Findings: </w:t>
            </w:r>
          </w:p>
          <w:p w14:paraId="38EFCE77" w14:textId="7777777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lang w:val="en-AU"/>
              </w:rPr>
              <w:t xml:space="preserve">TP = developed out of </w:t>
            </w:r>
            <w:proofErr w:type="spellStart"/>
            <w:r w:rsidRPr="00076E76">
              <w:rPr>
                <w:rFonts w:ascii="Gill Sans" w:hAnsi="Gill Sans" w:cs="Gill Sans"/>
                <w:color w:val="000000"/>
                <w:szCs w:val="22"/>
                <w:lang w:val="en-AU"/>
              </w:rPr>
              <w:t>UniMelb’s</w:t>
            </w:r>
            <w:proofErr w:type="spellEnd"/>
            <w:r w:rsidRPr="00076E76">
              <w:rPr>
                <w:rFonts w:ascii="Gill Sans" w:hAnsi="Gill Sans" w:cs="Gill Sans"/>
                <w:color w:val="000000"/>
                <w:szCs w:val="22"/>
                <w:lang w:val="en-AU"/>
              </w:rPr>
              <w:t xml:space="preserve"> FYE longitudinal reporting, starting in 1995, + inaugural </w:t>
            </w:r>
            <w:proofErr w:type="spellStart"/>
            <w:r w:rsidRPr="00076E76">
              <w:rPr>
                <w:rFonts w:ascii="Gill Sans" w:hAnsi="Gill Sans" w:cs="Gill Sans"/>
                <w:color w:val="000000"/>
                <w:szCs w:val="22"/>
                <w:lang w:val="en-AU"/>
              </w:rPr>
              <w:t>FYinHE</w:t>
            </w:r>
            <w:proofErr w:type="spellEnd"/>
            <w:r w:rsidRPr="00076E76">
              <w:rPr>
                <w:rFonts w:ascii="Gill Sans" w:hAnsi="Gill Sans" w:cs="Gill Sans"/>
                <w:color w:val="000000"/>
                <w:szCs w:val="22"/>
                <w:lang w:val="en-AU"/>
              </w:rPr>
              <w:t xml:space="preserve"> conference. Curriculum had not been a focus of much of FYE-focused reviews/ research, leading to predominant deficit approach [assimilationist]; most = “</w:t>
            </w:r>
            <w:r w:rsidRPr="00076E76">
              <w:rPr>
                <w:rFonts w:ascii="Gill Sans" w:hAnsi="Gill Sans" w:cs="Gill Sans"/>
                <w:color w:val="000000"/>
                <w:szCs w:val="22"/>
              </w:rPr>
              <w:t xml:space="preserve">disparate and siloed co-curricular, or “first generation”, approaches” (p.57). Sally </w:t>
            </w:r>
            <w:proofErr w:type="gramStart"/>
            <w:r w:rsidRPr="00076E76">
              <w:rPr>
                <w:rFonts w:ascii="Gill Sans" w:hAnsi="Gill Sans" w:cs="Gill Sans"/>
                <w:color w:val="000000"/>
                <w:szCs w:val="22"/>
              </w:rPr>
              <w:t>Kift  was</w:t>
            </w:r>
            <w:proofErr w:type="gramEnd"/>
            <w:r w:rsidRPr="00076E76">
              <w:rPr>
                <w:rFonts w:ascii="Gill Sans" w:hAnsi="Gill Sans" w:cs="Gill Sans"/>
                <w:color w:val="000000"/>
                <w:szCs w:val="22"/>
              </w:rPr>
              <w:t xml:space="preserve"> awarded ALTC fellowship in 2016 to explore whole-of-institution, whole-student framework for first year curriculum design and transition support under organizing framework of TP (p.57). TP = three features:</w:t>
            </w:r>
          </w:p>
          <w:p w14:paraId="61106257" w14:textId="77777777" w:rsidR="00F934ED" w:rsidRPr="00076E76" w:rsidRDefault="00F934ED" w:rsidP="00F934ED">
            <w:pPr>
              <w:pStyle w:val="ListParagraph"/>
              <w:numPr>
                <w:ilvl w:val="0"/>
                <w:numId w:val="14"/>
              </w:numPr>
              <w:rPr>
                <w:rFonts w:ascii="Gill Sans" w:hAnsi="Gill Sans" w:cs="Gill Sans"/>
                <w:color w:val="000000"/>
                <w:szCs w:val="22"/>
              </w:rPr>
            </w:pPr>
            <w:r w:rsidRPr="00076E76">
              <w:rPr>
                <w:rFonts w:ascii="Gill Sans" w:hAnsi="Gill Sans" w:cs="Gill Sans"/>
                <w:color w:val="000000"/>
                <w:szCs w:val="22"/>
              </w:rPr>
              <w:t xml:space="preserve">Intentional curriculum </w:t>
            </w:r>
            <w:proofErr w:type="gramStart"/>
            <w:r w:rsidRPr="00076E76">
              <w:rPr>
                <w:rFonts w:ascii="Gill Sans" w:hAnsi="Gill Sans" w:cs="Gill Sans"/>
                <w:color w:val="000000"/>
                <w:szCs w:val="22"/>
              </w:rPr>
              <w:t>focus</w:t>
            </w:r>
            <w:proofErr w:type="gramEnd"/>
            <w:r w:rsidRPr="00076E76">
              <w:rPr>
                <w:rFonts w:ascii="Gill Sans" w:hAnsi="Gill Sans" w:cs="Gill Sans"/>
                <w:color w:val="000000"/>
                <w:szCs w:val="22"/>
              </w:rPr>
              <w:t xml:space="preserve"> for commencing students</w:t>
            </w:r>
          </w:p>
          <w:p w14:paraId="52562BF6" w14:textId="77777777" w:rsidR="00F934ED" w:rsidRPr="00076E76" w:rsidRDefault="00F934ED" w:rsidP="00F934ED">
            <w:pPr>
              <w:pStyle w:val="ListParagraph"/>
              <w:numPr>
                <w:ilvl w:val="0"/>
                <w:numId w:val="14"/>
              </w:numPr>
              <w:rPr>
                <w:rFonts w:ascii="Gill Sans" w:hAnsi="Gill Sans" w:cs="Gill Sans"/>
                <w:color w:val="000000"/>
                <w:szCs w:val="22"/>
              </w:rPr>
            </w:pPr>
            <w:r w:rsidRPr="00076E76">
              <w:rPr>
                <w:rFonts w:ascii="Gill Sans" w:hAnsi="Gill Sans" w:cs="Gill Sans"/>
                <w:color w:val="000000"/>
                <w:szCs w:val="22"/>
              </w:rPr>
              <w:t>Whole-of-institution philosophy</w:t>
            </w:r>
          </w:p>
          <w:p w14:paraId="52F386E6" w14:textId="77777777" w:rsidR="00F934ED" w:rsidRPr="00076E76" w:rsidRDefault="00F934ED" w:rsidP="00F934ED">
            <w:pPr>
              <w:pStyle w:val="ListParagraph"/>
              <w:numPr>
                <w:ilvl w:val="0"/>
                <w:numId w:val="14"/>
              </w:numPr>
              <w:rPr>
                <w:rFonts w:ascii="Gill Sans" w:hAnsi="Gill Sans" w:cs="Gill Sans"/>
                <w:color w:val="000000"/>
                <w:szCs w:val="22"/>
              </w:rPr>
            </w:pPr>
            <w:r w:rsidRPr="00076E76">
              <w:rPr>
                <w:rFonts w:ascii="Gill Sans" w:hAnsi="Gill Sans" w:cs="Gill Sans"/>
                <w:color w:val="000000"/>
                <w:szCs w:val="22"/>
              </w:rPr>
              <w:t>Enabling capacity of academic and professional staff partnerships</w:t>
            </w:r>
          </w:p>
          <w:p w14:paraId="6D9FB834"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Scopes</w:t>
            </w:r>
            <w:r w:rsidRPr="00076E76">
              <w:rPr>
                <w:rFonts w:ascii="Gill Sans" w:hAnsi="Gill Sans" w:cs="Gill Sans"/>
                <w:b/>
                <w:color w:val="000000"/>
                <w:szCs w:val="22"/>
                <w:lang w:val="en-AU"/>
              </w:rPr>
              <w:t xml:space="preserve"> </w:t>
            </w:r>
            <w:r w:rsidRPr="00076E76">
              <w:rPr>
                <w:rFonts w:ascii="Gill Sans" w:hAnsi="Gill Sans" w:cs="Gill Sans"/>
                <w:color w:val="000000"/>
                <w:szCs w:val="22"/>
                <w:lang w:val="en-AU"/>
              </w:rPr>
              <w:t xml:space="preserve">reviews that have validated TP (p.61-2) </w:t>
            </w:r>
          </w:p>
          <w:p w14:paraId="063A3E95"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Notes growth in research on ‘second year slump’</w:t>
            </w:r>
          </w:p>
          <w:p w14:paraId="37C6327E" w14:textId="7777777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lang w:val="en-AU"/>
              </w:rPr>
              <w:t>Claims TP was right time-right place work; it “</w:t>
            </w:r>
            <w:r w:rsidRPr="00076E76">
              <w:rPr>
                <w:rFonts w:ascii="Gill Sans" w:hAnsi="Gill Sans" w:cs="Gill Sans"/>
                <w:color w:val="000000"/>
                <w:szCs w:val="22"/>
              </w:rPr>
              <w:t>hit a sweet spot in the sector” (p.64)</w:t>
            </w:r>
          </w:p>
          <w:p w14:paraId="377AD3BE" w14:textId="0880877C"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rPr>
              <w:t xml:space="preserve">Notes complexity created by deregulation (p.65), equity, and technological developments/ virtual environments (p.66) </w:t>
            </w:r>
            <w:r w:rsidRPr="00076E76">
              <w:rPr>
                <w:rFonts w:ascii="Gill Sans" w:hAnsi="Gill Sans" w:cs="Gill Sans"/>
                <w:b/>
                <w:color w:val="000000"/>
                <w:szCs w:val="22"/>
                <w:lang w:val="en-AU"/>
              </w:rPr>
              <w:br/>
              <w:t xml:space="preserve">Core argument: </w:t>
            </w:r>
            <w:r w:rsidRPr="00076E76">
              <w:rPr>
                <w:rFonts w:ascii="Gill Sans" w:hAnsi="Gill Sans" w:cs="Gill Sans"/>
                <w:color w:val="000000"/>
                <w:szCs w:val="22"/>
                <w:lang w:val="en-AU"/>
              </w:rPr>
              <w:t>“</w:t>
            </w:r>
            <w:r w:rsidRPr="00076E76">
              <w:rPr>
                <w:rFonts w:ascii="Gill Sans" w:hAnsi="Gill Sans" w:cs="Gill Sans"/>
                <w:color w:val="000000"/>
                <w:szCs w:val="22"/>
              </w:rPr>
              <w:t>The FYE bears the burden of being many things to many stakeholders but, at its core, its remit is student learning and success. In the spirit of social inclusion and widening participation, the FYE also speaks to social justice, equality and equity” (p.69).</w:t>
            </w:r>
          </w:p>
        </w:tc>
      </w:tr>
      <w:tr w:rsidR="00F934ED" w:rsidRPr="00076E76" w14:paraId="41D820C2" w14:textId="77777777" w:rsidTr="002E557C">
        <w:tc>
          <w:tcPr>
            <w:tcW w:w="5529" w:type="dxa"/>
          </w:tcPr>
          <w:p w14:paraId="283CC82D" w14:textId="47BFAF14" w:rsidR="00F934ED" w:rsidRPr="00076E76" w:rsidRDefault="00F934ED" w:rsidP="00F934ED">
            <w:pPr>
              <w:rPr>
                <w:rFonts w:ascii="Gill Sans" w:hAnsi="Gill Sans" w:cs="Gill Sans"/>
                <w:szCs w:val="22"/>
              </w:rPr>
            </w:pPr>
            <w:r w:rsidRPr="00076E76">
              <w:rPr>
                <w:rFonts w:ascii="Gill Sans" w:hAnsi="Gill Sans" w:cs="Gill Sans"/>
                <w:szCs w:val="22"/>
              </w:rPr>
              <w:t xml:space="preserve">Knox, H. (2005). </w:t>
            </w:r>
            <w:hyperlink r:id="rId84" w:history="1">
              <w:r w:rsidRPr="008C22ED">
                <w:rPr>
                  <w:rStyle w:val="Hyperlink"/>
                  <w:rFonts w:ascii="Gill Sans" w:hAnsi="Gill Sans" w:cs="Gill Sans"/>
                  <w:szCs w:val="22"/>
                </w:rPr>
                <w:t xml:space="preserve">Making the transition from further to </w:t>
              </w:r>
              <w:r w:rsidRPr="008C22ED">
                <w:rPr>
                  <w:rStyle w:val="Hyperlink"/>
                  <w:rFonts w:ascii="Gill Sans" w:hAnsi="Gill Sans" w:cs="Gill Sans"/>
                  <w:szCs w:val="22"/>
                </w:rPr>
                <w:lastRenderedPageBreak/>
                <w:t>higher education: the impact of a preparatory module on retention, progression and performance</w:t>
              </w:r>
            </w:hyperlink>
            <w:r w:rsidRPr="00076E76">
              <w:rPr>
                <w:rFonts w:ascii="Gill Sans" w:hAnsi="Gill Sans" w:cs="Gill Sans"/>
                <w:szCs w:val="22"/>
              </w:rPr>
              <w:t xml:space="preserve">, </w:t>
            </w:r>
            <w:r w:rsidRPr="00076E76">
              <w:rPr>
                <w:rFonts w:ascii="Gill Sans" w:hAnsi="Gill Sans" w:cs="Gill Sans"/>
                <w:i/>
                <w:szCs w:val="22"/>
              </w:rPr>
              <w:t xml:space="preserve">Journal of Further and Higher Education, </w:t>
            </w:r>
            <w:r>
              <w:rPr>
                <w:rFonts w:ascii="Gill Sans" w:hAnsi="Gill Sans" w:cs="Gill Sans"/>
                <w:szCs w:val="22"/>
              </w:rPr>
              <w:t>29(2),</w:t>
            </w:r>
            <w:r w:rsidRPr="00076E76">
              <w:rPr>
                <w:rFonts w:ascii="Gill Sans" w:hAnsi="Gill Sans" w:cs="Gill Sans"/>
                <w:szCs w:val="22"/>
              </w:rPr>
              <w:t xml:space="preserve"> 103</w:t>
            </w:r>
            <w:r>
              <w:rPr>
                <w:rFonts w:ascii="Gill Sans" w:hAnsi="Gill Sans" w:cs="Gill Sans"/>
                <w:szCs w:val="22"/>
              </w:rPr>
              <w:t>–</w:t>
            </w:r>
            <w:r w:rsidRPr="00076E76">
              <w:rPr>
                <w:rFonts w:ascii="Gill Sans" w:hAnsi="Gill Sans" w:cs="Gill Sans"/>
                <w:szCs w:val="22"/>
              </w:rPr>
              <w:t>110.</w:t>
            </w:r>
          </w:p>
          <w:p w14:paraId="07D01260" w14:textId="77777777" w:rsidR="00F934ED" w:rsidRPr="00076E76" w:rsidRDefault="00F934ED" w:rsidP="00F934ED">
            <w:pPr>
              <w:rPr>
                <w:rFonts w:ascii="Gill Sans" w:hAnsi="Gill Sans" w:cs="Gill Sans"/>
                <w:szCs w:val="22"/>
              </w:rPr>
            </w:pPr>
          </w:p>
          <w:p w14:paraId="3CDDA6E4" w14:textId="1A865724" w:rsidR="00F934ED" w:rsidRPr="00076E76" w:rsidRDefault="00F934ED" w:rsidP="00F934ED">
            <w:pPr>
              <w:rPr>
                <w:rFonts w:ascii="Gill Sans" w:hAnsi="Gill Sans" w:cs="Gill Sans"/>
                <w:szCs w:val="22"/>
              </w:rPr>
            </w:pPr>
            <w:r w:rsidRPr="00076E76">
              <w:rPr>
                <w:rFonts w:ascii="Gill Sans" w:hAnsi="Gill Sans" w:cs="Gill Sans"/>
                <w:szCs w:val="22"/>
              </w:rPr>
              <w:t>SCO</w:t>
            </w:r>
          </w:p>
          <w:p w14:paraId="3DE9C475"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1E5848EE" w14:textId="77777777" w:rsidR="00F934ED" w:rsidRPr="00076E76" w:rsidRDefault="00F934ED" w:rsidP="00F934ED">
            <w:pPr>
              <w:rPr>
                <w:rFonts w:ascii="Gill Sans" w:hAnsi="Gill Sans" w:cs="Gill Sans"/>
                <w:szCs w:val="22"/>
              </w:rPr>
            </w:pPr>
          </w:p>
          <w:p w14:paraId="38075174" w14:textId="3614B43C" w:rsidR="00F934ED" w:rsidRPr="00076E76" w:rsidRDefault="00F934ED" w:rsidP="00F934ED">
            <w:pPr>
              <w:rPr>
                <w:rFonts w:ascii="Gill Sans" w:hAnsi="Gill Sans" w:cs="Gill Sans"/>
                <w:b/>
                <w:szCs w:val="22"/>
              </w:rPr>
            </w:pPr>
          </w:p>
        </w:tc>
        <w:tc>
          <w:tcPr>
            <w:tcW w:w="10064" w:type="dxa"/>
          </w:tcPr>
          <w:p w14:paraId="4C2FCA7B" w14:textId="41F71E42"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lastRenderedPageBreak/>
              <w:t xml:space="preserve">Context: </w:t>
            </w:r>
            <w:r w:rsidRPr="00076E76">
              <w:rPr>
                <w:rFonts w:ascii="Gill Sans" w:hAnsi="Gill Sans" w:cs="Gill Sans"/>
                <w:color w:val="000000"/>
                <w:szCs w:val="22"/>
                <w:lang w:val="en-AU"/>
              </w:rPr>
              <w:t>Transition from FE to HE = ‘vital importance’ for WP agenda. Describes ‘Next steps..’ on p.105-6.</w:t>
            </w:r>
          </w:p>
          <w:p w14:paraId="6077BAB5" w14:textId="6DE07AAB"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lastRenderedPageBreak/>
              <w:t xml:space="preserve">Aim: </w:t>
            </w:r>
            <w:r w:rsidRPr="00076E76">
              <w:rPr>
                <w:rFonts w:ascii="Gill Sans" w:hAnsi="Gill Sans" w:cs="Gill Sans"/>
                <w:color w:val="000000"/>
                <w:szCs w:val="22"/>
                <w:lang w:val="en-AU"/>
              </w:rPr>
              <w:t>To discuss evaluation of intervention/ preparation module ‘Next steps at university’ (voluntary/ credit bearing), which is delivered pre-semester (summer programme); to provide quantitative evidence of impact</w:t>
            </w:r>
          </w:p>
          <w:p w14:paraId="6C4297E1" w14:textId="67B25112"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Theoretical frame: </w:t>
            </w:r>
            <w:r w:rsidRPr="00076E76">
              <w:rPr>
                <w:rFonts w:ascii="Gill Sans" w:hAnsi="Gill Sans" w:cs="Gill Sans"/>
                <w:color w:val="000000"/>
                <w:szCs w:val="22"/>
                <w:lang w:val="en-AU"/>
              </w:rPr>
              <w:t>None explicated</w:t>
            </w:r>
          </w:p>
          <w:p w14:paraId="51C982AE" w14:textId="2DD93DF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Evaluation of programme (exploring student data; n=103)</w:t>
            </w:r>
          </w:p>
          <w:p w14:paraId="0BCC90B5" w14:textId="0D8F2F54"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Findings: </w:t>
            </w:r>
            <w:r w:rsidRPr="00076E76">
              <w:rPr>
                <w:rFonts w:ascii="Gill Sans" w:hAnsi="Gill Sans" w:cs="Gill Sans"/>
                <w:color w:val="000000"/>
                <w:szCs w:val="22"/>
                <w:lang w:val="en-AU"/>
              </w:rPr>
              <w:t xml:space="preserve">On p.106-8. </w:t>
            </w:r>
            <w:r w:rsidRPr="00076E76">
              <w:rPr>
                <w:rFonts w:ascii="Gill Sans" w:hAnsi="Gill Sans" w:cs="Gill Sans"/>
                <w:b/>
                <w:color w:val="000000"/>
                <w:szCs w:val="22"/>
                <w:lang w:val="en-AU"/>
              </w:rPr>
              <w:br/>
              <w:t xml:space="preserve">Core argument: </w:t>
            </w:r>
            <w:r w:rsidRPr="00076E76">
              <w:rPr>
                <w:rFonts w:ascii="Gill Sans" w:hAnsi="Gill Sans" w:cs="Gill Sans"/>
                <w:color w:val="000000"/>
                <w:szCs w:val="22"/>
                <w:lang w:val="en-AU"/>
              </w:rPr>
              <w:t xml:space="preserve">Evaluation data suggest that ‘Next steps’ = “greatly facilitates” transition from FE to HE. </w:t>
            </w:r>
          </w:p>
        </w:tc>
      </w:tr>
      <w:tr w:rsidR="00F934ED" w:rsidRPr="00076E76" w14:paraId="207D5366" w14:textId="77777777" w:rsidTr="002E557C">
        <w:tc>
          <w:tcPr>
            <w:tcW w:w="5529" w:type="dxa"/>
          </w:tcPr>
          <w:p w14:paraId="0F7FF0ED" w14:textId="42C6852D" w:rsidR="00F934ED" w:rsidRPr="00076E76" w:rsidRDefault="00F934ED" w:rsidP="00F934ED">
            <w:pPr>
              <w:rPr>
                <w:rFonts w:ascii="Gill Sans" w:hAnsi="Gill Sans" w:cs="Gill Sans"/>
                <w:szCs w:val="22"/>
              </w:rPr>
            </w:pPr>
            <w:r w:rsidRPr="00076E76">
              <w:rPr>
                <w:rFonts w:ascii="Gill Sans" w:hAnsi="Gill Sans" w:cs="Gill Sans"/>
                <w:szCs w:val="22"/>
              </w:rPr>
              <w:lastRenderedPageBreak/>
              <w:t xml:space="preserve">Land, R. (2011). </w:t>
            </w:r>
            <w:hyperlink r:id="rId85" w:history="1">
              <w:r w:rsidRPr="008C22ED">
                <w:rPr>
                  <w:rStyle w:val="Hyperlink"/>
                  <w:rFonts w:ascii="Gill Sans" w:hAnsi="Gill Sans" w:cs="Gill Sans"/>
                  <w:szCs w:val="22"/>
                </w:rPr>
                <w:t>There could be trouble ahead: using threshold concepts as a tool of analysis</w:t>
              </w:r>
            </w:hyperlink>
            <w:r w:rsidRPr="00076E76">
              <w:rPr>
                <w:rFonts w:ascii="Gill Sans" w:hAnsi="Gill Sans" w:cs="Gill Sans"/>
                <w:szCs w:val="22"/>
              </w:rPr>
              <w:t xml:space="preserve">, </w:t>
            </w:r>
            <w:r w:rsidRPr="00076E76">
              <w:rPr>
                <w:rFonts w:ascii="Gill Sans" w:hAnsi="Gill Sans" w:cs="Gill Sans"/>
                <w:i/>
                <w:szCs w:val="22"/>
              </w:rPr>
              <w:t xml:space="preserve">International Journal of Academic Development, </w:t>
            </w:r>
            <w:r>
              <w:rPr>
                <w:rFonts w:ascii="Gill Sans" w:hAnsi="Gill Sans" w:cs="Gill Sans"/>
                <w:szCs w:val="22"/>
              </w:rPr>
              <w:t>16(2),175–</w:t>
            </w:r>
            <w:r w:rsidRPr="00076E76">
              <w:rPr>
                <w:rFonts w:ascii="Gill Sans" w:hAnsi="Gill Sans" w:cs="Gill Sans"/>
                <w:szCs w:val="22"/>
              </w:rPr>
              <w:t>178.</w:t>
            </w:r>
          </w:p>
          <w:p w14:paraId="53F59E41" w14:textId="77777777" w:rsidR="00F934ED" w:rsidRPr="00076E76" w:rsidRDefault="00F934ED" w:rsidP="00F934ED">
            <w:pPr>
              <w:rPr>
                <w:rFonts w:ascii="Gill Sans" w:hAnsi="Gill Sans" w:cs="Gill Sans"/>
                <w:szCs w:val="22"/>
              </w:rPr>
            </w:pPr>
          </w:p>
          <w:p w14:paraId="725CC997" w14:textId="77777777" w:rsidR="00F934ED" w:rsidRPr="00076E76" w:rsidRDefault="00F934ED" w:rsidP="00F934ED">
            <w:pPr>
              <w:rPr>
                <w:rFonts w:ascii="Gill Sans" w:hAnsi="Gill Sans" w:cs="Gill Sans"/>
                <w:szCs w:val="22"/>
              </w:rPr>
            </w:pPr>
            <w:r w:rsidRPr="00076E76">
              <w:rPr>
                <w:rFonts w:ascii="Gill Sans" w:hAnsi="Gill Sans" w:cs="Gill Sans"/>
                <w:szCs w:val="22"/>
              </w:rPr>
              <w:t>UK</w:t>
            </w:r>
          </w:p>
          <w:p w14:paraId="3F23F536"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6CAEA635" w14:textId="77777777" w:rsidR="00F934ED" w:rsidRPr="00076E76" w:rsidRDefault="00F934ED" w:rsidP="00F934ED">
            <w:pPr>
              <w:rPr>
                <w:rFonts w:ascii="Gill Sans" w:hAnsi="Gill Sans" w:cs="Gill Sans"/>
                <w:szCs w:val="22"/>
              </w:rPr>
            </w:pPr>
          </w:p>
          <w:p w14:paraId="7A2DF4D9" w14:textId="53532B3A" w:rsidR="00F934ED" w:rsidRPr="00076E76" w:rsidRDefault="00F934ED" w:rsidP="00F934ED">
            <w:pPr>
              <w:rPr>
                <w:rFonts w:ascii="Gill Sans" w:hAnsi="Gill Sans" w:cs="Gill Sans"/>
                <w:b/>
                <w:szCs w:val="22"/>
              </w:rPr>
            </w:pPr>
          </w:p>
        </w:tc>
        <w:tc>
          <w:tcPr>
            <w:tcW w:w="10064" w:type="dxa"/>
          </w:tcPr>
          <w:p w14:paraId="6B318EE2" w14:textId="77777777" w:rsidR="00F934ED" w:rsidRPr="00076E76" w:rsidRDefault="00F934ED" w:rsidP="00F934ED">
            <w:pPr>
              <w:rPr>
                <w:rFonts w:ascii="Gill Sans" w:hAnsi="Gill Sans" w:cs="Gill Sans"/>
                <w:b/>
                <w:color w:val="000000"/>
                <w:szCs w:val="22"/>
                <w:lang w:val="en-AU"/>
              </w:rPr>
            </w:pPr>
            <w:r w:rsidRPr="00076E76">
              <w:rPr>
                <w:rFonts w:ascii="Gill Sans" w:hAnsi="Gill Sans" w:cs="Gill Sans"/>
                <w:b/>
                <w:color w:val="000000"/>
                <w:szCs w:val="22"/>
                <w:lang w:val="en-AU"/>
              </w:rPr>
              <w:t>Opinion piece</w:t>
            </w:r>
          </w:p>
          <w:p w14:paraId="50171494" w14:textId="04945ED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Argument: </w:t>
            </w:r>
            <w:r w:rsidRPr="00076E76">
              <w:rPr>
                <w:rFonts w:ascii="Gill Sans" w:hAnsi="Gill Sans" w:cs="Gill Sans"/>
                <w:color w:val="000000"/>
                <w:szCs w:val="22"/>
                <w:lang w:val="en-AU"/>
              </w:rPr>
              <w:t xml:space="preserve">Context = increased ‘domestication of higher education’ in relation to neoliberal regimes of truth and logics in contemporary academy. A resulting trend = towards ‘enhancement’ of learning because of </w:t>
            </w:r>
            <w:proofErr w:type="spellStart"/>
            <w:r w:rsidRPr="00076E76">
              <w:rPr>
                <w:rFonts w:ascii="Gill Sans" w:hAnsi="Gill Sans" w:cs="Gill Sans"/>
                <w:color w:val="000000"/>
                <w:szCs w:val="22"/>
                <w:lang w:val="en-AU"/>
              </w:rPr>
              <w:t>of</w:t>
            </w:r>
            <w:proofErr w:type="spellEnd"/>
            <w:r w:rsidRPr="00076E76">
              <w:rPr>
                <w:rFonts w:ascii="Gill Sans" w:hAnsi="Gill Sans" w:cs="Gill Sans"/>
                <w:color w:val="000000"/>
                <w:szCs w:val="22"/>
                <w:lang w:val="en-AU"/>
              </w:rPr>
              <w:t xml:space="preserve"> increased accountability. Approaches = risky; “Change can be, and arguably should be, troublesome” (p.175). Threshold concepts/ troublesome knowledge sometimes used: “</w:t>
            </w:r>
            <w:r w:rsidRPr="00076E76">
              <w:rPr>
                <w:rFonts w:ascii="Gill Sans" w:hAnsi="Gill Sans" w:cs="Gill Sans"/>
                <w:color w:val="000000"/>
                <w:szCs w:val="22"/>
              </w:rPr>
              <w:t>A threshold concept can be seen as a crossing into new conceptual space where things formerly not within view are perceived, much like a portal opening up a new and previously inaccessible way of thinking about something” (p.176). Transformations resulting from crossing threshold can be disconcerting: “There is often double trouble, in that the letting go of a prevailing familiar view frequently involves an uncomfortable ontological shift or a change in subjectivity, which, while advancing understanding, can paradoxically be experienced as a sense of loss” (p.176). Transformations can be protracted and partial.</w:t>
            </w:r>
          </w:p>
        </w:tc>
      </w:tr>
      <w:tr w:rsidR="00F934ED" w:rsidRPr="00076E76" w14:paraId="3A70EC4C" w14:textId="77777777" w:rsidTr="002E557C">
        <w:tc>
          <w:tcPr>
            <w:tcW w:w="5529" w:type="dxa"/>
          </w:tcPr>
          <w:p w14:paraId="48A8C355" w14:textId="4FEA15B4" w:rsidR="00F934ED" w:rsidRPr="00076E76" w:rsidRDefault="00F934ED" w:rsidP="00F934ED">
            <w:pPr>
              <w:rPr>
                <w:rFonts w:ascii="Gill Sans" w:hAnsi="Gill Sans" w:cs="Gill Sans"/>
                <w:szCs w:val="22"/>
              </w:rPr>
            </w:pPr>
            <w:r w:rsidRPr="00076E76">
              <w:rPr>
                <w:rFonts w:ascii="Gill Sans" w:hAnsi="Gill Sans" w:cs="Gill Sans"/>
                <w:szCs w:val="22"/>
              </w:rPr>
              <w:t xml:space="preserve">Land, R.; Rattray, J. &amp; Vivian, P. (2014). </w:t>
            </w:r>
            <w:hyperlink r:id="rId86" w:history="1">
              <w:r w:rsidRPr="008C22ED">
                <w:rPr>
                  <w:rStyle w:val="Hyperlink"/>
                  <w:rFonts w:ascii="Gill Sans" w:hAnsi="Gill Sans" w:cs="Gill Sans"/>
                  <w:szCs w:val="22"/>
                </w:rPr>
                <w:t>Learning in the liminal space: a semiotic approach to threshold concepts</w:t>
              </w:r>
            </w:hyperlink>
            <w:r w:rsidRPr="00076E76">
              <w:rPr>
                <w:rFonts w:ascii="Gill Sans" w:hAnsi="Gill Sans" w:cs="Gill Sans"/>
                <w:szCs w:val="22"/>
              </w:rPr>
              <w:t xml:space="preserve">, </w:t>
            </w:r>
            <w:r w:rsidRPr="00076E76">
              <w:rPr>
                <w:rFonts w:ascii="Gill Sans" w:hAnsi="Gill Sans" w:cs="Gill Sans"/>
                <w:i/>
                <w:szCs w:val="22"/>
              </w:rPr>
              <w:t xml:space="preserve">Higher Education, </w:t>
            </w:r>
            <w:r>
              <w:rPr>
                <w:rFonts w:ascii="Gill Sans" w:hAnsi="Gill Sans" w:cs="Gill Sans"/>
                <w:szCs w:val="22"/>
              </w:rPr>
              <w:t>67,</w:t>
            </w:r>
            <w:r w:rsidRPr="00076E76">
              <w:rPr>
                <w:rFonts w:ascii="Gill Sans" w:hAnsi="Gill Sans" w:cs="Gill Sans"/>
                <w:szCs w:val="22"/>
              </w:rPr>
              <w:t xml:space="preserve"> 199</w:t>
            </w:r>
            <w:r>
              <w:rPr>
                <w:rFonts w:ascii="Gill Sans" w:hAnsi="Gill Sans" w:cs="Gill Sans"/>
                <w:szCs w:val="22"/>
              </w:rPr>
              <w:t>–</w:t>
            </w:r>
            <w:r w:rsidRPr="00076E76">
              <w:rPr>
                <w:rFonts w:ascii="Gill Sans" w:hAnsi="Gill Sans" w:cs="Gill Sans"/>
                <w:szCs w:val="22"/>
              </w:rPr>
              <w:t>217.</w:t>
            </w:r>
          </w:p>
          <w:p w14:paraId="6332865D" w14:textId="77777777" w:rsidR="00F934ED" w:rsidRPr="00076E76" w:rsidRDefault="00F934ED" w:rsidP="00F934ED">
            <w:pPr>
              <w:rPr>
                <w:rFonts w:ascii="Gill Sans" w:hAnsi="Gill Sans" w:cs="Gill Sans"/>
                <w:szCs w:val="22"/>
              </w:rPr>
            </w:pPr>
          </w:p>
          <w:p w14:paraId="245994C6" w14:textId="77777777" w:rsidR="00F934ED" w:rsidRPr="00076E76" w:rsidRDefault="00F934ED" w:rsidP="00F934ED">
            <w:pPr>
              <w:rPr>
                <w:rFonts w:ascii="Gill Sans" w:hAnsi="Gill Sans" w:cs="Gill Sans"/>
                <w:szCs w:val="22"/>
              </w:rPr>
            </w:pPr>
            <w:r w:rsidRPr="00076E76">
              <w:rPr>
                <w:rFonts w:ascii="Gill Sans" w:hAnsi="Gill Sans" w:cs="Gill Sans"/>
                <w:szCs w:val="22"/>
              </w:rPr>
              <w:t>UK</w:t>
            </w:r>
          </w:p>
          <w:p w14:paraId="6182E737"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5EC380F7" w14:textId="77777777" w:rsidR="00F934ED" w:rsidRPr="00076E76" w:rsidRDefault="00F934ED" w:rsidP="00F934ED">
            <w:pPr>
              <w:rPr>
                <w:rFonts w:ascii="Gill Sans" w:hAnsi="Gill Sans" w:cs="Gill Sans"/>
                <w:szCs w:val="22"/>
              </w:rPr>
            </w:pPr>
          </w:p>
          <w:p w14:paraId="3F8E37B9" w14:textId="62190C1B" w:rsidR="00F934ED" w:rsidRPr="00076E76" w:rsidRDefault="00F934ED" w:rsidP="00F934ED">
            <w:pPr>
              <w:rPr>
                <w:rFonts w:ascii="Gill Sans" w:hAnsi="Gill Sans" w:cs="Gill Sans"/>
                <w:i/>
                <w:szCs w:val="22"/>
              </w:rPr>
            </w:pPr>
            <w:r w:rsidRPr="00076E76">
              <w:rPr>
                <w:rFonts w:ascii="Gill Sans" w:hAnsi="Gill Sans" w:cs="Gill Sans"/>
                <w:szCs w:val="22"/>
              </w:rPr>
              <w:t xml:space="preserve">Keywords: </w:t>
            </w:r>
            <w:r w:rsidRPr="00076E76">
              <w:rPr>
                <w:rFonts w:ascii="Gill Sans" w:hAnsi="Gill Sans" w:cs="Gill Sans"/>
                <w:i/>
                <w:szCs w:val="22"/>
              </w:rPr>
              <w:t>Threshold concepts, Troublesome knowledge, Transformative learning, Liminality, Subjectivity, Semiotics, Signification</w:t>
            </w:r>
          </w:p>
          <w:p w14:paraId="4DFC9C22" w14:textId="77777777" w:rsidR="00F934ED" w:rsidRPr="00076E76" w:rsidRDefault="00F934ED" w:rsidP="00F934ED">
            <w:pPr>
              <w:rPr>
                <w:rFonts w:ascii="Gill Sans" w:hAnsi="Gill Sans" w:cs="Gill Sans"/>
                <w:i/>
                <w:szCs w:val="22"/>
              </w:rPr>
            </w:pPr>
          </w:p>
          <w:p w14:paraId="173C6E42" w14:textId="38AE2A36" w:rsidR="00F934ED" w:rsidRPr="00076E76" w:rsidRDefault="00F934ED" w:rsidP="00F934ED">
            <w:pPr>
              <w:rPr>
                <w:rFonts w:ascii="Gill Sans" w:hAnsi="Gill Sans" w:cs="Gill Sans"/>
                <w:szCs w:val="22"/>
              </w:rPr>
            </w:pPr>
          </w:p>
        </w:tc>
        <w:tc>
          <w:tcPr>
            <w:tcW w:w="10064" w:type="dxa"/>
          </w:tcPr>
          <w:p w14:paraId="191247CC" w14:textId="14B3CEA0" w:rsidR="00F934ED" w:rsidRPr="00076E76" w:rsidRDefault="00F934ED" w:rsidP="00F934ED">
            <w:pPr>
              <w:rPr>
                <w:rFonts w:ascii="Gill Sans" w:hAnsi="Gill Sans" w:cs="Gill Sans"/>
                <w:color w:val="000000"/>
                <w:szCs w:val="22"/>
              </w:rPr>
            </w:pPr>
            <w:r w:rsidRPr="00076E76">
              <w:rPr>
                <w:rFonts w:ascii="Gill Sans" w:hAnsi="Gill Sans" w:cs="Gill Sans"/>
                <w:b/>
                <w:color w:val="000000"/>
                <w:szCs w:val="22"/>
                <w:lang w:val="en-AU"/>
              </w:rPr>
              <w:t xml:space="preserve">Context: </w:t>
            </w:r>
            <w:r w:rsidRPr="00076E76">
              <w:rPr>
                <w:rFonts w:ascii="Gill Sans" w:hAnsi="Gill Sans" w:cs="Gill Sans"/>
                <w:color w:val="000000"/>
                <w:szCs w:val="22"/>
                <w:lang w:val="en-AU"/>
              </w:rPr>
              <w:t>To examine what constitutes liminal space drawing on semiotic theory. Liminality defined as “</w:t>
            </w:r>
            <w:r w:rsidRPr="00076E76">
              <w:rPr>
                <w:rFonts w:ascii="Gill Sans" w:hAnsi="Gill Sans" w:cs="Gill Sans"/>
                <w:color w:val="000000"/>
                <w:szCs w:val="22"/>
              </w:rPr>
              <w:t xml:space="preserve">a space of transformation in which the transition from an earlier understanding (or practice) to that which is required is effected” (p.200). Meyer &amp; Land originally conceived of liminality as a ‘liquid space’, “simultaneously transforming and being transformed by the learner as he or she moves through it” (2005: 380). Liminality can be experienced as “unsettling, experienced often as a sense of loss, as prevailing earlier conceptual views, and earlier states of subjectivity, and are relinquished” (p.201) – and is </w:t>
            </w:r>
            <w:proofErr w:type="spellStart"/>
            <w:r w:rsidRPr="00076E76">
              <w:rPr>
                <w:rFonts w:ascii="Gill Sans" w:hAnsi="Gill Sans" w:cs="Gill Sans"/>
                <w:color w:val="000000"/>
                <w:szCs w:val="22"/>
              </w:rPr>
              <w:t>oscillative</w:t>
            </w:r>
            <w:proofErr w:type="spellEnd"/>
            <w:r w:rsidRPr="00076E76">
              <w:rPr>
                <w:rFonts w:ascii="Gill Sans" w:hAnsi="Gill Sans" w:cs="Gill Sans"/>
                <w:color w:val="000000"/>
                <w:szCs w:val="22"/>
              </w:rPr>
              <w:t>: slipping in and out. Messy and fluid nature = described as ‘heterotopic’ (</w:t>
            </w:r>
            <w:proofErr w:type="spellStart"/>
            <w:r w:rsidRPr="00076E76">
              <w:rPr>
                <w:rFonts w:ascii="Gill Sans" w:hAnsi="Gill Sans" w:cs="Gill Sans"/>
                <w:color w:val="000000"/>
                <w:szCs w:val="22"/>
              </w:rPr>
              <w:t>Bailie</w:t>
            </w:r>
            <w:proofErr w:type="spellEnd"/>
            <w:r w:rsidRPr="00076E76">
              <w:rPr>
                <w:rFonts w:ascii="Gill Sans" w:hAnsi="Gill Sans" w:cs="Gill Sans"/>
                <w:color w:val="000000"/>
                <w:szCs w:val="22"/>
              </w:rPr>
              <w:t xml:space="preserve"> et al., 2012) = ‘non-linear and recursive’</w:t>
            </w:r>
          </w:p>
          <w:p w14:paraId="5E1D9530" w14:textId="35FB02E6"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sidRPr="00076E76">
              <w:rPr>
                <w:rFonts w:ascii="Gill Sans" w:hAnsi="Gill Sans" w:cs="Gill Sans"/>
                <w:color w:val="000000"/>
                <w:szCs w:val="22"/>
                <w:lang w:val="en-AU"/>
              </w:rPr>
              <w:t>To explore the spatial metaphor of liminality “to gain further purchase on the nature of this transformative space” (p.201)</w:t>
            </w:r>
          </w:p>
          <w:p w14:paraId="045E8DC2" w14:textId="669E62C0" w:rsidR="00F934ED" w:rsidRPr="00076E76" w:rsidRDefault="00F934ED" w:rsidP="00F934ED">
            <w:pPr>
              <w:rPr>
                <w:rFonts w:ascii="Gill Sans" w:hAnsi="Gill Sans" w:cs="Gill Sans"/>
                <w:b/>
                <w:color w:val="000000"/>
                <w:szCs w:val="22"/>
                <w:lang w:val="en-AU"/>
              </w:rPr>
            </w:pPr>
            <w:r w:rsidRPr="00076E76">
              <w:rPr>
                <w:rFonts w:ascii="Gill Sans" w:hAnsi="Gill Sans" w:cs="Gill Sans"/>
                <w:b/>
                <w:color w:val="000000"/>
                <w:szCs w:val="22"/>
                <w:lang w:val="en-AU"/>
              </w:rPr>
              <w:t xml:space="preserve">Theoretical frame: </w:t>
            </w:r>
            <w:r w:rsidRPr="00076E76">
              <w:rPr>
                <w:rFonts w:ascii="Gill Sans" w:hAnsi="Gill Sans" w:cs="Gill Sans"/>
                <w:color w:val="000000"/>
                <w:szCs w:val="22"/>
                <w:lang w:val="en-AU"/>
              </w:rPr>
              <w:t>Threshold concepts and liminality</w:t>
            </w:r>
          </w:p>
        </w:tc>
      </w:tr>
      <w:tr w:rsidR="00F934ED" w:rsidRPr="00076E76" w14:paraId="70C8C1DA" w14:textId="77777777" w:rsidTr="002E557C">
        <w:tc>
          <w:tcPr>
            <w:tcW w:w="5529" w:type="dxa"/>
          </w:tcPr>
          <w:p w14:paraId="7D439EF4" w14:textId="26848D7A" w:rsidR="00F934ED" w:rsidRPr="00076E76" w:rsidRDefault="00F934ED" w:rsidP="00F934ED">
            <w:pPr>
              <w:rPr>
                <w:rFonts w:ascii="Gill Sans" w:hAnsi="Gill Sans" w:cs="Gill Sans"/>
                <w:szCs w:val="22"/>
              </w:rPr>
            </w:pPr>
            <w:r w:rsidRPr="00076E76">
              <w:rPr>
                <w:rFonts w:ascii="Gill Sans" w:hAnsi="Gill Sans" w:cs="Gill Sans"/>
                <w:szCs w:val="22"/>
              </w:rPr>
              <w:t xml:space="preserve">Leese, M. (2010). </w:t>
            </w:r>
            <w:hyperlink r:id="rId87" w:history="1">
              <w:r w:rsidRPr="00574099">
                <w:rPr>
                  <w:rStyle w:val="Hyperlink"/>
                  <w:rFonts w:ascii="Gill Sans" w:hAnsi="Gill Sans" w:cs="Gill Sans"/>
                  <w:szCs w:val="22"/>
                </w:rPr>
                <w:t xml:space="preserve">Bridging the gap: supporting student </w:t>
              </w:r>
              <w:r w:rsidRPr="00574099">
                <w:rPr>
                  <w:rStyle w:val="Hyperlink"/>
                  <w:rFonts w:ascii="Gill Sans" w:hAnsi="Gill Sans" w:cs="Gill Sans"/>
                  <w:szCs w:val="22"/>
                </w:rPr>
                <w:lastRenderedPageBreak/>
                <w:t>transitions into higher education</w:t>
              </w:r>
            </w:hyperlink>
            <w:r w:rsidRPr="00076E76">
              <w:rPr>
                <w:rFonts w:ascii="Gill Sans" w:hAnsi="Gill Sans" w:cs="Gill Sans"/>
                <w:szCs w:val="22"/>
              </w:rPr>
              <w:t xml:space="preserve">, </w:t>
            </w:r>
            <w:r w:rsidRPr="00076E76">
              <w:rPr>
                <w:rFonts w:ascii="Gill Sans" w:hAnsi="Gill Sans" w:cs="Gill Sans"/>
                <w:i/>
                <w:szCs w:val="22"/>
              </w:rPr>
              <w:t xml:space="preserve">Journal of Further and Higher Education, </w:t>
            </w:r>
            <w:r w:rsidRPr="00076E76">
              <w:rPr>
                <w:rFonts w:ascii="Gill Sans" w:hAnsi="Gill Sans" w:cs="Gill Sans"/>
                <w:szCs w:val="22"/>
              </w:rPr>
              <w:t>34</w:t>
            </w:r>
            <w:r>
              <w:rPr>
                <w:rFonts w:ascii="Gill Sans" w:hAnsi="Gill Sans" w:cs="Gill Sans"/>
                <w:szCs w:val="22"/>
              </w:rPr>
              <w:t>(2),</w:t>
            </w:r>
            <w:r w:rsidRPr="00076E76">
              <w:rPr>
                <w:rFonts w:ascii="Gill Sans" w:hAnsi="Gill Sans" w:cs="Gill Sans"/>
                <w:szCs w:val="22"/>
              </w:rPr>
              <w:t xml:space="preserve"> 239</w:t>
            </w:r>
            <w:r>
              <w:rPr>
                <w:rFonts w:ascii="Gill Sans" w:hAnsi="Gill Sans" w:cs="Gill Sans"/>
                <w:szCs w:val="22"/>
              </w:rPr>
              <w:t>–</w:t>
            </w:r>
            <w:r w:rsidRPr="00076E76">
              <w:rPr>
                <w:rFonts w:ascii="Gill Sans" w:hAnsi="Gill Sans" w:cs="Gill Sans"/>
                <w:szCs w:val="22"/>
              </w:rPr>
              <w:t>251.</w:t>
            </w:r>
          </w:p>
          <w:p w14:paraId="7CBF0B7F" w14:textId="77777777" w:rsidR="00F934ED" w:rsidRPr="00076E76" w:rsidRDefault="00F934ED" w:rsidP="00F934ED">
            <w:pPr>
              <w:rPr>
                <w:rFonts w:ascii="Gill Sans" w:hAnsi="Gill Sans" w:cs="Gill Sans"/>
                <w:szCs w:val="22"/>
              </w:rPr>
            </w:pPr>
          </w:p>
          <w:p w14:paraId="52FDE886" w14:textId="77777777" w:rsidR="00F934ED" w:rsidRPr="00076E76" w:rsidRDefault="00F934ED" w:rsidP="00F934ED">
            <w:pPr>
              <w:rPr>
                <w:rFonts w:ascii="Gill Sans" w:hAnsi="Gill Sans" w:cs="Gill Sans"/>
                <w:szCs w:val="22"/>
              </w:rPr>
            </w:pPr>
            <w:r w:rsidRPr="00076E76">
              <w:rPr>
                <w:rFonts w:ascii="Gill Sans" w:hAnsi="Gill Sans" w:cs="Gill Sans"/>
                <w:szCs w:val="22"/>
              </w:rPr>
              <w:t>UK</w:t>
            </w:r>
          </w:p>
          <w:p w14:paraId="75ED1792" w14:textId="3DDFAD88"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71CE3C49" w14:textId="77777777" w:rsidR="00F934ED" w:rsidRPr="00076E76" w:rsidRDefault="00F934ED" w:rsidP="00F934ED">
            <w:pPr>
              <w:rPr>
                <w:rFonts w:ascii="Gill Sans" w:hAnsi="Gill Sans" w:cs="Gill Sans"/>
                <w:szCs w:val="22"/>
              </w:rPr>
            </w:pPr>
          </w:p>
          <w:p w14:paraId="0D5EEEDD" w14:textId="2679A99F" w:rsidR="00F934ED" w:rsidRPr="00076E76" w:rsidRDefault="00F934ED" w:rsidP="00F934ED">
            <w:pPr>
              <w:rPr>
                <w:rFonts w:ascii="Gill Sans" w:hAnsi="Gill Sans" w:cs="Gill Sans"/>
                <w:szCs w:val="22"/>
              </w:rPr>
            </w:pPr>
            <w:r w:rsidRPr="00076E76">
              <w:rPr>
                <w:rFonts w:ascii="Gill Sans" w:hAnsi="Gill Sans" w:cs="Gill Sans"/>
                <w:szCs w:val="22"/>
              </w:rPr>
              <w:t xml:space="preserve">Keywords: </w:t>
            </w:r>
            <w:r w:rsidRPr="00076E76">
              <w:rPr>
                <w:rFonts w:ascii="Gill Sans" w:hAnsi="Gill Sans" w:cs="Gill Sans"/>
                <w:i/>
                <w:szCs w:val="22"/>
              </w:rPr>
              <w:t>transition; higher education; new student</w:t>
            </w:r>
          </w:p>
        </w:tc>
        <w:tc>
          <w:tcPr>
            <w:tcW w:w="10064" w:type="dxa"/>
          </w:tcPr>
          <w:p w14:paraId="6570AFF0" w14:textId="65342E9F"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lastRenderedPageBreak/>
              <w:t xml:space="preserve">Context: </w:t>
            </w:r>
            <w:r w:rsidRPr="00076E76">
              <w:rPr>
                <w:rFonts w:ascii="Gill Sans" w:hAnsi="Gill Sans" w:cs="Gill Sans"/>
                <w:color w:val="000000"/>
                <w:szCs w:val="22"/>
                <w:lang w:val="en-AU"/>
              </w:rPr>
              <w:t xml:space="preserve">Experience of students transitioning into HE (post-1992 university with WP commitment) in the </w:t>
            </w:r>
            <w:r w:rsidRPr="00076E76">
              <w:rPr>
                <w:rFonts w:ascii="Gill Sans" w:hAnsi="Gill Sans" w:cs="Gill Sans"/>
                <w:color w:val="000000"/>
                <w:szCs w:val="22"/>
                <w:lang w:val="en-AU"/>
              </w:rPr>
              <w:lastRenderedPageBreak/>
              <w:t>UK in the early moments (first weeks) of their studies. In particular, study considers working lives of students and impact of workload on their experiences of transition. Scopes literature on ‘new student’ (</w:t>
            </w:r>
            <w:proofErr w:type="spellStart"/>
            <w:r w:rsidRPr="00076E76">
              <w:rPr>
                <w:rFonts w:ascii="Gill Sans" w:hAnsi="Gill Sans" w:cs="Gill Sans"/>
                <w:color w:val="000000"/>
                <w:szCs w:val="22"/>
                <w:lang w:val="en-AU"/>
              </w:rPr>
              <w:t>Leathwood</w:t>
            </w:r>
            <w:proofErr w:type="spellEnd"/>
            <w:r w:rsidRPr="00076E76">
              <w:rPr>
                <w:rFonts w:ascii="Gill Sans" w:hAnsi="Gill Sans" w:cs="Gill Sans"/>
                <w:color w:val="000000"/>
                <w:szCs w:val="22"/>
                <w:lang w:val="en-AU"/>
              </w:rPr>
              <w:t xml:space="preserve"> &amp; O’Connell, 2003; Haggis, 2006) and issues with transition (FYE and transition literature)</w:t>
            </w:r>
          </w:p>
          <w:p w14:paraId="2F1A8406" w14:textId="1F31C839"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sidRPr="00076E76">
              <w:rPr>
                <w:rFonts w:ascii="Gill Sans" w:hAnsi="Gill Sans" w:cs="Gill Sans"/>
                <w:color w:val="000000"/>
                <w:szCs w:val="22"/>
                <w:lang w:val="en-AU"/>
              </w:rPr>
              <w:t>To consider whether = ‘new student’ in modern UK HE (see Haggis, 2006)</w:t>
            </w:r>
          </w:p>
          <w:p w14:paraId="27479AFF" w14:textId="6AA8AA1E"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Theoretical frame: </w:t>
            </w:r>
            <w:r w:rsidRPr="00076E76">
              <w:rPr>
                <w:rFonts w:ascii="Gill Sans" w:hAnsi="Gill Sans" w:cs="Gill Sans"/>
                <w:color w:val="000000"/>
                <w:szCs w:val="22"/>
                <w:lang w:val="en-AU"/>
              </w:rPr>
              <w:t>Bourdieu’s habitus and cultural capital – based on assumption that if student’s cultural capital = recognised, they will transition more easily</w:t>
            </w:r>
          </w:p>
          <w:p w14:paraId="0111E0B0" w14:textId="4AD81DB1"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Mixed methods – mainly qualitative. Online questionnaire for snapshot of first 6 weeks (n=180) – thematically analysed for interview schedule for focus groups (n=25)</w:t>
            </w:r>
          </w:p>
          <w:p w14:paraId="2CE3A392" w14:textId="77777777" w:rsidR="00F934ED" w:rsidRPr="00076E76" w:rsidRDefault="00F934ED" w:rsidP="00F934ED">
            <w:pPr>
              <w:rPr>
                <w:rFonts w:ascii="Gill Sans" w:hAnsi="Gill Sans" w:cs="Gill Sans"/>
                <w:b/>
                <w:color w:val="000000"/>
                <w:szCs w:val="22"/>
                <w:lang w:val="en-AU"/>
              </w:rPr>
            </w:pPr>
            <w:r w:rsidRPr="00076E76">
              <w:rPr>
                <w:rFonts w:ascii="Gill Sans" w:hAnsi="Gill Sans" w:cs="Gill Sans"/>
                <w:b/>
                <w:color w:val="000000"/>
                <w:szCs w:val="22"/>
                <w:lang w:val="en-AU"/>
              </w:rPr>
              <w:t xml:space="preserve">Findings: </w:t>
            </w:r>
          </w:p>
          <w:p w14:paraId="47CE582F"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70% of students= working while studying and spent minimal time on campus (only 30% spending 15 hours+ on campus)</w:t>
            </w:r>
          </w:p>
          <w:p w14:paraId="6DCE7B8F"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27% reported difficulties finding time to study</w:t>
            </w:r>
          </w:p>
          <w:p w14:paraId="7940085B"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18% = academic language = challenge</w:t>
            </w:r>
          </w:p>
          <w:p w14:paraId="6F713727"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53% spend free time with friends from outside university</w:t>
            </w:r>
          </w:p>
          <w:p w14:paraId="0F0FDBEE"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Students’ expectations: data from questionnaire and focus groups = concern with not having academic language (p.244-5)</w:t>
            </w:r>
          </w:p>
          <w:p w14:paraId="52993A55"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Many students = uni not what they expected (fears not realised)</w:t>
            </w:r>
          </w:p>
          <w:p w14:paraId="5A0A719B"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 xml:space="preserve">A number of students needed help with computers </w:t>
            </w:r>
            <w:proofErr w:type="spellStart"/>
            <w:r w:rsidRPr="00076E76">
              <w:rPr>
                <w:rFonts w:ascii="Gill Sans" w:hAnsi="Gill Sans" w:cs="Gill Sans"/>
                <w:color w:val="000000"/>
                <w:szCs w:val="22"/>
                <w:lang w:val="en-AU"/>
              </w:rPr>
              <w:t>bc</w:t>
            </w:r>
            <w:proofErr w:type="spellEnd"/>
            <w:r w:rsidRPr="00076E76">
              <w:rPr>
                <w:rFonts w:ascii="Gill Sans" w:hAnsi="Gill Sans" w:cs="Gill Sans"/>
                <w:color w:val="000000"/>
                <w:szCs w:val="22"/>
                <w:lang w:val="en-AU"/>
              </w:rPr>
              <w:t xml:space="preserve"> expectation that they would be confident with technology</w:t>
            </w:r>
          </w:p>
          <w:p w14:paraId="0DFE5327" w14:textId="796585A9"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Anxiety at highest when students feel they cannot ask questions</w:t>
            </w:r>
            <w:r w:rsidRPr="00076E76">
              <w:rPr>
                <w:rFonts w:ascii="Gill Sans" w:hAnsi="Gill Sans" w:cs="Gill Sans"/>
                <w:b/>
                <w:color w:val="000000"/>
                <w:szCs w:val="22"/>
                <w:lang w:val="en-AU"/>
              </w:rPr>
              <w:br/>
              <w:t xml:space="preserve">Core argument: </w:t>
            </w:r>
            <w:r w:rsidRPr="00076E76">
              <w:rPr>
                <w:rFonts w:ascii="Gill Sans" w:hAnsi="Gill Sans" w:cs="Gill Sans"/>
                <w:color w:val="000000"/>
                <w:szCs w:val="22"/>
                <w:lang w:val="en-AU"/>
              </w:rPr>
              <w:t>Higher education needs to view induction/ transition as a process and a shift is needed in perception of ‘appropriate student support’ for diverse student body</w:t>
            </w:r>
          </w:p>
        </w:tc>
      </w:tr>
      <w:tr w:rsidR="00F934ED" w:rsidRPr="00076E76" w14:paraId="39E77633" w14:textId="77777777" w:rsidTr="002E557C">
        <w:tc>
          <w:tcPr>
            <w:tcW w:w="5529" w:type="dxa"/>
          </w:tcPr>
          <w:p w14:paraId="570CB563" w14:textId="32022412" w:rsidR="00F934ED" w:rsidRPr="00076E76" w:rsidRDefault="00F934ED" w:rsidP="00F934ED">
            <w:pPr>
              <w:rPr>
                <w:rFonts w:ascii="Gill Sans" w:hAnsi="Gill Sans" w:cs="Gill Sans"/>
                <w:szCs w:val="22"/>
              </w:rPr>
            </w:pPr>
            <w:r w:rsidRPr="00076E76">
              <w:rPr>
                <w:rFonts w:ascii="Gill Sans" w:hAnsi="Gill Sans" w:cs="Gill Sans"/>
                <w:szCs w:val="22"/>
              </w:rPr>
              <w:lastRenderedPageBreak/>
              <w:t xml:space="preserve">MacFarlane, K. (2016). </w:t>
            </w:r>
            <w:hyperlink r:id="rId88" w:history="1">
              <w:r w:rsidRPr="004C7B83">
                <w:rPr>
                  <w:rStyle w:val="Hyperlink"/>
                  <w:rFonts w:ascii="Gill Sans" w:hAnsi="Gill Sans" w:cs="Gill Sans"/>
                  <w:szCs w:val="22"/>
                </w:rPr>
                <w:t>Transition through immersion in HE: An evaluation of how a transition and immersion programme for school pupils embeds a culture of the university experience for key stakeholders</w:t>
              </w:r>
            </w:hyperlink>
            <w:r w:rsidRPr="00076E76">
              <w:rPr>
                <w:rFonts w:ascii="Gill Sans" w:hAnsi="Gill Sans" w:cs="Gill Sans"/>
                <w:szCs w:val="22"/>
              </w:rPr>
              <w:t xml:space="preserve">, </w:t>
            </w:r>
            <w:r w:rsidRPr="00076E76">
              <w:rPr>
                <w:rFonts w:ascii="Gill Sans" w:hAnsi="Gill Sans" w:cs="Gill Sans"/>
                <w:i/>
                <w:szCs w:val="22"/>
              </w:rPr>
              <w:t xml:space="preserve">Widening Participation and Lifelong Learning, </w:t>
            </w:r>
            <w:r>
              <w:rPr>
                <w:rFonts w:ascii="Gill Sans" w:hAnsi="Gill Sans" w:cs="Gill Sans"/>
                <w:szCs w:val="22"/>
              </w:rPr>
              <w:t>18(3), 63–</w:t>
            </w:r>
            <w:r w:rsidRPr="00076E76">
              <w:rPr>
                <w:rFonts w:ascii="Gill Sans" w:hAnsi="Gill Sans" w:cs="Gill Sans"/>
                <w:szCs w:val="22"/>
              </w:rPr>
              <w:t>73.</w:t>
            </w:r>
          </w:p>
          <w:p w14:paraId="5916BABE" w14:textId="77777777" w:rsidR="00F934ED" w:rsidRPr="00076E76" w:rsidRDefault="00F934ED" w:rsidP="00F934ED">
            <w:pPr>
              <w:rPr>
                <w:rFonts w:ascii="Gill Sans" w:hAnsi="Gill Sans" w:cs="Gill Sans"/>
                <w:szCs w:val="22"/>
              </w:rPr>
            </w:pPr>
          </w:p>
          <w:p w14:paraId="5806FCB0" w14:textId="77777777" w:rsidR="00F934ED" w:rsidRPr="00076E76" w:rsidRDefault="00F934ED" w:rsidP="00F934ED">
            <w:pPr>
              <w:rPr>
                <w:rFonts w:ascii="Gill Sans" w:hAnsi="Gill Sans" w:cs="Gill Sans"/>
                <w:szCs w:val="22"/>
              </w:rPr>
            </w:pPr>
            <w:r w:rsidRPr="00076E76">
              <w:rPr>
                <w:rFonts w:ascii="Gill Sans" w:hAnsi="Gill Sans" w:cs="Gill Sans"/>
                <w:szCs w:val="22"/>
              </w:rPr>
              <w:t>UK (SCOT)</w:t>
            </w:r>
          </w:p>
          <w:p w14:paraId="50858D65"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178FF0A1" w14:textId="77777777" w:rsidR="00F934ED" w:rsidRPr="00076E76" w:rsidRDefault="00F934ED" w:rsidP="00F934ED">
            <w:pPr>
              <w:rPr>
                <w:rFonts w:ascii="Gill Sans" w:hAnsi="Gill Sans" w:cs="Gill Sans"/>
                <w:szCs w:val="22"/>
              </w:rPr>
            </w:pPr>
          </w:p>
          <w:p w14:paraId="47A15D4D" w14:textId="77777777" w:rsidR="00F934ED" w:rsidRPr="00076E76" w:rsidRDefault="00F934ED" w:rsidP="00F934ED">
            <w:pPr>
              <w:rPr>
                <w:rFonts w:ascii="Gill Sans" w:hAnsi="Gill Sans" w:cs="Gill Sans"/>
                <w:i/>
                <w:szCs w:val="22"/>
              </w:rPr>
            </w:pPr>
            <w:r w:rsidRPr="00076E76">
              <w:rPr>
                <w:rFonts w:ascii="Gill Sans" w:hAnsi="Gill Sans" w:cs="Gill Sans"/>
                <w:szCs w:val="22"/>
              </w:rPr>
              <w:t xml:space="preserve">Key words: </w:t>
            </w:r>
            <w:r w:rsidRPr="00076E76">
              <w:rPr>
                <w:rFonts w:ascii="Gill Sans" w:hAnsi="Gill Sans" w:cs="Gill Sans"/>
                <w:i/>
                <w:szCs w:val="22"/>
              </w:rPr>
              <w:t xml:space="preserve">access, transition, immersion, engagement, </w:t>
            </w:r>
            <w:r w:rsidRPr="00076E76">
              <w:rPr>
                <w:rFonts w:ascii="Gill Sans" w:hAnsi="Gill Sans" w:cs="Gill Sans"/>
                <w:i/>
                <w:szCs w:val="22"/>
              </w:rPr>
              <w:lastRenderedPageBreak/>
              <w:t>acculturation, learner identity, evaluation, impact</w:t>
            </w:r>
          </w:p>
          <w:p w14:paraId="14853EDF" w14:textId="77777777" w:rsidR="00F934ED" w:rsidRPr="00076E76" w:rsidRDefault="00F934ED" w:rsidP="00F934ED">
            <w:pPr>
              <w:rPr>
                <w:rFonts w:ascii="Gill Sans" w:hAnsi="Gill Sans" w:cs="Gill Sans"/>
                <w:i/>
                <w:szCs w:val="22"/>
              </w:rPr>
            </w:pPr>
          </w:p>
          <w:p w14:paraId="3ECB4FB4" w14:textId="2693CC56" w:rsidR="00F934ED" w:rsidRPr="00076E76" w:rsidRDefault="00F934ED" w:rsidP="00F934ED">
            <w:pPr>
              <w:rPr>
                <w:rFonts w:ascii="Gill Sans" w:hAnsi="Gill Sans" w:cs="Gill Sans"/>
                <w:b/>
                <w:szCs w:val="22"/>
              </w:rPr>
            </w:pPr>
          </w:p>
        </w:tc>
        <w:tc>
          <w:tcPr>
            <w:tcW w:w="10064" w:type="dxa"/>
          </w:tcPr>
          <w:p w14:paraId="2BE7A69E" w14:textId="388F2526"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lastRenderedPageBreak/>
              <w:t xml:space="preserve">Context: </w:t>
            </w:r>
            <w:r w:rsidRPr="00076E76">
              <w:rPr>
                <w:rFonts w:ascii="Gill Sans" w:hAnsi="Gill Sans" w:cs="Gill Sans"/>
                <w:color w:val="000000"/>
                <w:szCs w:val="22"/>
                <w:lang w:val="en-AU"/>
              </w:rPr>
              <w:t xml:space="preserve">Examines how to embed a culture of university experience by teaching Scottish Advanced </w:t>
            </w:r>
            <w:proofErr w:type="spellStart"/>
            <w:r w:rsidRPr="00076E76">
              <w:rPr>
                <w:rFonts w:ascii="Gill Sans" w:hAnsi="Gill Sans" w:cs="Gill Sans"/>
                <w:color w:val="000000"/>
                <w:szCs w:val="22"/>
                <w:lang w:val="en-AU"/>
              </w:rPr>
              <w:t>Highers</w:t>
            </w:r>
            <w:proofErr w:type="spellEnd"/>
            <w:r w:rsidRPr="00076E76">
              <w:rPr>
                <w:rFonts w:ascii="Gill Sans" w:hAnsi="Gill Sans" w:cs="Gill Sans"/>
                <w:color w:val="000000"/>
                <w:szCs w:val="22"/>
                <w:lang w:val="en-AU"/>
              </w:rPr>
              <w:t xml:space="preserve"> at university. In Scotland, students can go to university at the end of Senior 5, but it is more common for students to remain in school until Senior 6 (age 17/18) = similar to A-levels. Advanced </w:t>
            </w:r>
            <w:proofErr w:type="spellStart"/>
            <w:r w:rsidRPr="00076E76">
              <w:rPr>
                <w:rFonts w:ascii="Gill Sans" w:hAnsi="Gill Sans" w:cs="Gill Sans"/>
                <w:color w:val="000000"/>
                <w:szCs w:val="22"/>
                <w:lang w:val="en-AU"/>
              </w:rPr>
              <w:t>Highers</w:t>
            </w:r>
            <w:proofErr w:type="spellEnd"/>
            <w:r w:rsidRPr="00076E76">
              <w:rPr>
                <w:rFonts w:ascii="Gill Sans" w:hAnsi="Gill Sans" w:cs="Gill Sans"/>
                <w:color w:val="000000"/>
                <w:szCs w:val="22"/>
                <w:lang w:val="en-AU"/>
              </w:rPr>
              <w:t xml:space="preserve"> can lead directly to Year 2 of UG study. University (Glasgow Caledonian) works with 17 feeder schools (outreach and community engagement work), which have lower than national average progression rate (19%, compared to 37% in Scotland). Transition initiative (to teach Advanced </w:t>
            </w:r>
            <w:proofErr w:type="spellStart"/>
            <w:r w:rsidRPr="00076E76">
              <w:rPr>
                <w:rFonts w:ascii="Gill Sans" w:hAnsi="Gill Sans" w:cs="Gill Sans"/>
                <w:color w:val="000000"/>
                <w:szCs w:val="22"/>
                <w:lang w:val="en-AU"/>
              </w:rPr>
              <w:t>Highers</w:t>
            </w:r>
            <w:proofErr w:type="spellEnd"/>
            <w:r w:rsidRPr="00076E76">
              <w:rPr>
                <w:rFonts w:ascii="Gill Sans" w:hAnsi="Gill Sans" w:cs="Gill Sans"/>
                <w:color w:val="000000"/>
                <w:szCs w:val="22"/>
                <w:lang w:val="en-AU"/>
              </w:rPr>
              <w:t xml:space="preserve"> in university) = piloted with all 17 so as to 1) widen access; 2) target students who are least likely to attend university; 3) provide year-long immersion/ transition program to support progression and retention in HE </w:t>
            </w:r>
            <w:proofErr w:type="gramStart"/>
            <w:r w:rsidRPr="00076E76">
              <w:rPr>
                <w:rFonts w:ascii="Gill Sans" w:hAnsi="Gill Sans" w:cs="Gill Sans"/>
                <w:color w:val="000000"/>
                <w:szCs w:val="22"/>
                <w:lang w:val="en-AU"/>
              </w:rPr>
              <w:t>study</w:t>
            </w:r>
            <w:proofErr w:type="gramEnd"/>
            <w:r w:rsidRPr="00076E76">
              <w:rPr>
                <w:rFonts w:ascii="Gill Sans" w:hAnsi="Gill Sans" w:cs="Gill Sans"/>
                <w:color w:val="000000"/>
                <w:szCs w:val="22"/>
                <w:lang w:val="en-AU"/>
              </w:rPr>
              <w:t>.</w:t>
            </w:r>
          </w:p>
          <w:p w14:paraId="70EFB2EB" w14:textId="0C77B47A"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sidRPr="00076E76">
              <w:rPr>
                <w:rFonts w:ascii="Gill Sans" w:hAnsi="Gill Sans" w:cs="Gill Sans"/>
                <w:color w:val="000000"/>
                <w:szCs w:val="22"/>
                <w:lang w:val="en-AU"/>
              </w:rPr>
              <w:t>To explore how students felt about participating in the program, and whether participation increased their knowledge of higher education</w:t>
            </w:r>
          </w:p>
          <w:p w14:paraId="36AFD210" w14:textId="77777777" w:rsidR="00F934ED" w:rsidRPr="00076E76" w:rsidRDefault="00F934ED" w:rsidP="00F934ED">
            <w:pPr>
              <w:rPr>
                <w:rFonts w:ascii="Gill Sans" w:hAnsi="Gill Sans" w:cs="Gill Sans"/>
                <w:b/>
                <w:color w:val="000000"/>
                <w:szCs w:val="22"/>
                <w:lang w:val="en-AU"/>
              </w:rPr>
            </w:pPr>
            <w:r w:rsidRPr="00076E76">
              <w:rPr>
                <w:rFonts w:ascii="Gill Sans" w:hAnsi="Gill Sans" w:cs="Gill Sans"/>
                <w:b/>
                <w:color w:val="000000"/>
                <w:szCs w:val="22"/>
                <w:lang w:val="en-AU"/>
              </w:rPr>
              <w:lastRenderedPageBreak/>
              <w:t>Theoretical frame:</w:t>
            </w:r>
          </w:p>
          <w:p w14:paraId="121A90D9" w14:textId="32146D2B"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proofErr w:type="gramStart"/>
            <w:r w:rsidRPr="00076E76">
              <w:rPr>
                <w:rFonts w:ascii="Gill Sans" w:hAnsi="Gill Sans" w:cs="Gill Sans"/>
                <w:color w:val="000000"/>
                <w:szCs w:val="22"/>
                <w:lang w:val="en-AU"/>
              </w:rPr>
              <w:t>Evaluation:</w:t>
            </w:r>
            <w:proofErr w:type="gramEnd"/>
            <w:r w:rsidRPr="00076E76">
              <w:rPr>
                <w:rFonts w:ascii="Gill Sans" w:hAnsi="Gill Sans" w:cs="Gill Sans"/>
                <w:color w:val="000000"/>
                <w:szCs w:val="22"/>
                <w:lang w:val="en-AU"/>
              </w:rPr>
              <w:t xml:space="preserve"> uses Kirkpatrick’s (1994) 4-stage evaluation model: “</w:t>
            </w:r>
            <w:r w:rsidRPr="00076E76">
              <w:rPr>
                <w:rFonts w:ascii="Gill Sans" w:hAnsi="Gill Sans" w:cs="Gill Sans"/>
                <w:color w:val="000000"/>
                <w:szCs w:val="22"/>
              </w:rPr>
              <w:t>Level 1 (Reaction) evaluates how participants respond to the training. Level 2 (Learning) measures whether participants actually learned the material. Level 3 (</w:t>
            </w:r>
            <w:proofErr w:type="spellStart"/>
            <w:r w:rsidRPr="00076E76">
              <w:rPr>
                <w:rFonts w:ascii="Gill Sans" w:hAnsi="Gill Sans" w:cs="Gill Sans"/>
                <w:color w:val="000000"/>
                <w:szCs w:val="22"/>
              </w:rPr>
              <w:t>Behaviour</w:t>
            </w:r>
            <w:proofErr w:type="spellEnd"/>
            <w:r w:rsidRPr="00076E76">
              <w:rPr>
                <w:rFonts w:ascii="Gill Sans" w:hAnsi="Gill Sans" w:cs="Gill Sans"/>
                <w:color w:val="000000"/>
                <w:szCs w:val="22"/>
              </w:rPr>
              <w:t xml:space="preserve">) considers if they are using what they learned in the workplace and Level 4 (Results) evaluates if the training positively impacted the organization” (see p.65). Paper focuses on ‘Reaction’ and ‘Learning’ stages. Evaluation data collected via semi-structured interviews – questions about </w:t>
            </w:r>
            <w:proofErr w:type="spellStart"/>
            <w:r w:rsidRPr="00076E76">
              <w:rPr>
                <w:rFonts w:ascii="Gill Sans" w:hAnsi="Gill Sans" w:cs="Gill Sans"/>
                <w:color w:val="000000"/>
                <w:szCs w:val="22"/>
              </w:rPr>
              <w:t>expecations</w:t>
            </w:r>
            <w:proofErr w:type="spellEnd"/>
            <w:r w:rsidRPr="00076E76">
              <w:rPr>
                <w:rFonts w:ascii="Gill Sans" w:hAnsi="Gill Sans" w:cs="Gill Sans"/>
                <w:color w:val="000000"/>
                <w:szCs w:val="22"/>
              </w:rPr>
              <w:t>, experiences, successes, challenges.</w:t>
            </w:r>
          </w:p>
          <w:p w14:paraId="54ACCD02" w14:textId="77777777" w:rsidR="00F934ED" w:rsidRPr="00076E76" w:rsidRDefault="00F934ED" w:rsidP="00F934ED">
            <w:pPr>
              <w:rPr>
                <w:rFonts w:ascii="Gill Sans" w:hAnsi="Gill Sans" w:cs="Gill Sans"/>
                <w:b/>
                <w:color w:val="000000"/>
                <w:szCs w:val="22"/>
                <w:lang w:val="en-AU"/>
              </w:rPr>
            </w:pPr>
            <w:r w:rsidRPr="00076E76">
              <w:rPr>
                <w:rFonts w:ascii="Gill Sans" w:hAnsi="Gill Sans" w:cs="Gill Sans"/>
                <w:b/>
                <w:color w:val="000000"/>
                <w:szCs w:val="22"/>
                <w:lang w:val="en-AU"/>
              </w:rPr>
              <w:t xml:space="preserve">Findings: </w:t>
            </w:r>
          </w:p>
          <w:p w14:paraId="1342F6CB"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i/>
                <w:color w:val="000000"/>
                <w:szCs w:val="22"/>
                <w:lang w:val="en-AU"/>
              </w:rPr>
              <w:t>Reaction</w:t>
            </w:r>
            <w:r w:rsidRPr="00076E76">
              <w:rPr>
                <w:rFonts w:ascii="Gill Sans" w:hAnsi="Gill Sans" w:cs="Gill Sans"/>
                <w:color w:val="000000"/>
                <w:szCs w:val="22"/>
                <w:lang w:val="en-AU"/>
              </w:rPr>
              <w:t>: Partner schools = keen to participate because it widened course options available and increased uptake and eased classing issues (e.g. combining levels 5 and 6 and staffing of classes). For pupils, the possibility of studying a subject they wanted at university = big draw card.</w:t>
            </w:r>
          </w:p>
          <w:p w14:paraId="2B0E5AF4"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i/>
                <w:color w:val="000000"/>
                <w:szCs w:val="22"/>
                <w:lang w:val="en-AU"/>
              </w:rPr>
              <w:t>Learning</w:t>
            </w:r>
            <w:r w:rsidRPr="00076E76">
              <w:rPr>
                <w:rFonts w:ascii="Gill Sans" w:hAnsi="Gill Sans" w:cs="Gill Sans"/>
                <w:color w:val="000000"/>
                <w:szCs w:val="22"/>
                <w:lang w:val="en-AU"/>
              </w:rPr>
              <w:t xml:space="preserve">:  Students asked whether expectations had been met and compared with school. Students reported that they enjoyed: </w:t>
            </w:r>
          </w:p>
          <w:p w14:paraId="04F9E86C" w14:textId="77777777" w:rsidR="00F934ED" w:rsidRPr="00076E76" w:rsidRDefault="00F934ED" w:rsidP="00F934ED">
            <w:pPr>
              <w:pStyle w:val="ListParagraph"/>
              <w:numPr>
                <w:ilvl w:val="0"/>
                <w:numId w:val="6"/>
              </w:numPr>
              <w:rPr>
                <w:rFonts w:ascii="Gill Sans" w:hAnsi="Gill Sans" w:cs="Gill Sans"/>
                <w:color w:val="000000"/>
                <w:szCs w:val="22"/>
                <w:lang w:val="en-AU"/>
              </w:rPr>
            </w:pPr>
            <w:r w:rsidRPr="00076E76">
              <w:rPr>
                <w:rFonts w:ascii="Gill Sans" w:hAnsi="Gill Sans" w:cs="Gill Sans"/>
                <w:color w:val="000000"/>
                <w:szCs w:val="22"/>
                <w:lang w:val="en-AU"/>
              </w:rPr>
              <w:t>being treated more like adults</w:t>
            </w:r>
          </w:p>
          <w:p w14:paraId="79ECB956" w14:textId="77777777" w:rsidR="00F934ED" w:rsidRPr="00076E76" w:rsidRDefault="00F934ED" w:rsidP="00F934ED">
            <w:pPr>
              <w:pStyle w:val="ListParagraph"/>
              <w:numPr>
                <w:ilvl w:val="0"/>
                <w:numId w:val="6"/>
              </w:numPr>
              <w:rPr>
                <w:rFonts w:ascii="Gill Sans" w:hAnsi="Gill Sans" w:cs="Gill Sans"/>
                <w:color w:val="000000"/>
                <w:szCs w:val="22"/>
                <w:lang w:val="en-AU"/>
              </w:rPr>
            </w:pPr>
            <w:r w:rsidRPr="00076E76">
              <w:rPr>
                <w:rFonts w:ascii="Gill Sans" w:hAnsi="Gill Sans" w:cs="Gill Sans"/>
                <w:color w:val="000000"/>
                <w:szCs w:val="22"/>
                <w:lang w:val="en-AU"/>
              </w:rPr>
              <w:t>feeling more independent</w:t>
            </w:r>
          </w:p>
          <w:p w14:paraId="61504616" w14:textId="77777777" w:rsidR="00F934ED" w:rsidRPr="00076E76" w:rsidRDefault="00F934ED" w:rsidP="00F934ED">
            <w:pPr>
              <w:pStyle w:val="ListParagraph"/>
              <w:numPr>
                <w:ilvl w:val="0"/>
                <w:numId w:val="6"/>
              </w:numPr>
              <w:rPr>
                <w:rFonts w:ascii="Gill Sans" w:hAnsi="Gill Sans" w:cs="Gill Sans"/>
                <w:color w:val="000000"/>
                <w:szCs w:val="22"/>
                <w:lang w:val="en-AU"/>
              </w:rPr>
            </w:pPr>
            <w:r w:rsidRPr="00076E76">
              <w:rPr>
                <w:rFonts w:ascii="Gill Sans" w:hAnsi="Gill Sans" w:cs="Gill Sans"/>
                <w:color w:val="000000"/>
                <w:szCs w:val="22"/>
                <w:lang w:val="en-AU"/>
              </w:rPr>
              <w:t>feeling like students</w:t>
            </w:r>
          </w:p>
          <w:p w14:paraId="576EEA1B" w14:textId="77777777" w:rsidR="00F934ED" w:rsidRPr="00076E76" w:rsidRDefault="00F934ED" w:rsidP="00F934ED">
            <w:pPr>
              <w:pStyle w:val="ListParagraph"/>
              <w:numPr>
                <w:ilvl w:val="0"/>
                <w:numId w:val="6"/>
              </w:numPr>
              <w:rPr>
                <w:rFonts w:ascii="Gill Sans" w:hAnsi="Gill Sans" w:cs="Gill Sans"/>
                <w:color w:val="000000"/>
                <w:szCs w:val="22"/>
                <w:lang w:val="en-AU"/>
              </w:rPr>
            </w:pPr>
            <w:r w:rsidRPr="00076E76">
              <w:rPr>
                <w:rFonts w:ascii="Gill Sans" w:hAnsi="Gill Sans" w:cs="Gill Sans"/>
                <w:color w:val="000000"/>
                <w:szCs w:val="22"/>
                <w:lang w:val="en-AU"/>
              </w:rPr>
              <w:t>having to do research</w:t>
            </w:r>
          </w:p>
          <w:p w14:paraId="15C9CC9C" w14:textId="77777777" w:rsidR="00F934ED" w:rsidRPr="00076E76" w:rsidRDefault="00F934ED" w:rsidP="00F934ED">
            <w:pPr>
              <w:pStyle w:val="ListParagraph"/>
              <w:numPr>
                <w:ilvl w:val="0"/>
                <w:numId w:val="6"/>
              </w:numPr>
              <w:rPr>
                <w:rFonts w:ascii="Gill Sans" w:hAnsi="Gill Sans" w:cs="Gill Sans"/>
                <w:color w:val="000000"/>
                <w:szCs w:val="22"/>
                <w:lang w:val="en-AU"/>
              </w:rPr>
            </w:pPr>
            <w:r w:rsidRPr="00076E76">
              <w:rPr>
                <w:rFonts w:ascii="Gill Sans" w:hAnsi="Gill Sans" w:cs="Gill Sans"/>
                <w:color w:val="000000"/>
                <w:szCs w:val="22"/>
                <w:lang w:val="en-AU"/>
              </w:rPr>
              <w:t>not being ‘</w:t>
            </w:r>
            <w:proofErr w:type="spellStart"/>
            <w:r w:rsidRPr="00076E76">
              <w:rPr>
                <w:rFonts w:ascii="Gill Sans" w:hAnsi="Gill Sans" w:cs="Gill Sans"/>
                <w:color w:val="000000"/>
                <w:szCs w:val="22"/>
                <w:lang w:val="en-AU"/>
              </w:rPr>
              <w:t>spoonfed</w:t>
            </w:r>
            <w:proofErr w:type="spellEnd"/>
            <w:r w:rsidRPr="00076E76">
              <w:rPr>
                <w:rFonts w:ascii="Gill Sans" w:hAnsi="Gill Sans" w:cs="Gill Sans"/>
                <w:color w:val="000000"/>
                <w:szCs w:val="22"/>
                <w:lang w:val="en-AU"/>
              </w:rPr>
              <w:t>’ all the time</w:t>
            </w:r>
          </w:p>
          <w:p w14:paraId="2029D156" w14:textId="77777777" w:rsidR="00F934ED" w:rsidRPr="00076E76" w:rsidRDefault="00F934ED" w:rsidP="00F934ED">
            <w:pPr>
              <w:pStyle w:val="ListParagraph"/>
              <w:numPr>
                <w:ilvl w:val="0"/>
                <w:numId w:val="6"/>
              </w:numPr>
              <w:rPr>
                <w:rFonts w:ascii="Gill Sans" w:hAnsi="Gill Sans" w:cs="Gill Sans"/>
                <w:color w:val="000000"/>
                <w:szCs w:val="22"/>
                <w:lang w:val="en-AU"/>
              </w:rPr>
            </w:pPr>
            <w:r w:rsidRPr="00076E76">
              <w:rPr>
                <w:rFonts w:ascii="Gill Sans" w:hAnsi="Gill Sans" w:cs="Gill Sans"/>
                <w:color w:val="000000"/>
                <w:szCs w:val="22"/>
                <w:lang w:val="en-AU"/>
              </w:rPr>
              <w:t>and making new friends</w:t>
            </w:r>
          </w:p>
          <w:p w14:paraId="031C7AC1" w14:textId="77777777" w:rsidR="00F934ED" w:rsidRPr="00076E76" w:rsidRDefault="00F934ED" w:rsidP="00F934ED">
            <w:pPr>
              <w:pStyle w:val="ListParagraph"/>
              <w:numPr>
                <w:ilvl w:val="0"/>
                <w:numId w:val="6"/>
              </w:numPr>
              <w:rPr>
                <w:rFonts w:ascii="Gill Sans" w:hAnsi="Gill Sans" w:cs="Gill Sans"/>
                <w:b/>
                <w:color w:val="000000"/>
                <w:szCs w:val="22"/>
                <w:lang w:val="en-AU"/>
              </w:rPr>
            </w:pPr>
            <w:r w:rsidRPr="00076E76">
              <w:rPr>
                <w:rFonts w:ascii="Gill Sans" w:hAnsi="Gill Sans" w:cs="Gill Sans"/>
                <w:color w:val="000000"/>
                <w:szCs w:val="22"/>
                <w:lang w:val="en-AU"/>
              </w:rPr>
              <w:t>feeling prepared for university (p.69)</w:t>
            </w:r>
          </w:p>
          <w:p w14:paraId="25F08C85" w14:textId="5BE8673D"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Schools reported enjoying the provision of better facilities and equipment.</w:t>
            </w:r>
          </w:p>
          <w:p w14:paraId="2E9FCE89" w14:textId="5EDA590B"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Theme emerging from data:</w:t>
            </w:r>
          </w:p>
          <w:p w14:paraId="4CD8B414" w14:textId="7777777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rPr>
              <w:t> acculturation;</w:t>
            </w:r>
          </w:p>
          <w:p w14:paraId="30812F78" w14:textId="7777777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rPr>
              <w:t> engagement;</w:t>
            </w:r>
          </w:p>
          <w:p w14:paraId="6706DE04" w14:textId="7777777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rPr>
              <w:t> learner identity;</w:t>
            </w:r>
          </w:p>
          <w:p w14:paraId="0D802DFA" w14:textId="7777777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rPr>
              <w:t> being treated like adults;</w:t>
            </w:r>
          </w:p>
          <w:p w14:paraId="0970803A" w14:textId="7777777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rPr>
              <w:t> self-confidence;</w:t>
            </w:r>
          </w:p>
          <w:p w14:paraId="7996F414" w14:textId="3BF3F196"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rPr>
              <w:t> sense of belonging.</w:t>
            </w:r>
          </w:p>
          <w:p w14:paraId="18BD86C2" w14:textId="21B40CEF"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Core argument: </w:t>
            </w:r>
            <w:r w:rsidRPr="00076E76">
              <w:rPr>
                <w:rFonts w:ascii="Gill Sans" w:hAnsi="Gill Sans" w:cs="Gill Sans"/>
                <w:color w:val="000000"/>
                <w:szCs w:val="22"/>
                <w:lang w:val="en-AU"/>
              </w:rPr>
              <w:t>Immersion within university culture = permits students “</w:t>
            </w:r>
            <w:r w:rsidRPr="00076E76">
              <w:rPr>
                <w:rFonts w:ascii="Gill Sans" w:hAnsi="Gill Sans" w:cs="Gill Sans"/>
                <w:color w:val="000000"/>
                <w:szCs w:val="22"/>
              </w:rPr>
              <w:t xml:space="preserve">to see the other side of [‘the academic borderlands’ Green (2006)] and to experience life as a university student” (p.70). </w:t>
            </w:r>
          </w:p>
        </w:tc>
      </w:tr>
      <w:tr w:rsidR="00F934ED" w:rsidRPr="00076E76" w14:paraId="4CED07B5" w14:textId="77777777" w:rsidTr="002E557C">
        <w:tc>
          <w:tcPr>
            <w:tcW w:w="5529" w:type="dxa"/>
          </w:tcPr>
          <w:p w14:paraId="1F7DB20C" w14:textId="7B33C43B" w:rsidR="00F934ED" w:rsidRPr="00076E76" w:rsidRDefault="00F934ED" w:rsidP="00F934ED">
            <w:pPr>
              <w:rPr>
                <w:rFonts w:ascii="Gill Sans" w:hAnsi="Gill Sans" w:cs="Gill Sans"/>
                <w:szCs w:val="22"/>
              </w:rPr>
            </w:pPr>
            <w:r w:rsidRPr="00076E76">
              <w:rPr>
                <w:rFonts w:ascii="Gill Sans" w:hAnsi="Gill Sans" w:cs="Gill Sans"/>
                <w:szCs w:val="22"/>
              </w:rPr>
              <w:lastRenderedPageBreak/>
              <w:t xml:space="preserve">Maunder, R.; Cunliffe, M.; Galvin, J.; </w:t>
            </w:r>
            <w:proofErr w:type="spellStart"/>
            <w:r w:rsidRPr="00076E76">
              <w:rPr>
                <w:rFonts w:ascii="Gill Sans" w:hAnsi="Gill Sans" w:cs="Gill Sans"/>
                <w:szCs w:val="22"/>
              </w:rPr>
              <w:t>Mjali</w:t>
            </w:r>
            <w:proofErr w:type="spellEnd"/>
            <w:r w:rsidRPr="00076E76">
              <w:rPr>
                <w:rFonts w:ascii="Gill Sans" w:hAnsi="Gill Sans" w:cs="Gill Sans"/>
                <w:szCs w:val="22"/>
              </w:rPr>
              <w:t xml:space="preserve">, S. &amp; Rogers, J. (2013). </w:t>
            </w:r>
            <w:hyperlink r:id="rId89" w:history="1">
              <w:r w:rsidRPr="00574099">
                <w:rPr>
                  <w:rStyle w:val="Hyperlink"/>
                  <w:rFonts w:ascii="Gill Sans" w:hAnsi="Gill Sans" w:cs="Gill Sans"/>
                  <w:szCs w:val="22"/>
                </w:rPr>
                <w:t xml:space="preserve">Listening to student voices: student researchers </w:t>
              </w:r>
              <w:r w:rsidRPr="00574099">
                <w:rPr>
                  <w:rStyle w:val="Hyperlink"/>
                  <w:rFonts w:ascii="Gill Sans" w:hAnsi="Gill Sans" w:cs="Gill Sans"/>
                  <w:szCs w:val="22"/>
                </w:rPr>
                <w:lastRenderedPageBreak/>
                <w:t>exploring undergraduate experiences of university transition</w:t>
              </w:r>
            </w:hyperlink>
            <w:r w:rsidRPr="00076E76">
              <w:rPr>
                <w:rFonts w:ascii="Gill Sans" w:hAnsi="Gill Sans" w:cs="Gill Sans"/>
                <w:szCs w:val="22"/>
              </w:rPr>
              <w:t xml:space="preserve">, </w:t>
            </w:r>
            <w:r w:rsidRPr="00076E76">
              <w:rPr>
                <w:rFonts w:ascii="Gill Sans" w:hAnsi="Gill Sans" w:cs="Gill Sans"/>
                <w:i/>
                <w:szCs w:val="22"/>
              </w:rPr>
              <w:t xml:space="preserve">Higher Education, </w:t>
            </w:r>
            <w:r>
              <w:rPr>
                <w:rFonts w:ascii="Gill Sans" w:hAnsi="Gill Sans" w:cs="Gill Sans"/>
                <w:szCs w:val="22"/>
              </w:rPr>
              <w:t>66, 139–</w:t>
            </w:r>
            <w:r w:rsidRPr="00076E76">
              <w:rPr>
                <w:rFonts w:ascii="Gill Sans" w:hAnsi="Gill Sans" w:cs="Gill Sans"/>
                <w:szCs w:val="22"/>
              </w:rPr>
              <w:t>152.</w:t>
            </w:r>
          </w:p>
          <w:p w14:paraId="6AA7E570" w14:textId="77777777" w:rsidR="00F934ED" w:rsidRPr="00076E76" w:rsidRDefault="00F934ED" w:rsidP="00F934ED">
            <w:pPr>
              <w:rPr>
                <w:rFonts w:ascii="Gill Sans" w:hAnsi="Gill Sans" w:cs="Gill Sans"/>
                <w:szCs w:val="22"/>
              </w:rPr>
            </w:pPr>
          </w:p>
          <w:p w14:paraId="12111C88" w14:textId="77777777" w:rsidR="00F934ED" w:rsidRPr="00076E76" w:rsidRDefault="00F934ED" w:rsidP="00F934ED">
            <w:pPr>
              <w:rPr>
                <w:rFonts w:ascii="Gill Sans" w:hAnsi="Gill Sans" w:cs="Gill Sans"/>
                <w:szCs w:val="22"/>
              </w:rPr>
            </w:pPr>
            <w:r w:rsidRPr="00076E76">
              <w:rPr>
                <w:rFonts w:ascii="Gill Sans" w:hAnsi="Gill Sans" w:cs="Gill Sans"/>
                <w:szCs w:val="22"/>
              </w:rPr>
              <w:t>UK</w:t>
            </w:r>
          </w:p>
          <w:p w14:paraId="2E8E3E73"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35805470" w14:textId="77777777" w:rsidR="00F934ED" w:rsidRPr="00076E76" w:rsidRDefault="00F934ED" w:rsidP="00F934ED">
            <w:pPr>
              <w:rPr>
                <w:rFonts w:ascii="Gill Sans" w:hAnsi="Gill Sans" w:cs="Gill Sans"/>
                <w:szCs w:val="22"/>
              </w:rPr>
            </w:pPr>
          </w:p>
          <w:p w14:paraId="64616E5F" w14:textId="65364A33" w:rsidR="00F934ED" w:rsidRPr="00076E76" w:rsidRDefault="00F934ED" w:rsidP="00F934ED">
            <w:pPr>
              <w:rPr>
                <w:rFonts w:ascii="Gill Sans" w:hAnsi="Gill Sans" w:cs="Gill Sans"/>
                <w:szCs w:val="22"/>
              </w:rPr>
            </w:pPr>
            <w:r w:rsidRPr="00076E76">
              <w:rPr>
                <w:rFonts w:ascii="Gill Sans" w:hAnsi="Gill Sans" w:cs="Gill Sans"/>
                <w:szCs w:val="22"/>
              </w:rPr>
              <w:t xml:space="preserve">Keywords: </w:t>
            </w:r>
            <w:r w:rsidRPr="00076E76">
              <w:rPr>
                <w:rFonts w:ascii="Gill Sans" w:hAnsi="Gill Sans" w:cs="Gill Sans"/>
                <w:i/>
                <w:szCs w:val="22"/>
              </w:rPr>
              <w:t>Transition; University; Sociocultural; Student researchers; Staff-student partnership; Student voice</w:t>
            </w:r>
          </w:p>
        </w:tc>
        <w:tc>
          <w:tcPr>
            <w:tcW w:w="10064" w:type="dxa"/>
          </w:tcPr>
          <w:p w14:paraId="6C9D009A"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lastRenderedPageBreak/>
              <w:t xml:space="preserve">Context: </w:t>
            </w:r>
            <w:r w:rsidRPr="00076E76">
              <w:rPr>
                <w:rFonts w:ascii="Gill Sans" w:hAnsi="Gill Sans" w:cs="Gill Sans"/>
                <w:color w:val="000000"/>
                <w:szCs w:val="22"/>
                <w:lang w:val="en-AU"/>
              </w:rPr>
              <w:t>Examines students’ transitions into university using students as researchers. Notes dominance of focus on FYE.</w:t>
            </w:r>
          </w:p>
          <w:p w14:paraId="5E2CF893"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lastRenderedPageBreak/>
              <w:t xml:space="preserve">Aim: </w:t>
            </w:r>
            <w:r w:rsidRPr="00076E76">
              <w:rPr>
                <w:rFonts w:ascii="Gill Sans" w:hAnsi="Gill Sans" w:cs="Gill Sans"/>
                <w:color w:val="000000"/>
                <w:szCs w:val="22"/>
                <w:lang w:val="en-AU"/>
              </w:rPr>
              <w:t>To focus on transition experiences of students, using a ‘students as collaborators’ approach</w:t>
            </w:r>
          </w:p>
          <w:p w14:paraId="7E48F724"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Theoretical frame: </w:t>
            </w:r>
            <w:r w:rsidRPr="00076E76">
              <w:rPr>
                <w:rFonts w:ascii="Gill Sans" w:hAnsi="Gill Sans" w:cs="Gill Sans"/>
                <w:color w:val="000000"/>
                <w:szCs w:val="22"/>
                <w:lang w:val="en-AU"/>
              </w:rPr>
              <w:t>Adopts a ‘sociocultural perspective’</w:t>
            </w:r>
          </w:p>
          <w:p w14:paraId="503E14D1"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Takes ‘students as collaborators’ approach – first author = supervisor, co-authors of paper were Year 2 Psychology students and part of ‘</w:t>
            </w:r>
            <w:r w:rsidRPr="00076E76">
              <w:rPr>
                <w:rFonts w:ascii="Gill Sans" w:hAnsi="Gill Sans" w:cs="Gill Sans"/>
                <w:color w:val="000000"/>
                <w:szCs w:val="22"/>
              </w:rPr>
              <w:t>Undergraduate Research Bursaries at Northampton’ scheme. Participant students were also Psychology students (Years 1 &amp; 2; n=9). All data collected by student researchers. Thematic analysis</w:t>
            </w:r>
          </w:p>
          <w:p w14:paraId="78B16FC3" w14:textId="77777777" w:rsidR="00F934ED" w:rsidRPr="00076E76" w:rsidRDefault="00F934ED" w:rsidP="00F934ED">
            <w:pPr>
              <w:rPr>
                <w:rFonts w:ascii="Gill Sans" w:hAnsi="Gill Sans" w:cs="Gill Sans"/>
                <w:color w:val="000000"/>
                <w:szCs w:val="22"/>
              </w:rPr>
            </w:pPr>
            <w:r w:rsidRPr="00076E76">
              <w:rPr>
                <w:rFonts w:ascii="Gill Sans" w:hAnsi="Gill Sans" w:cs="Gill Sans"/>
                <w:b/>
                <w:color w:val="000000"/>
                <w:szCs w:val="22"/>
                <w:lang w:val="en-AU"/>
              </w:rPr>
              <w:t xml:space="preserve">Findings: </w:t>
            </w:r>
            <w:r w:rsidRPr="00076E76">
              <w:rPr>
                <w:rFonts w:ascii="Gill Sans" w:hAnsi="Gill Sans" w:cs="Gill Sans"/>
                <w:color w:val="000000"/>
                <w:szCs w:val="22"/>
                <w:lang w:val="en-AU"/>
              </w:rPr>
              <w:t xml:space="preserve">3 main themes: </w:t>
            </w:r>
            <w:r w:rsidRPr="00076E76">
              <w:rPr>
                <w:rFonts w:ascii="Gill Sans" w:hAnsi="Gill Sans" w:cs="Gill Sans"/>
                <w:color w:val="000000"/>
                <w:szCs w:val="22"/>
              </w:rPr>
              <w:t>Internalised images about university; Expectations versus reality; and Developmental changes to self</w:t>
            </w:r>
          </w:p>
          <w:p w14:paraId="4A1983E0" w14:textId="77777777" w:rsidR="00F934ED" w:rsidRPr="00076E76" w:rsidRDefault="00F934ED" w:rsidP="00F934ED">
            <w:pPr>
              <w:pStyle w:val="ListParagraph"/>
              <w:numPr>
                <w:ilvl w:val="0"/>
                <w:numId w:val="17"/>
              </w:numPr>
              <w:rPr>
                <w:rFonts w:ascii="Gill Sans" w:hAnsi="Gill Sans" w:cs="Gill Sans"/>
                <w:color w:val="000000"/>
                <w:szCs w:val="22"/>
                <w:lang w:val="en-AU"/>
              </w:rPr>
            </w:pPr>
            <w:r w:rsidRPr="00076E76">
              <w:rPr>
                <w:rFonts w:ascii="Gill Sans" w:hAnsi="Gill Sans" w:cs="Gill Sans"/>
                <w:color w:val="000000"/>
                <w:szCs w:val="22"/>
              </w:rPr>
              <w:t xml:space="preserve">Internalised images about university = students held relational views of transition, based on “beliefs about university life and ‘normal’ students, rooted in their cultural surroundings, which were used to compare and interpret their own transition experiences” (p.143). Many viewed higher education as a ritual; part of “predicted life course, with participation in university being a cultural norm” (p.144). For some students, university = seen as elite/ superior [compared to A-levels??]. Students made comments about ‘normal’/ traditional students compared to ‘others’. There was tension between these two groups: “when the two groups were forced to mix through assigned group work, the perceived clash of study attitudes created frustration” (p.145) and in development of social relationships – active social life = perception of ‘normal’ experience. One student had clearly internalised views about university that she had been exposed to at school. Expectations = transition would be process rather than static experience. </w:t>
            </w:r>
          </w:p>
          <w:p w14:paraId="4FE501EA" w14:textId="77777777" w:rsidR="00F934ED" w:rsidRPr="00076E76" w:rsidRDefault="00F934ED" w:rsidP="00F934ED">
            <w:pPr>
              <w:pStyle w:val="ListParagraph"/>
              <w:numPr>
                <w:ilvl w:val="0"/>
                <w:numId w:val="17"/>
              </w:numPr>
              <w:rPr>
                <w:rFonts w:ascii="Gill Sans" w:hAnsi="Gill Sans" w:cs="Gill Sans"/>
                <w:color w:val="000000"/>
                <w:szCs w:val="22"/>
                <w:lang w:val="en-AU"/>
              </w:rPr>
            </w:pPr>
            <w:r w:rsidRPr="00076E76">
              <w:rPr>
                <w:rFonts w:ascii="Gill Sans" w:hAnsi="Gill Sans" w:cs="Gill Sans"/>
                <w:color w:val="000000"/>
                <w:szCs w:val="22"/>
                <w:lang w:val="en-AU"/>
              </w:rPr>
              <w:t>Discussion of development of self = shifts in personal identity “</w:t>
            </w:r>
            <w:r w:rsidRPr="00076E76">
              <w:rPr>
                <w:rFonts w:ascii="Gill Sans" w:hAnsi="Gill Sans" w:cs="Gill Sans"/>
              </w:rPr>
              <w:t>showing that transitions to university are progressive and not limited to the start of first year” (p.150)</w:t>
            </w:r>
          </w:p>
          <w:p w14:paraId="1F874A2C" w14:textId="77777777" w:rsidR="00F934ED" w:rsidRPr="00076E76" w:rsidRDefault="00F934ED" w:rsidP="00F934ED">
            <w:pPr>
              <w:pStyle w:val="ListParagraph"/>
              <w:numPr>
                <w:ilvl w:val="0"/>
                <w:numId w:val="17"/>
              </w:numPr>
              <w:rPr>
                <w:rFonts w:ascii="Gill Sans" w:hAnsi="Gill Sans" w:cs="Gill Sans"/>
                <w:color w:val="000000"/>
                <w:szCs w:val="22"/>
                <w:lang w:val="en-AU"/>
              </w:rPr>
            </w:pPr>
            <w:r w:rsidRPr="00076E76">
              <w:rPr>
                <w:rFonts w:ascii="Gill Sans" w:hAnsi="Gill Sans" w:cs="Gill Sans"/>
              </w:rPr>
              <w:t>Transition = unique and personal, with some common elements</w:t>
            </w:r>
          </w:p>
          <w:p w14:paraId="08D4206F" w14:textId="24353D7F" w:rsidR="00F934ED" w:rsidRPr="00076E76" w:rsidRDefault="00F934ED" w:rsidP="00F934ED">
            <w:pPr>
              <w:rPr>
                <w:rFonts w:ascii="Gill Sans" w:hAnsi="Gill Sans" w:cs="Gill Sans"/>
                <w:b/>
                <w:color w:val="000000"/>
                <w:szCs w:val="22"/>
                <w:lang w:val="en-AU"/>
              </w:rPr>
            </w:pPr>
            <w:r w:rsidRPr="00076E76">
              <w:rPr>
                <w:rFonts w:ascii="Gill Sans" w:hAnsi="Gill Sans" w:cs="Gill Sans"/>
                <w:b/>
                <w:color w:val="000000"/>
                <w:szCs w:val="22"/>
                <w:lang w:val="en-AU"/>
              </w:rPr>
              <w:t xml:space="preserve">Core argument: </w:t>
            </w:r>
            <w:r w:rsidRPr="00076E76">
              <w:rPr>
                <w:rFonts w:ascii="Gill Sans" w:hAnsi="Gill Sans" w:cs="Gill Sans"/>
                <w:color w:val="000000"/>
                <w:szCs w:val="22"/>
                <w:lang w:val="en-AU"/>
              </w:rPr>
              <w:t>Student-researchers are “</w:t>
            </w:r>
            <w:r w:rsidRPr="00076E76">
              <w:rPr>
                <w:rFonts w:ascii="Gill Sans" w:hAnsi="Gill Sans" w:cs="Gill Sans"/>
                <w:color w:val="000000"/>
                <w:szCs w:val="22"/>
              </w:rPr>
              <w:t xml:space="preserve">able to establish a unique relationship with participants – challenging traditional researcher-participant dynamics” (p.148). The challenges students face </w:t>
            </w:r>
            <w:proofErr w:type="gramStart"/>
            <w:r w:rsidRPr="00076E76">
              <w:rPr>
                <w:rFonts w:ascii="Gill Sans" w:hAnsi="Gill Sans" w:cs="Gill Sans"/>
                <w:color w:val="000000"/>
                <w:szCs w:val="22"/>
              </w:rPr>
              <w:t>are</w:t>
            </w:r>
            <w:proofErr w:type="gramEnd"/>
            <w:r w:rsidRPr="00076E76">
              <w:rPr>
                <w:rFonts w:ascii="Gill Sans" w:hAnsi="Gill Sans" w:cs="Gill Sans"/>
                <w:color w:val="000000"/>
                <w:szCs w:val="22"/>
              </w:rPr>
              <w:t xml:space="preserve"> not always negative: “Successfully negotiating transitions served particular functions by contributing to students’ personal development, indicating that hurdles experienced during transition may have unanticipated benefits” (p.150) – so resist trying to create smooth transitions and one-size-fits-all approaches.</w:t>
            </w:r>
          </w:p>
        </w:tc>
      </w:tr>
      <w:tr w:rsidR="00F934ED" w:rsidRPr="00076E76" w14:paraId="16412149" w14:textId="77777777" w:rsidTr="002E557C">
        <w:tc>
          <w:tcPr>
            <w:tcW w:w="5529" w:type="dxa"/>
          </w:tcPr>
          <w:p w14:paraId="1D7D71EF" w14:textId="6C38F0C6" w:rsidR="00F934ED" w:rsidRPr="00076E76" w:rsidRDefault="00F934ED" w:rsidP="00F934ED">
            <w:pPr>
              <w:rPr>
                <w:rFonts w:ascii="Gill Sans" w:hAnsi="Gill Sans" w:cs="Gill Sans"/>
                <w:szCs w:val="22"/>
              </w:rPr>
            </w:pPr>
            <w:r w:rsidRPr="00076E76">
              <w:rPr>
                <w:rFonts w:ascii="Gill Sans" w:hAnsi="Gill Sans" w:cs="Gill Sans"/>
                <w:szCs w:val="22"/>
              </w:rPr>
              <w:lastRenderedPageBreak/>
              <w:t xml:space="preserve">McCune, V.; Hounsell, J.; Christie, H.; Cree, V. &amp; Tett, L. (2010). </w:t>
            </w:r>
            <w:hyperlink r:id="rId90" w:history="1">
              <w:r w:rsidRPr="00574099">
                <w:rPr>
                  <w:rStyle w:val="Hyperlink"/>
                  <w:rFonts w:ascii="Gill Sans" w:hAnsi="Gill Sans" w:cs="Gill Sans"/>
                  <w:szCs w:val="22"/>
                </w:rPr>
                <w:t>Mature and younger students’ reasons for making the transition from further education into higher education</w:t>
              </w:r>
            </w:hyperlink>
            <w:r w:rsidRPr="00076E76">
              <w:rPr>
                <w:rFonts w:ascii="Gill Sans" w:hAnsi="Gill Sans" w:cs="Gill Sans"/>
                <w:szCs w:val="22"/>
              </w:rPr>
              <w:t xml:space="preserve">, </w:t>
            </w:r>
            <w:r w:rsidRPr="00076E76">
              <w:rPr>
                <w:rFonts w:ascii="Gill Sans" w:hAnsi="Gill Sans" w:cs="Gill Sans"/>
                <w:i/>
                <w:szCs w:val="22"/>
              </w:rPr>
              <w:t xml:space="preserve">Teaching in Higher Education, </w:t>
            </w:r>
            <w:r>
              <w:rPr>
                <w:rFonts w:ascii="Gill Sans" w:hAnsi="Gill Sans" w:cs="Gill Sans"/>
                <w:szCs w:val="22"/>
              </w:rPr>
              <w:t>15(6), 691–</w:t>
            </w:r>
            <w:r w:rsidRPr="00076E76">
              <w:rPr>
                <w:rFonts w:ascii="Gill Sans" w:hAnsi="Gill Sans" w:cs="Gill Sans"/>
                <w:szCs w:val="22"/>
              </w:rPr>
              <w:t>702.</w:t>
            </w:r>
          </w:p>
          <w:p w14:paraId="4645DA16" w14:textId="77777777" w:rsidR="00F934ED" w:rsidRPr="00076E76" w:rsidRDefault="00F934ED" w:rsidP="00F934ED">
            <w:pPr>
              <w:rPr>
                <w:rFonts w:ascii="Gill Sans" w:hAnsi="Gill Sans" w:cs="Gill Sans"/>
                <w:szCs w:val="22"/>
              </w:rPr>
            </w:pPr>
          </w:p>
          <w:p w14:paraId="00CC6420" w14:textId="77777777" w:rsidR="00F934ED" w:rsidRPr="00076E76" w:rsidRDefault="00F934ED" w:rsidP="00F934ED">
            <w:pPr>
              <w:rPr>
                <w:rFonts w:ascii="Gill Sans" w:hAnsi="Gill Sans" w:cs="Gill Sans"/>
                <w:szCs w:val="22"/>
              </w:rPr>
            </w:pPr>
            <w:r w:rsidRPr="00076E76">
              <w:rPr>
                <w:rFonts w:ascii="Gill Sans" w:hAnsi="Gill Sans" w:cs="Gill Sans"/>
                <w:szCs w:val="22"/>
              </w:rPr>
              <w:lastRenderedPageBreak/>
              <w:t>UK</w:t>
            </w:r>
          </w:p>
          <w:p w14:paraId="21FE84B1"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3C300B23" w14:textId="77777777" w:rsidR="00F934ED" w:rsidRPr="00076E76" w:rsidRDefault="00F934ED" w:rsidP="00F934ED">
            <w:pPr>
              <w:rPr>
                <w:rFonts w:ascii="Gill Sans" w:hAnsi="Gill Sans" w:cs="Gill Sans"/>
                <w:szCs w:val="22"/>
              </w:rPr>
            </w:pPr>
          </w:p>
          <w:p w14:paraId="1A280606" w14:textId="4ED162A4" w:rsidR="00F934ED" w:rsidRPr="00076E76" w:rsidRDefault="00F934ED" w:rsidP="00F934ED">
            <w:pPr>
              <w:rPr>
                <w:rFonts w:ascii="Gill Sans" w:hAnsi="Gill Sans" w:cs="Gill Sans"/>
                <w:szCs w:val="22"/>
              </w:rPr>
            </w:pPr>
            <w:r w:rsidRPr="00076E76">
              <w:rPr>
                <w:rFonts w:ascii="Gill Sans" w:hAnsi="Gill Sans" w:cs="Gill Sans"/>
                <w:szCs w:val="22"/>
              </w:rPr>
              <w:t xml:space="preserve">Keywords: </w:t>
            </w:r>
            <w:r w:rsidRPr="00076E76">
              <w:rPr>
                <w:rFonts w:ascii="Gill Sans" w:hAnsi="Gill Sans" w:cs="Gill Sans"/>
                <w:i/>
                <w:szCs w:val="22"/>
              </w:rPr>
              <w:t>higher education; further education; widening participation; transition; age</w:t>
            </w:r>
          </w:p>
          <w:p w14:paraId="29249A2F" w14:textId="77777777" w:rsidR="00F934ED" w:rsidRPr="00076E76" w:rsidRDefault="00F934ED" w:rsidP="00F934ED">
            <w:pPr>
              <w:rPr>
                <w:rFonts w:ascii="Gill Sans" w:hAnsi="Gill Sans" w:cs="Gill Sans"/>
                <w:szCs w:val="22"/>
              </w:rPr>
            </w:pPr>
          </w:p>
          <w:p w14:paraId="4031E2F1" w14:textId="161ACED5" w:rsidR="00F934ED" w:rsidRPr="00076E76" w:rsidRDefault="00F934ED" w:rsidP="00F934ED">
            <w:pPr>
              <w:rPr>
                <w:rFonts w:ascii="Gill Sans" w:hAnsi="Gill Sans" w:cs="Gill Sans"/>
                <w:szCs w:val="22"/>
              </w:rPr>
            </w:pPr>
          </w:p>
        </w:tc>
        <w:tc>
          <w:tcPr>
            <w:tcW w:w="10064" w:type="dxa"/>
          </w:tcPr>
          <w:p w14:paraId="0DE89D77" w14:textId="73EA70FA"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lastRenderedPageBreak/>
              <w:t xml:space="preserve">Context: </w:t>
            </w:r>
            <w:r w:rsidRPr="00076E76">
              <w:rPr>
                <w:rFonts w:ascii="Gill Sans" w:hAnsi="Gill Sans" w:cs="Gill Sans"/>
                <w:color w:val="000000"/>
                <w:szCs w:val="22"/>
                <w:lang w:val="en-AU"/>
              </w:rPr>
              <w:t>Explores the experiences of students transitioning from FE to ‘ancient’ university, comparing older and younger students’ reasons for studying at university – makes it clear that these are not homogenous groups. Works from supposition that “mature students are likely to have had more varied and fragmented learning careers shaping their relationships with higher education” (p.691). Based on data collected from a questionnaire conducted as part of ESRC-TLRP funded project.</w:t>
            </w:r>
          </w:p>
          <w:p w14:paraId="2FEDA723"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lastRenderedPageBreak/>
              <w:t xml:space="preserve">Aim: </w:t>
            </w:r>
            <w:r w:rsidRPr="00076E76">
              <w:rPr>
                <w:rFonts w:ascii="Gill Sans" w:hAnsi="Gill Sans" w:cs="Gill Sans"/>
                <w:color w:val="000000"/>
                <w:szCs w:val="22"/>
                <w:lang w:val="en-AU"/>
              </w:rPr>
              <w:t>To answer these RQs:</w:t>
            </w:r>
          </w:p>
          <w:p w14:paraId="0646A2E4" w14:textId="16888C64"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 xml:space="preserve">(1) What differences are there between the younger and older students’ scores on questionnaire items relating to their reasons for HE </w:t>
            </w:r>
            <w:proofErr w:type="gramStart"/>
            <w:r w:rsidRPr="00076E76">
              <w:rPr>
                <w:rFonts w:ascii="Gill Sans" w:hAnsi="Gill Sans" w:cs="Gill Sans"/>
                <w:color w:val="000000"/>
                <w:szCs w:val="22"/>
                <w:lang w:val="en-AU"/>
              </w:rPr>
              <w:t>study</w:t>
            </w:r>
            <w:proofErr w:type="gramEnd"/>
            <w:r w:rsidRPr="00076E76">
              <w:rPr>
                <w:rFonts w:ascii="Gill Sans" w:hAnsi="Gill Sans" w:cs="Gill Sans"/>
                <w:color w:val="000000"/>
                <w:szCs w:val="22"/>
                <w:lang w:val="en-AU"/>
              </w:rPr>
              <w:t>?</w:t>
            </w:r>
          </w:p>
          <w:p w14:paraId="5EE3AF29" w14:textId="03D4BA60"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 xml:space="preserve">(2) What similarities and differences are there between the younger and older students’ interview accounts of their reasons for HE </w:t>
            </w:r>
            <w:proofErr w:type="gramStart"/>
            <w:r w:rsidRPr="00076E76">
              <w:rPr>
                <w:rFonts w:ascii="Gill Sans" w:hAnsi="Gill Sans" w:cs="Gill Sans"/>
                <w:color w:val="000000"/>
                <w:szCs w:val="22"/>
                <w:lang w:val="en-AU"/>
              </w:rPr>
              <w:t>study</w:t>
            </w:r>
            <w:proofErr w:type="gramEnd"/>
            <w:r w:rsidRPr="00076E76">
              <w:rPr>
                <w:rFonts w:ascii="Gill Sans" w:hAnsi="Gill Sans" w:cs="Gill Sans"/>
                <w:color w:val="000000"/>
                <w:szCs w:val="22"/>
                <w:lang w:val="en-AU"/>
              </w:rPr>
              <w:t>?</w:t>
            </w:r>
          </w:p>
          <w:p w14:paraId="4963AEC9" w14:textId="34DDA8E2"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(3) Does the notion of ‘learning trajectories’ provide an effective theoretical framework for making sense of the meanings the students attribute to their studies? (p.693)</w:t>
            </w:r>
          </w:p>
          <w:p w14:paraId="4B31B970" w14:textId="7587A00C"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Theoretical frame: </w:t>
            </w:r>
            <w:r w:rsidRPr="00076E76">
              <w:rPr>
                <w:rFonts w:ascii="Gill Sans" w:hAnsi="Gill Sans" w:cs="Gill Sans"/>
                <w:color w:val="000000"/>
                <w:szCs w:val="22"/>
                <w:lang w:val="en-AU"/>
              </w:rPr>
              <w:t>Wenger’s notion of ‘learning trajectories’: a “learner’s sense of how they are placed in relation to a particular community of practice and how they see their future in relation to that community” (p.692)</w:t>
            </w:r>
          </w:p>
          <w:p w14:paraId="4DA3E1B7" w14:textId="387B69D5"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 xml:space="preserve">Mixed methods and longitudinal (4-year) project: quantitative data collected via questionnaire (learning orientations; </w:t>
            </w:r>
            <w:proofErr w:type="spellStart"/>
            <w:r w:rsidRPr="00076E76">
              <w:rPr>
                <w:rFonts w:ascii="Gill Sans" w:hAnsi="Gill Sans" w:cs="Gill Sans"/>
                <w:color w:val="000000"/>
                <w:szCs w:val="22"/>
                <w:lang w:val="en-AU"/>
              </w:rPr>
              <w:t>likert</w:t>
            </w:r>
            <w:proofErr w:type="spellEnd"/>
            <w:r w:rsidRPr="00076E76">
              <w:rPr>
                <w:rFonts w:ascii="Gill Sans" w:hAnsi="Gill Sans" w:cs="Gill Sans"/>
                <w:color w:val="000000"/>
                <w:szCs w:val="22"/>
                <w:lang w:val="en-AU"/>
              </w:rPr>
              <w:t xml:space="preserve"> scale); qualitative data collected through semi-structured interviews (students’ perceptions of their participation). Participants = students who entered university with HNC/ HND qualifications (n=45), split into 3 age groups: 17-20, 21-30 and 31 or older (all students over 30 = female). Analysis of quant data = Spearman’s rank correlations</w:t>
            </w:r>
          </w:p>
          <w:p w14:paraId="36EDE40A" w14:textId="77777777" w:rsidR="00F934ED" w:rsidRPr="00076E76" w:rsidRDefault="00F934ED" w:rsidP="00F934ED">
            <w:pPr>
              <w:rPr>
                <w:rFonts w:ascii="Gill Sans" w:hAnsi="Gill Sans" w:cs="Gill Sans"/>
                <w:b/>
                <w:color w:val="000000"/>
                <w:szCs w:val="22"/>
                <w:lang w:val="en-AU"/>
              </w:rPr>
            </w:pPr>
            <w:r w:rsidRPr="00076E76">
              <w:rPr>
                <w:rFonts w:ascii="Gill Sans" w:hAnsi="Gill Sans" w:cs="Gill Sans"/>
                <w:b/>
                <w:color w:val="000000"/>
                <w:szCs w:val="22"/>
                <w:lang w:val="en-AU"/>
              </w:rPr>
              <w:t xml:space="preserve">Findings: </w:t>
            </w:r>
          </w:p>
          <w:p w14:paraId="4A326B9F"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i/>
                <w:color w:val="000000"/>
                <w:szCs w:val="22"/>
                <w:lang w:val="en-AU"/>
              </w:rPr>
              <w:t>Questionnaire</w:t>
            </w:r>
            <w:r w:rsidRPr="00076E76">
              <w:rPr>
                <w:rFonts w:ascii="Gill Sans" w:hAnsi="Gill Sans" w:cs="Gill Sans"/>
                <w:color w:val="000000"/>
                <w:szCs w:val="22"/>
                <w:lang w:val="en-AU"/>
              </w:rPr>
              <w:t>: almost all students in each age group = keen to gain knowledge/ skills useful for career; less mainly interested in getting qualification. More than 80% of each group = hoping to become more independent and self-confident. Only youngest group strongly interested in social activities. Older group = most interested in making a difference in the world. Significant correlations: age + proving ability; age + wanting to study subject in-depth; age + progression from doing well in HN studies; age – (negatively correlated) with developing social life. No analysis of gender correlations possible because low number of male participants.</w:t>
            </w:r>
          </w:p>
          <w:p w14:paraId="2483CF58" w14:textId="3BFD3BDC" w:rsidR="00F934ED" w:rsidRPr="00076E76" w:rsidRDefault="00F934ED" w:rsidP="00F934ED">
            <w:pPr>
              <w:rPr>
                <w:rFonts w:ascii="Gill Sans" w:hAnsi="Gill Sans" w:cs="Gill Sans"/>
                <w:b/>
                <w:color w:val="000000"/>
                <w:szCs w:val="22"/>
                <w:lang w:val="en-AU"/>
              </w:rPr>
            </w:pPr>
            <w:r w:rsidRPr="00076E76">
              <w:rPr>
                <w:rFonts w:ascii="Gill Sans" w:hAnsi="Gill Sans" w:cs="Gill Sans"/>
                <w:i/>
                <w:color w:val="000000"/>
                <w:szCs w:val="22"/>
                <w:lang w:val="en-AU"/>
              </w:rPr>
              <w:t>Interviews</w:t>
            </w:r>
            <w:r w:rsidRPr="00076E76">
              <w:rPr>
                <w:rFonts w:ascii="Gill Sans" w:hAnsi="Gill Sans" w:cs="Gill Sans"/>
                <w:b/>
                <w:color w:val="000000"/>
                <w:szCs w:val="22"/>
                <w:lang w:val="en-AU"/>
              </w:rPr>
              <w:t>: Older students</w:t>
            </w:r>
            <w:r w:rsidRPr="00076E76">
              <w:rPr>
                <w:rFonts w:ascii="Gill Sans" w:hAnsi="Gill Sans" w:cs="Gill Sans"/>
                <w:color w:val="000000"/>
                <w:szCs w:val="22"/>
                <w:lang w:val="en-AU"/>
              </w:rPr>
              <w:t xml:space="preserve"> = mostly doing vocationally-oriented courses: “Students in this group spoke of a rich sense of the relationship between their studies and their trajectories in relation to the communities of practice in which they had worked and in which they often planned to continue working once their studies were complete” (p.696) – but not all had clear ideas for future. Many of older group = had critical turning points in own life (</w:t>
            </w:r>
            <w:proofErr w:type="spellStart"/>
            <w:r w:rsidRPr="00076E76">
              <w:rPr>
                <w:rFonts w:ascii="Gill Sans" w:hAnsi="Gill Sans" w:cs="Gill Sans"/>
                <w:color w:val="000000"/>
                <w:szCs w:val="22"/>
                <w:lang w:val="en-AU"/>
              </w:rPr>
              <w:t>e.g</w:t>
            </w:r>
            <w:proofErr w:type="spellEnd"/>
            <w:r w:rsidRPr="00076E76">
              <w:rPr>
                <w:rFonts w:ascii="Gill Sans" w:hAnsi="Gill Sans" w:cs="Gill Sans"/>
                <w:color w:val="000000"/>
                <w:szCs w:val="22"/>
                <w:lang w:val="en-AU"/>
              </w:rPr>
              <w:t xml:space="preserve"> divorce, death in family) that provided impetus for higher education study. </w:t>
            </w:r>
            <w:r w:rsidRPr="00076E76">
              <w:rPr>
                <w:rFonts w:ascii="Gill Sans" w:hAnsi="Gill Sans" w:cs="Gill Sans"/>
                <w:b/>
                <w:color w:val="000000"/>
                <w:szCs w:val="22"/>
                <w:lang w:val="en-AU"/>
              </w:rPr>
              <w:t>Mid-age</w:t>
            </w:r>
            <w:r w:rsidRPr="00076E76">
              <w:rPr>
                <w:rFonts w:ascii="Gill Sans" w:hAnsi="Gill Sans" w:cs="Gill Sans"/>
                <w:color w:val="000000"/>
                <w:szCs w:val="22"/>
                <w:lang w:val="en-AU"/>
              </w:rPr>
              <w:t xml:space="preserve"> group: career = often cited as driving motivation but fewer already working in field of study. This group gave more social reasons that oldest group (meeting new people, meeting people in same field); some talked of personal development and interest in subject. </w:t>
            </w:r>
            <w:r w:rsidRPr="00076E76">
              <w:rPr>
                <w:rFonts w:ascii="Gill Sans" w:hAnsi="Gill Sans" w:cs="Gill Sans"/>
                <w:b/>
                <w:color w:val="000000"/>
                <w:szCs w:val="22"/>
                <w:lang w:val="en-AU"/>
              </w:rPr>
              <w:t>Youngest group</w:t>
            </w:r>
            <w:r w:rsidRPr="00076E76">
              <w:rPr>
                <w:rFonts w:ascii="Gill Sans" w:hAnsi="Gill Sans" w:cs="Gill Sans"/>
                <w:color w:val="000000"/>
                <w:szCs w:val="22"/>
                <w:lang w:val="en-AU"/>
              </w:rPr>
              <w:t xml:space="preserve">: driven by desire to develop careers, but responses = generally less detailed, for some college had helped to spark interest in subject. Some talked </w:t>
            </w:r>
            <w:r w:rsidRPr="00076E76">
              <w:rPr>
                <w:rFonts w:ascii="Gill Sans" w:hAnsi="Gill Sans" w:cs="Gill Sans"/>
                <w:color w:val="000000"/>
                <w:szCs w:val="22"/>
                <w:lang w:val="en-AU"/>
              </w:rPr>
              <w:lastRenderedPageBreak/>
              <w:t>about wanting to widen horizons by meeting broader group of people/ expanding career opportunities. This group = more likely to see socialising as key part of university</w:t>
            </w:r>
          </w:p>
          <w:p w14:paraId="54DBFB36" w14:textId="4C52A4A6"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Core argument: </w:t>
            </w:r>
            <w:r w:rsidRPr="00076E76">
              <w:rPr>
                <w:rFonts w:ascii="Gill Sans" w:hAnsi="Gill Sans" w:cs="Gill Sans"/>
                <w:color w:val="000000"/>
                <w:szCs w:val="22"/>
                <w:lang w:val="en-AU"/>
              </w:rPr>
              <w:t>Value in working with Wenger’s notion of learning trajectories to make sense of differing motivations according to age and experience; offers focus on mature students; many reasons for studying = age-dependent.</w:t>
            </w:r>
          </w:p>
        </w:tc>
      </w:tr>
      <w:tr w:rsidR="00F934ED" w:rsidRPr="00076E76" w14:paraId="08FEC066" w14:textId="77777777" w:rsidTr="002E557C">
        <w:tc>
          <w:tcPr>
            <w:tcW w:w="5529" w:type="dxa"/>
          </w:tcPr>
          <w:p w14:paraId="79812AD6" w14:textId="1B63CA62" w:rsidR="00F934ED" w:rsidRPr="00076E76" w:rsidRDefault="00F934ED" w:rsidP="00F934ED">
            <w:pPr>
              <w:rPr>
                <w:rFonts w:ascii="Gill Sans" w:hAnsi="Gill Sans" w:cs="Gill Sans"/>
                <w:szCs w:val="22"/>
              </w:rPr>
            </w:pPr>
            <w:r w:rsidRPr="00076E76">
              <w:rPr>
                <w:rFonts w:ascii="Gill Sans" w:hAnsi="Gill Sans" w:cs="Gill Sans"/>
                <w:szCs w:val="22"/>
              </w:rPr>
              <w:lastRenderedPageBreak/>
              <w:t xml:space="preserve">McKendry, S.; Wright, M.; &amp; Stevenson, K. (2014). </w:t>
            </w:r>
            <w:hyperlink r:id="rId91" w:history="1">
              <w:r w:rsidRPr="006E0E00">
                <w:rPr>
                  <w:rStyle w:val="Hyperlink"/>
                  <w:rFonts w:ascii="Gill Sans" w:hAnsi="Gill Sans" w:cs="Gill Sans"/>
                  <w:szCs w:val="22"/>
                </w:rPr>
                <w:t>Why here and why stay? Students’ voices on the retention strategies of a widening participation university</w:t>
              </w:r>
            </w:hyperlink>
            <w:r w:rsidRPr="00076E76">
              <w:rPr>
                <w:rFonts w:ascii="Gill Sans" w:hAnsi="Gill Sans" w:cs="Gill Sans"/>
                <w:szCs w:val="22"/>
              </w:rPr>
              <w:t xml:space="preserve">, </w:t>
            </w:r>
            <w:r w:rsidRPr="00076E76">
              <w:rPr>
                <w:rFonts w:ascii="Gill Sans" w:hAnsi="Gill Sans" w:cs="Gill Sans"/>
                <w:i/>
                <w:szCs w:val="22"/>
              </w:rPr>
              <w:t>Nurse Education Today</w:t>
            </w:r>
            <w:r>
              <w:rPr>
                <w:rFonts w:ascii="Gill Sans" w:hAnsi="Gill Sans" w:cs="Gill Sans"/>
                <w:szCs w:val="22"/>
              </w:rPr>
              <w:t>, 34,</w:t>
            </w:r>
            <w:r w:rsidRPr="00076E76">
              <w:rPr>
                <w:rFonts w:ascii="Gill Sans" w:hAnsi="Gill Sans" w:cs="Gill Sans"/>
                <w:szCs w:val="22"/>
              </w:rPr>
              <w:t xml:space="preserve"> 872</w:t>
            </w:r>
            <w:r>
              <w:rPr>
                <w:rFonts w:ascii="Gill Sans" w:hAnsi="Gill Sans" w:cs="Gill Sans"/>
                <w:szCs w:val="22"/>
              </w:rPr>
              <w:t>–</w:t>
            </w:r>
            <w:r w:rsidRPr="00076E76">
              <w:rPr>
                <w:rFonts w:ascii="Gill Sans" w:hAnsi="Gill Sans" w:cs="Gill Sans"/>
                <w:szCs w:val="22"/>
              </w:rPr>
              <w:t>877.</w:t>
            </w:r>
          </w:p>
          <w:p w14:paraId="6B55548B" w14:textId="77777777" w:rsidR="00F934ED" w:rsidRPr="00076E76" w:rsidRDefault="00F934ED" w:rsidP="00F934ED">
            <w:pPr>
              <w:rPr>
                <w:rFonts w:ascii="Gill Sans" w:hAnsi="Gill Sans" w:cs="Gill Sans"/>
                <w:szCs w:val="22"/>
              </w:rPr>
            </w:pPr>
          </w:p>
          <w:p w14:paraId="43993BA0" w14:textId="77777777" w:rsidR="00F934ED" w:rsidRPr="00076E76" w:rsidRDefault="00F934ED" w:rsidP="00F934ED">
            <w:pPr>
              <w:rPr>
                <w:rFonts w:ascii="Gill Sans" w:hAnsi="Gill Sans" w:cs="Gill Sans"/>
                <w:szCs w:val="22"/>
              </w:rPr>
            </w:pPr>
            <w:r w:rsidRPr="00076E76">
              <w:rPr>
                <w:rFonts w:ascii="Gill Sans" w:hAnsi="Gill Sans" w:cs="Gill Sans"/>
                <w:szCs w:val="22"/>
              </w:rPr>
              <w:t>UK</w:t>
            </w:r>
          </w:p>
          <w:p w14:paraId="3C3535A5"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68914EF3" w14:textId="77777777" w:rsidR="00F934ED" w:rsidRPr="00076E76" w:rsidRDefault="00F934ED" w:rsidP="00F934ED">
            <w:pPr>
              <w:rPr>
                <w:rFonts w:ascii="Gill Sans" w:hAnsi="Gill Sans" w:cs="Gill Sans"/>
                <w:szCs w:val="22"/>
              </w:rPr>
            </w:pPr>
          </w:p>
          <w:p w14:paraId="3BC9E8ED" w14:textId="77777777" w:rsidR="00F934ED" w:rsidRPr="00076E76" w:rsidRDefault="00F934ED" w:rsidP="00F934ED">
            <w:pPr>
              <w:rPr>
                <w:rFonts w:ascii="Gill Sans" w:hAnsi="Gill Sans" w:cs="Gill Sans"/>
                <w:i/>
                <w:szCs w:val="22"/>
              </w:rPr>
            </w:pPr>
            <w:r w:rsidRPr="00076E76">
              <w:rPr>
                <w:rFonts w:ascii="Gill Sans" w:hAnsi="Gill Sans" w:cs="Gill Sans"/>
                <w:szCs w:val="22"/>
              </w:rPr>
              <w:t xml:space="preserve">Keywords: </w:t>
            </w:r>
            <w:r w:rsidRPr="00076E76">
              <w:rPr>
                <w:rFonts w:ascii="Gill Sans" w:hAnsi="Gill Sans" w:cs="Gill Sans"/>
                <w:i/>
                <w:szCs w:val="22"/>
              </w:rPr>
              <w:t>Retention, Support, Expectations, Identity</w:t>
            </w:r>
          </w:p>
          <w:p w14:paraId="29AB81FA" w14:textId="0C9620CD" w:rsidR="00F934ED" w:rsidRPr="00076E76" w:rsidRDefault="00F934ED" w:rsidP="00F934ED">
            <w:pPr>
              <w:rPr>
                <w:rFonts w:ascii="Gill Sans" w:hAnsi="Gill Sans" w:cs="Gill Sans"/>
                <w:b/>
                <w:szCs w:val="22"/>
              </w:rPr>
            </w:pPr>
          </w:p>
        </w:tc>
        <w:tc>
          <w:tcPr>
            <w:tcW w:w="10064" w:type="dxa"/>
          </w:tcPr>
          <w:p w14:paraId="639DAA50"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sidRPr="00076E76">
              <w:rPr>
                <w:rFonts w:ascii="Gill Sans" w:hAnsi="Gill Sans" w:cs="Gill Sans"/>
                <w:color w:val="000000"/>
                <w:szCs w:val="22"/>
                <w:lang w:val="en-AU"/>
              </w:rPr>
              <w:t>Attrition/ retention of nursing and midwifery students. Attrition is particular concern because of impact on future workforce of nurses and midwives. Cites Tinto’s work on retention (1975) and other work (e.g. Liz Thomas’ work). Examines literature relating to experiences of students who are educationally disadvantage</w:t>
            </w:r>
          </w:p>
          <w:p w14:paraId="329BA2DE" w14:textId="77777777" w:rsidR="00F934ED" w:rsidRPr="00076E76" w:rsidRDefault="00F934ED" w:rsidP="00F934ED">
            <w:pPr>
              <w:rPr>
                <w:rFonts w:ascii="Gill Sans" w:hAnsi="Gill Sans" w:cs="Gill Sans"/>
                <w:color w:val="000000"/>
                <w:szCs w:val="22"/>
              </w:rPr>
            </w:pPr>
            <w:r w:rsidRPr="00076E76">
              <w:rPr>
                <w:rFonts w:ascii="Gill Sans" w:hAnsi="Gill Sans" w:cs="Gill Sans"/>
                <w:b/>
                <w:color w:val="000000"/>
                <w:szCs w:val="22"/>
                <w:lang w:val="en-AU"/>
              </w:rPr>
              <w:t xml:space="preserve">Aim: </w:t>
            </w:r>
            <w:r w:rsidRPr="00076E76">
              <w:rPr>
                <w:rFonts w:ascii="Gill Sans" w:hAnsi="Gill Sans" w:cs="Gill Sans"/>
                <w:color w:val="000000"/>
                <w:szCs w:val="22"/>
                <w:lang w:val="en-AU"/>
              </w:rPr>
              <w:t>“</w:t>
            </w:r>
            <w:r w:rsidRPr="00076E76">
              <w:rPr>
                <w:rFonts w:ascii="Gill Sans" w:hAnsi="Gill Sans" w:cs="Gill Sans"/>
                <w:color w:val="000000"/>
                <w:szCs w:val="22"/>
              </w:rPr>
              <w:t xml:space="preserve">to explore student motivations, experiences and support requirements during their first year to determine the efficacy of institutional retention initiatives” (abstract). Other aims = </w:t>
            </w:r>
          </w:p>
          <w:p w14:paraId="17C3F664" w14:textId="7777777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rPr>
              <w:t>“Collect reflections from students about their motivations for joining the nursing and midwifery professions.</w:t>
            </w:r>
          </w:p>
          <w:p w14:paraId="53D028B4" w14:textId="7777777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rPr>
              <w:t>Determine what type of support available in first year had helped make nursing and midwifery students feel part of their programme</w:t>
            </w:r>
          </w:p>
          <w:p w14:paraId="73B65B14"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rPr>
              <w:t>Agree on improvements that could be made to support students during the challenges faced in their first year of university study” (p.872-3)</w:t>
            </w:r>
          </w:p>
          <w:p w14:paraId="35D0F85D" w14:textId="77777777" w:rsidR="00F934ED" w:rsidRPr="00076E76" w:rsidRDefault="00F934ED" w:rsidP="00F934ED">
            <w:pPr>
              <w:rPr>
                <w:rFonts w:ascii="Gill Sans" w:hAnsi="Gill Sans" w:cs="Gill Sans"/>
                <w:b/>
                <w:color w:val="000000"/>
                <w:szCs w:val="22"/>
                <w:lang w:val="en-AU"/>
              </w:rPr>
            </w:pPr>
            <w:r w:rsidRPr="00076E76">
              <w:rPr>
                <w:rFonts w:ascii="Gill Sans" w:hAnsi="Gill Sans" w:cs="Gill Sans"/>
                <w:b/>
                <w:color w:val="000000"/>
                <w:szCs w:val="22"/>
                <w:lang w:val="en-AU"/>
              </w:rPr>
              <w:t>Theoretical frame:</w:t>
            </w:r>
          </w:p>
          <w:p w14:paraId="2CD4E96B"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Qualitative study in large Scottish university with ‘a reputation for widening participation’ (73% = FinF; 25% of students in School of Health and Life Sciences = experience multiple deprivations). Focus groups conducted to ‘capture authentic student voice’ (p.873). Pilot focus groups (n=57) with Year 1 students in May 2011. Data collected in two phases: Sep 2011 (n=44; 6 focus groups) and Jan 2012 (n=22; 3 focus groups). 42 participants = female. Analysis = grounded theory (thematic analysis)</w:t>
            </w:r>
          </w:p>
          <w:p w14:paraId="7F0B7B58"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Findings: </w:t>
            </w:r>
          </w:p>
          <w:p w14:paraId="7687D820"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Phase 1 focus group data: motivation for enrolling = largely due to reputation of course (reputation passed via friends, family, college staff + observations from open days) + keen to get clinical experience/ placement.</w:t>
            </w:r>
          </w:p>
          <w:p w14:paraId="547B38E3"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Biggest challenges with transition = due to logistical issues – accessing VLE/ timetables. Most negative expectations = not met.</w:t>
            </w:r>
          </w:p>
          <w:p w14:paraId="164240A6"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Role models = important for inspiring and motivating students – particularly lecturing staff and other students</w:t>
            </w:r>
          </w:p>
          <w:p w14:paraId="06B6CE2A"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Phase 2 focus group data: Expectations = largely met (positive) or unmet (negative)</w:t>
            </w:r>
          </w:p>
          <w:p w14:paraId="2E0FDB07"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Juggling multiple/ competing demands = challenging</w:t>
            </w:r>
          </w:p>
          <w:p w14:paraId="3152771B"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 xml:space="preserve">Academic staff = still significant for providing support. </w:t>
            </w:r>
          </w:p>
          <w:p w14:paraId="33A62C50" w14:textId="43B01F4D" w:rsidR="00F934ED" w:rsidRPr="00076E76" w:rsidRDefault="00F934ED" w:rsidP="00F934ED">
            <w:pPr>
              <w:rPr>
                <w:rFonts w:ascii="Gill Sans" w:hAnsi="Gill Sans" w:cs="Gill Sans"/>
                <w:b/>
                <w:color w:val="000000"/>
                <w:szCs w:val="22"/>
                <w:lang w:val="en-AU"/>
              </w:rPr>
            </w:pPr>
            <w:r w:rsidRPr="00076E76">
              <w:rPr>
                <w:rFonts w:ascii="Gill Sans" w:hAnsi="Gill Sans" w:cs="Gill Sans"/>
                <w:color w:val="000000"/>
                <w:szCs w:val="22"/>
                <w:lang w:val="en-AU"/>
              </w:rPr>
              <w:t>Independent learning = challenging</w:t>
            </w:r>
            <w:r w:rsidRPr="00076E76">
              <w:rPr>
                <w:rFonts w:ascii="Gill Sans" w:hAnsi="Gill Sans" w:cs="Gill Sans"/>
                <w:b/>
                <w:color w:val="000000"/>
                <w:szCs w:val="22"/>
                <w:lang w:val="en-AU"/>
              </w:rPr>
              <w:br/>
            </w:r>
            <w:r w:rsidRPr="00076E76">
              <w:rPr>
                <w:rFonts w:ascii="Gill Sans" w:hAnsi="Gill Sans" w:cs="Gill Sans"/>
                <w:b/>
                <w:color w:val="000000"/>
                <w:szCs w:val="22"/>
                <w:lang w:val="en-AU"/>
              </w:rPr>
              <w:lastRenderedPageBreak/>
              <w:t xml:space="preserve">Core argument: </w:t>
            </w:r>
            <w:r w:rsidRPr="00076E76">
              <w:rPr>
                <w:rFonts w:ascii="Gill Sans" w:hAnsi="Gill Sans" w:cs="Gill Sans"/>
                <w:color w:val="000000"/>
                <w:szCs w:val="22"/>
                <w:lang w:val="en-AU"/>
              </w:rPr>
              <w:t>Three major sources of support: role models (inspiration for profession), staff and peers. Students’ expectations = significant for retention</w:t>
            </w:r>
          </w:p>
        </w:tc>
      </w:tr>
      <w:tr w:rsidR="00F934ED" w:rsidRPr="00076E76" w14:paraId="40E85A3D" w14:textId="77777777" w:rsidTr="00E15D5A">
        <w:tc>
          <w:tcPr>
            <w:tcW w:w="5529" w:type="dxa"/>
            <w:shd w:val="clear" w:color="auto" w:fill="auto"/>
          </w:tcPr>
          <w:p w14:paraId="6418CE09" w14:textId="78DA9032" w:rsidR="00F934ED" w:rsidRPr="00076E76" w:rsidRDefault="00F934ED" w:rsidP="00F934ED">
            <w:pPr>
              <w:rPr>
                <w:rFonts w:ascii="Gill Sans" w:hAnsi="Gill Sans" w:cs="Gill Sans"/>
                <w:szCs w:val="22"/>
              </w:rPr>
            </w:pPr>
            <w:r w:rsidRPr="00076E76">
              <w:rPr>
                <w:rFonts w:ascii="Gill Sans" w:hAnsi="Gill Sans" w:cs="Gill Sans"/>
                <w:szCs w:val="22"/>
              </w:rPr>
              <w:lastRenderedPageBreak/>
              <w:t xml:space="preserve">McMillan, W. (2013). </w:t>
            </w:r>
            <w:hyperlink r:id="rId92" w:history="1">
              <w:r w:rsidRPr="006E0E00">
                <w:rPr>
                  <w:rStyle w:val="Hyperlink"/>
                  <w:rFonts w:ascii="Gill Sans" w:hAnsi="Gill Sans" w:cs="Gill Sans"/>
                  <w:szCs w:val="22"/>
                </w:rPr>
                <w:t>Transition to university: the role played by emotion</w:t>
              </w:r>
            </w:hyperlink>
            <w:r w:rsidRPr="00076E76">
              <w:rPr>
                <w:rFonts w:ascii="Gill Sans" w:hAnsi="Gill Sans" w:cs="Gill Sans"/>
                <w:szCs w:val="22"/>
              </w:rPr>
              <w:t xml:space="preserve">, </w:t>
            </w:r>
            <w:r w:rsidRPr="00076E76">
              <w:rPr>
                <w:rFonts w:ascii="Gill Sans" w:hAnsi="Gill Sans" w:cs="Gill Sans"/>
                <w:i/>
                <w:szCs w:val="22"/>
              </w:rPr>
              <w:t xml:space="preserve">European Journal of Dental Education, </w:t>
            </w:r>
            <w:r>
              <w:rPr>
                <w:rFonts w:ascii="Gill Sans" w:hAnsi="Gill Sans" w:cs="Gill Sans"/>
                <w:szCs w:val="22"/>
              </w:rPr>
              <w:t>17(2), 169–1</w:t>
            </w:r>
            <w:r w:rsidRPr="00076E76">
              <w:rPr>
                <w:rFonts w:ascii="Gill Sans" w:hAnsi="Gill Sans" w:cs="Gill Sans"/>
                <w:szCs w:val="22"/>
              </w:rPr>
              <w:t>76.</w:t>
            </w:r>
          </w:p>
          <w:p w14:paraId="26553216" w14:textId="77777777" w:rsidR="00F934ED" w:rsidRPr="00076E76" w:rsidRDefault="00F934ED" w:rsidP="00F934ED">
            <w:pPr>
              <w:rPr>
                <w:rFonts w:ascii="Gill Sans" w:hAnsi="Gill Sans" w:cs="Gill Sans"/>
                <w:szCs w:val="22"/>
              </w:rPr>
            </w:pPr>
          </w:p>
          <w:p w14:paraId="3327C751" w14:textId="77777777" w:rsidR="00F934ED" w:rsidRPr="00076E76" w:rsidRDefault="00F934ED" w:rsidP="00F934ED">
            <w:pPr>
              <w:rPr>
                <w:rFonts w:ascii="Gill Sans" w:hAnsi="Gill Sans" w:cs="Gill Sans"/>
                <w:szCs w:val="22"/>
              </w:rPr>
            </w:pPr>
            <w:r w:rsidRPr="00076E76">
              <w:rPr>
                <w:rFonts w:ascii="Gill Sans" w:hAnsi="Gill Sans" w:cs="Gill Sans"/>
                <w:szCs w:val="22"/>
              </w:rPr>
              <w:t>SA</w:t>
            </w:r>
          </w:p>
          <w:p w14:paraId="6057CF62"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181632EA" w14:textId="77777777" w:rsidR="00F934ED" w:rsidRPr="00076E76" w:rsidRDefault="00F934ED" w:rsidP="00F934ED">
            <w:pPr>
              <w:rPr>
                <w:rFonts w:ascii="Gill Sans" w:hAnsi="Gill Sans" w:cs="Gill Sans"/>
                <w:szCs w:val="22"/>
              </w:rPr>
            </w:pPr>
          </w:p>
          <w:p w14:paraId="2F587B4A" w14:textId="4AF0B905" w:rsidR="00F934ED" w:rsidRPr="00076E76" w:rsidRDefault="00F934ED" w:rsidP="00F934ED">
            <w:pPr>
              <w:rPr>
                <w:rFonts w:ascii="Gill Sans" w:hAnsi="Gill Sans" w:cs="Gill Sans"/>
                <w:szCs w:val="22"/>
              </w:rPr>
            </w:pPr>
            <w:r w:rsidRPr="00076E76">
              <w:rPr>
                <w:rFonts w:ascii="Gill Sans" w:hAnsi="Gill Sans" w:cs="Gill Sans"/>
                <w:szCs w:val="22"/>
              </w:rPr>
              <w:t xml:space="preserve">Keywords: </w:t>
            </w:r>
            <w:r w:rsidRPr="00076E76">
              <w:rPr>
                <w:rFonts w:ascii="Gill Sans" w:hAnsi="Gill Sans" w:cs="Gill Sans"/>
                <w:i/>
                <w:szCs w:val="22"/>
              </w:rPr>
              <w:t>undergraduate students; school to university</w:t>
            </w:r>
            <w:r>
              <w:rPr>
                <w:rFonts w:ascii="Gill Sans" w:hAnsi="Gill Sans" w:cs="Gill Sans"/>
                <w:i/>
                <w:szCs w:val="22"/>
              </w:rPr>
              <w:t xml:space="preserve"> </w:t>
            </w:r>
            <w:r w:rsidRPr="00076E76">
              <w:rPr>
                <w:rFonts w:ascii="Gill Sans" w:hAnsi="Gill Sans" w:cs="Gill Sans"/>
                <w:i/>
                <w:szCs w:val="22"/>
              </w:rPr>
              <w:t>transition; emotions; professional identity development; peer mentoring.</w:t>
            </w:r>
          </w:p>
        </w:tc>
        <w:tc>
          <w:tcPr>
            <w:tcW w:w="10064" w:type="dxa"/>
          </w:tcPr>
          <w:p w14:paraId="42012872" w14:textId="59107889"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sidRPr="00076E76">
              <w:rPr>
                <w:rFonts w:ascii="Gill Sans" w:hAnsi="Gill Sans" w:cs="Gill Sans"/>
                <w:color w:val="000000"/>
                <w:szCs w:val="22"/>
                <w:lang w:val="en-AU"/>
              </w:rPr>
              <w:t>First year dentistry course in South African university. Argues that transition to university = generally challenging for most students. Takes a view of transition as transformative for personhood/identity – transition is not a purely cognitive change; it has emotional dimensions: “</w:t>
            </w:r>
            <w:r w:rsidRPr="00076E76">
              <w:rPr>
                <w:rFonts w:ascii="Gill Sans" w:hAnsi="Gill Sans" w:cs="Gill Sans"/>
                <w:color w:val="000000"/>
                <w:szCs w:val="22"/>
              </w:rPr>
              <w:t>The new learning context, and transition into it, is integral to successful learning, and emotion is implicated in this process”</w:t>
            </w:r>
            <w:r w:rsidRPr="00076E76">
              <w:rPr>
                <w:rFonts w:ascii="Gill Sans" w:hAnsi="Gill Sans" w:cs="Gill Sans"/>
                <w:color w:val="000000"/>
                <w:szCs w:val="22"/>
                <w:lang w:val="en-AU"/>
              </w:rPr>
              <w:t xml:space="preserve"> (p.169; positive = exhilaration, anticipation, excitement; negative = anxiety, vulnerability, insecurity) </w:t>
            </w:r>
          </w:p>
          <w:p w14:paraId="0808C612" w14:textId="79BE0E38"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sidRPr="00076E76">
              <w:rPr>
                <w:rFonts w:ascii="Gill Sans" w:hAnsi="Gill Sans" w:cs="Gill Sans"/>
                <w:color w:val="000000"/>
                <w:szCs w:val="22"/>
                <w:lang w:val="en-AU"/>
              </w:rPr>
              <w:t>To “</w:t>
            </w:r>
            <w:r w:rsidRPr="00076E76">
              <w:rPr>
                <w:rFonts w:ascii="Gill Sans" w:hAnsi="Gill Sans" w:cs="Gill Sans"/>
                <w:color w:val="000000"/>
                <w:szCs w:val="22"/>
              </w:rPr>
              <w:t>the role of emotion in transition [which] can inform mechanisms for student support” (abstract)</w:t>
            </w:r>
          </w:p>
          <w:p w14:paraId="6B25F2B0" w14:textId="0B347441"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Theoretical frame: </w:t>
            </w:r>
            <w:r w:rsidRPr="00076E76">
              <w:rPr>
                <w:rFonts w:ascii="Gill Sans" w:hAnsi="Gill Sans" w:cs="Gill Sans"/>
                <w:color w:val="000000"/>
                <w:szCs w:val="22"/>
                <w:lang w:val="en-AU"/>
              </w:rPr>
              <w:t>None explicit</w:t>
            </w:r>
          </w:p>
          <w:p w14:paraId="29DC4904" w14:textId="037A983A"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Qualitative pilot study with first-year dentistry students – students recruited from core ‘Academic Literacy’ module that the author teachers (n=15). Focus group interviews conducted in year 1, followed by individual interview in year 2. Grounded theory = analytic approach</w:t>
            </w:r>
          </w:p>
          <w:p w14:paraId="707E8605" w14:textId="3A72E030"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Findings: </w:t>
            </w:r>
            <w:r w:rsidRPr="00076E76">
              <w:rPr>
                <w:rFonts w:ascii="Gill Sans" w:hAnsi="Gill Sans" w:cs="Gill Sans"/>
                <w:color w:val="000000"/>
                <w:szCs w:val="22"/>
                <w:lang w:val="en-AU"/>
              </w:rPr>
              <w:t xml:space="preserve">Author offers 11 ‘descriptive tags’ around 4 themes: </w:t>
            </w:r>
            <w:r w:rsidRPr="00076E76">
              <w:rPr>
                <w:rFonts w:ascii="Gill Sans" w:hAnsi="Gill Sans" w:cs="Gill Sans"/>
                <w:i/>
                <w:color w:val="000000"/>
                <w:szCs w:val="22"/>
                <w:lang w:val="en-AU"/>
              </w:rPr>
              <w:t>academic challenges</w:t>
            </w:r>
            <w:r w:rsidRPr="00076E76">
              <w:rPr>
                <w:rFonts w:ascii="Gill Sans" w:hAnsi="Gill Sans" w:cs="Gill Sans"/>
                <w:color w:val="000000"/>
                <w:szCs w:val="22"/>
                <w:lang w:val="en-AU"/>
              </w:rPr>
              <w:t xml:space="preserve"> (knowing what to expect, feeling familiar, knowing what’s going on, relationship with lecturers), </w:t>
            </w:r>
            <w:r w:rsidRPr="00076E76">
              <w:rPr>
                <w:rFonts w:ascii="Gill Sans" w:hAnsi="Gill Sans" w:cs="Gill Sans"/>
                <w:i/>
                <w:color w:val="000000"/>
                <w:szCs w:val="22"/>
                <w:lang w:val="en-AU"/>
              </w:rPr>
              <w:t xml:space="preserve">friends and family </w:t>
            </w:r>
            <w:r w:rsidRPr="00076E76">
              <w:rPr>
                <w:rFonts w:ascii="Gill Sans" w:hAnsi="Gill Sans" w:cs="Gill Sans"/>
                <w:color w:val="000000"/>
                <w:szCs w:val="22"/>
                <w:lang w:val="en-AU"/>
              </w:rPr>
              <w:t xml:space="preserve">(family support, making friends, anonymity), </w:t>
            </w:r>
            <w:r w:rsidRPr="00076E76">
              <w:rPr>
                <w:rFonts w:ascii="Gill Sans" w:hAnsi="Gill Sans" w:cs="Gill Sans"/>
                <w:i/>
                <w:color w:val="000000"/>
                <w:szCs w:val="22"/>
                <w:lang w:val="en-AU"/>
              </w:rPr>
              <w:t xml:space="preserve">outside constraints </w:t>
            </w:r>
            <w:r w:rsidRPr="00076E76">
              <w:rPr>
                <w:rFonts w:ascii="Gill Sans" w:hAnsi="Gill Sans" w:cs="Gill Sans"/>
                <w:color w:val="000000"/>
                <w:szCs w:val="22"/>
                <w:lang w:val="en-AU"/>
              </w:rPr>
              <w:t xml:space="preserve">(home responsibilities, finances), </w:t>
            </w:r>
            <w:r w:rsidRPr="00076E76">
              <w:rPr>
                <w:rFonts w:ascii="Gill Sans" w:hAnsi="Gill Sans" w:cs="Gill Sans"/>
                <w:i/>
                <w:color w:val="000000"/>
                <w:szCs w:val="22"/>
                <w:lang w:val="en-AU"/>
              </w:rPr>
              <w:t xml:space="preserve">identity </w:t>
            </w:r>
            <w:r w:rsidRPr="00076E76">
              <w:rPr>
                <w:rFonts w:ascii="Gill Sans" w:hAnsi="Gill Sans" w:cs="Gill Sans"/>
                <w:color w:val="000000"/>
                <w:szCs w:val="22"/>
                <w:lang w:val="en-AU"/>
              </w:rPr>
              <w:t>(language, becoming a dentist/ oral hygienist)</w:t>
            </w:r>
            <w:r w:rsidRPr="00076E76">
              <w:rPr>
                <w:rFonts w:ascii="Gill Sans" w:hAnsi="Gill Sans" w:cs="Gill Sans"/>
                <w:b/>
                <w:color w:val="000000"/>
                <w:szCs w:val="22"/>
                <w:lang w:val="en-AU"/>
              </w:rPr>
              <w:br/>
              <w:t xml:space="preserve">Core argument: </w:t>
            </w:r>
            <w:r w:rsidRPr="00076E76">
              <w:rPr>
                <w:rFonts w:ascii="Gill Sans" w:hAnsi="Gill Sans" w:cs="Gill Sans"/>
                <w:color w:val="000000"/>
                <w:szCs w:val="22"/>
                <w:lang w:val="en-AU"/>
              </w:rPr>
              <w:t>Author suggests use of Heathcote &amp; Taylor’s (2007) framework for change management to frame transition interventions; students need someone to ‘travel’ with as they make their transitions (author suggests peer mentoring)</w:t>
            </w:r>
          </w:p>
        </w:tc>
      </w:tr>
      <w:tr w:rsidR="00F934ED" w:rsidRPr="00076E76" w14:paraId="31E9FA3F" w14:textId="77777777" w:rsidTr="002E557C">
        <w:tc>
          <w:tcPr>
            <w:tcW w:w="5529" w:type="dxa"/>
          </w:tcPr>
          <w:p w14:paraId="5343B054" w14:textId="3C5BDEED" w:rsidR="00F934ED" w:rsidRPr="00076E76" w:rsidRDefault="00F934ED" w:rsidP="00F934ED">
            <w:pPr>
              <w:rPr>
                <w:rFonts w:ascii="Gill Sans" w:hAnsi="Gill Sans" w:cs="Gill Sans"/>
                <w:szCs w:val="22"/>
              </w:rPr>
            </w:pPr>
            <w:r w:rsidRPr="00076E76">
              <w:rPr>
                <w:rFonts w:ascii="Gill Sans" w:hAnsi="Gill Sans" w:cs="Gill Sans"/>
                <w:szCs w:val="22"/>
              </w:rPr>
              <w:t xml:space="preserve">McMillan, W. (2014). </w:t>
            </w:r>
            <w:hyperlink r:id="rId93" w:history="1">
              <w:r w:rsidRPr="006E0E00">
                <w:rPr>
                  <w:rStyle w:val="Hyperlink"/>
                  <w:rFonts w:ascii="Gill Sans" w:hAnsi="Gill Sans" w:cs="Gill Sans"/>
                  <w:szCs w:val="22"/>
                </w:rPr>
                <w:t>They Have Different Information about What Is Going On: Emotion in the Transition to University</w:t>
              </w:r>
            </w:hyperlink>
            <w:r>
              <w:rPr>
                <w:rFonts w:ascii="Gill Sans" w:hAnsi="Gill Sans" w:cs="Gill Sans"/>
                <w:szCs w:val="22"/>
              </w:rPr>
              <w:t>,</w:t>
            </w:r>
            <w:r w:rsidRPr="00076E76">
              <w:rPr>
                <w:rFonts w:ascii="Gill Sans" w:hAnsi="Gill Sans" w:cs="Gill Sans"/>
                <w:szCs w:val="22"/>
              </w:rPr>
              <w:t xml:space="preserve"> </w:t>
            </w:r>
            <w:r w:rsidRPr="00076E76">
              <w:rPr>
                <w:rFonts w:ascii="Gill Sans" w:hAnsi="Gill Sans" w:cs="Gill Sans"/>
                <w:i/>
                <w:szCs w:val="22"/>
              </w:rPr>
              <w:t>Higher Education Research &amp; Development,</w:t>
            </w:r>
            <w:r>
              <w:rPr>
                <w:rFonts w:ascii="Gill Sans" w:hAnsi="Gill Sans" w:cs="Gill Sans"/>
                <w:szCs w:val="22"/>
              </w:rPr>
              <w:t xml:space="preserve"> 33(6), </w:t>
            </w:r>
            <w:r w:rsidRPr="00076E76">
              <w:rPr>
                <w:rFonts w:ascii="Gill Sans" w:hAnsi="Gill Sans" w:cs="Gill Sans"/>
                <w:szCs w:val="22"/>
              </w:rPr>
              <w:t>1123–1135.</w:t>
            </w:r>
          </w:p>
          <w:p w14:paraId="66D0770E" w14:textId="77777777" w:rsidR="00F934ED" w:rsidRPr="00076E76" w:rsidRDefault="00F934ED" w:rsidP="00F934ED">
            <w:pPr>
              <w:rPr>
                <w:rFonts w:ascii="Gill Sans" w:hAnsi="Gill Sans" w:cs="Gill Sans"/>
                <w:szCs w:val="22"/>
              </w:rPr>
            </w:pPr>
          </w:p>
          <w:p w14:paraId="66744D8B" w14:textId="77777777" w:rsidR="00F934ED" w:rsidRPr="00076E76" w:rsidRDefault="00F934ED" w:rsidP="00F934ED">
            <w:pPr>
              <w:rPr>
                <w:rFonts w:ascii="Gill Sans" w:hAnsi="Gill Sans" w:cs="Gill Sans"/>
                <w:szCs w:val="22"/>
              </w:rPr>
            </w:pPr>
            <w:r w:rsidRPr="00076E76">
              <w:rPr>
                <w:rFonts w:ascii="Gill Sans" w:hAnsi="Gill Sans" w:cs="Gill Sans"/>
                <w:szCs w:val="22"/>
              </w:rPr>
              <w:t>SA</w:t>
            </w:r>
          </w:p>
          <w:p w14:paraId="23BBD7A4"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39DA22D1" w14:textId="77777777" w:rsidR="00F934ED" w:rsidRPr="00076E76" w:rsidRDefault="00F934ED" w:rsidP="00F934ED">
            <w:pPr>
              <w:rPr>
                <w:rFonts w:ascii="Gill Sans" w:hAnsi="Gill Sans" w:cs="Gill Sans"/>
                <w:szCs w:val="22"/>
              </w:rPr>
            </w:pPr>
          </w:p>
          <w:p w14:paraId="5630B604" w14:textId="77777777" w:rsidR="00F934ED" w:rsidRPr="00076E76" w:rsidRDefault="00F934ED" w:rsidP="00F934ED">
            <w:pPr>
              <w:rPr>
                <w:rFonts w:ascii="Gill Sans" w:hAnsi="Gill Sans" w:cs="Gill Sans"/>
                <w:i/>
                <w:szCs w:val="22"/>
              </w:rPr>
            </w:pPr>
            <w:r w:rsidRPr="00076E76">
              <w:rPr>
                <w:rFonts w:ascii="Gill Sans" w:hAnsi="Gill Sans" w:cs="Gill Sans"/>
                <w:szCs w:val="22"/>
              </w:rPr>
              <w:t xml:space="preserve">Keywords: </w:t>
            </w:r>
            <w:r w:rsidRPr="00076E76">
              <w:rPr>
                <w:rFonts w:ascii="Gill Sans" w:hAnsi="Gill Sans" w:cs="Gill Sans"/>
                <w:i/>
                <w:szCs w:val="22"/>
              </w:rPr>
              <w:t>first-year experience; higher education; professional education; student diversity; student experience</w:t>
            </w:r>
          </w:p>
          <w:p w14:paraId="25C38D8C" w14:textId="77777777" w:rsidR="00F934ED" w:rsidRPr="00076E76" w:rsidRDefault="00F934ED" w:rsidP="00F934ED">
            <w:pPr>
              <w:rPr>
                <w:rFonts w:ascii="Gill Sans" w:hAnsi="Gill Sans" w:cs="Gill Sans"/>
                <w:i/>
                <w:szCs w:val="22"/>
              </w:rPr>
            </w:pPr>
          </w:p>
          <w:p w14:paraId="0953BAB1" w14:textId="76752160" w:rsidR="00F934ED" w:rsidRPr="00076E76" w:rsidRDefault="00F934ED" w:rsidP="00F934ED">
            <w:pPr>
              <w:rPr>
                <w:rFonts w:ascii="Gill Sans" w:hAnsi="Gill Sans" w:cs="Gill Sans"/>
                <w:b/>
                <w:szCs w:val="22"/>
              </w:rPr>
            </w:pPr>
          </w:p>
        </w:tc>
        <w:tc>
          <w:tcPr>
            <w:tcW w:w="10064" w:type="dxa"/>
          </w:tcPr>
          <w:p w14:paraId="5D6BB2C7" w14:textId="7F22D899"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sidRPr="00076E76">
              <w:rPr>
                <w:rFonts w:ascii="Gill Sans" w:hAnsi="Gill Sans" w:cs="Gill Sans"/>
                <w:color w:val="000000"/>
                <w:szCs w:val="22"/>
                <w:lang w:val="en-AU"/>
              </w:rPr>
              <w:t>First year dentistry course in South African university. Argues that ‘non-traditional’ students = most vulnerable in transitioning to higher education</w:t>
            </w:r>
          </w:p>
          <w:p w14:paraId="5FAEF762" w14:textId="4FA83738" w:rsidR="00F934ED" w:rsidRPr="00076E76" w:rsidRDefault="00F934ED" w:rsidP="00F934ED">
            <w:pPr>
              <w:rPr>
                <w:rFonts w:ascii="Gill Sans" w:hAnsi="Gill Sans" w:cs="Gill Sans"/>
                <w:color w:val="000000"/>
                <w:szCs w:val="22"/>
              </w:rPr>
            </w:pPr>
            <w:r w:rsidRPr="00076E76">
              <w:rPr>
                <w:rFonts w:ascii="Gill Sans" w:hAnsi="Gill Sans" w:cs="Gill Sans"/>
                <w:b/>
                <w:color w:val="000000"/>
                <w:szCs w:val="22"/>
                <w:lang w:val="en-AU"/>
              </w:rPr>
              <w:t xml:space="preserve">Aim: </w:t>
            </w:r>
            <w:r w:rsidRPr="00076E76">
              <w:rPr>
                <w:rFonts w:ascii="Gill Sans" w:hAnsi="Gill Sans" w:cs="Gill Sans"/>
                <w:color w:val="000000"/>
                <w:szCs w:val="22"/>
                <w:lang w:val="en-AU"/>
              </w:rPr>
              <w:t>To examine intersections of “</w:t>
            </w:r>
            <w:r w:rsidRPr="00076E76">
              <w:rPr>
                <w:rFonts w:ascii="Gill Sans" w:hAnsi="Gill Sans" w:cs="Gill Sans"/>
                <w:color w:val="000000"/>
                <w:szCs w:val="22"/>
              </w:rPr>
              <w:t>emotional commentary and classed locations”, and to identify “aspects of the university’s material and cultural environments which shape students’ emotional responses and which</w:t>
            </w:r>
          </w:p>
          <w:p w14:paraId="07B65DB4" w14:textId="5EBBC596" w:rsidR="00F934ED" w:rsidRPr="00076E76" w:rsidRDefault="00F934ED" w:rsidP="00F934ED">
            <w:pPr>
              <w:rPr>
                <w:rFonts w:ascii="Gill Sans" w:hAnsi="Gill Sans" w:cs="Gill Sans"/>
                <w:color w:val="000000"/>
                <w:szCs w:val="22"/>
                <w:lang w:val="en-AU"/>
              </w:rPr>
            </w:pPr>
            <w:proofErr w:type="gramStart"/>
            <w:r w:rsidRPr="00076E76">
              <w:rPr>
                <w:rFonts w:ascii="Gill Sans" w:hAnsi="Gill Sans" w:cs="Gill Sans"/>
                <w:color w:val="000000"/>
                <w:szCs w:val="22"/>
              </w:rPr>
              <w:t>consequently</w:t>
            </w:r>
            <w:proofErr w:type="gramEnd"/>
            <w:r w:rsidRPr="00076E76">
              <w:rPr>
                <w:rFonts w:ascii="Gill Sans" w:hAnsi="Gill Sans" w:cs="Gill Sans"/>
                <w:color w:val="000000"/>
                <w:szCs w:val="22"/>
              </w:rPr>
              <w:t xml:space="preserve"> are implicated in the perpetuation of class-based differential life chances. (p. 1123)</w:t>
            </w:r>
          </w:p>
          <w:p w14:paraId="263638A8" w14:textId="7782D475"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Theoretical frame: </w:t>
            </w:r>
            <w:r w:rsidRPr="00076E76">
              <w:rPr>
                <w:rFonts w:ascii="Gill Sans" w:hAnsi="Gill Sans" w:cs="Gill Sans"/>
                <w:color w:val="000000"/>
                <w:szCs w:val="22"/>
                <w:lang w:val="en-AU"/>
              </w:rPr>
              <w:t>Archer’s (2002) concept of realism and agency: emotions = commentaries about ‘competing concerns’ (2002: 16; cited on p.1124). Archer argues that emotions emerge from 3 competing concerns: physical, performative, self-worth. These competing concerns = hierarchy and what is privileged by an individual = identity.</w:t>
            </w:r>
            <w:r w:rsidRPr="00076E76">
              <w:rPr>
                <w:rFonts w:ascii="Gill Sans" w:hAnsi="Gill Sans" w:cs="Gill Sans"/>
                <w:color w:val="000000"/>
                <w:szCs w:val="22"/>
                <w:lang w:val="en-AU"/>
              </w:rPr>
              <w:tab/>
              <w:t>Capital, including ‘emotional capital’ (Reay, 2000) = classed: middle class students are more tempered because there is less risk, fear, shame and guilt (see p.1124). Reay (2005) argues that f-in-f students in particular pay a higher ‘emotional cost’</w:t>
            </w:r>
          </w:p>
          <w:p w14:paraId="70BB0E86" w14:textId="5A8D5195"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[Presumably qualitative]. Study = focus groups with first year dentistry class with students in Academic Literacy core module [n=15] to explore experiences of transition. Author notes ‘</w:t>
            </w:r>
            <w:r w:rsidRPr="00076E76">
              <w:rPr>
                <w:rFonts w:ascii="Gill Sans" w:hAnsi="Gill Sans" w:cs="Gill Sans"/>
                <w:color w:val="000000"/>
                <w:szCs w:val="22"/>
              </w:rPr>
              <w:t>classed post-</w:t>
            </w:r>
            <w:r w:rsidRPr="00076E76">
              <w:rPr>
                <w:rFonts w:ascii="Gill Sans" w:hAnsi="Gill Sans" w:cs="Gill Sans"/>
                <w:color w:val="000000"/>
                <w:szCs w:val="22"/>
              </w:rPr>
              <w:lastRenderedPageBreak/>
              <w:t>apartheid social reality’; categorized students into broad middle class (Group 1) and working class (Group 2) groups plus a third group comprising friends who elected to participate together (mostly working class). Interviews = 3</w:t>
            </w:r>
            <w:r w:rsidRPr="00076E76">
              <w:rPr>
                <w:rFonts w:ascii="Gill Sans" w:hAnsi="Gill Sans" w:cs="Gill Sans"/>
                <w:color w:val="000000"/>
                <w:szCs w:val="22"/>
                <w:vertAlign w:val="superscript"/>
              </w:rPr>
              <w:t>rd</w:t>
            </w:r>
            <w:r w:rsidRPr="00076E76">
              <w:rPr>
                <w:rFonts w:ascii="Gill Sans" w:hAnsi="Gill Sans" w:cs="Gill Sans"/>
                <w:color w:val="000000"/>
                <w:szCs w:val="22"/>
              </w:rPr>
              <w:t xml:space="preserve"> month of Year 1. Two broad questions asked: ‘What was it like coming to university’ and ‘What does </w:t>
            </w:r>
            <w:proofErr w:type="gramStart"/>
            <w:r w:rsidRPr="00076E76">
              <w:rPr>
                <w:rFonts w:ascii="Gill Sans" w:hAnsi="Gill Sans" w:cs="Gill Sans"/>
                <w:color w:val="000000"/>
                <w:szCs w:val="22"/>
              </w:rPr>
              <w:t>being</w:t>
            </w:r>
            <w:proofErr w:type="gramEnd"/>
            <w:r w:rsidRPr="00076E76">
              <w:rPr>
                <w:rFonts w:ascii="Gill Sans" w:hAnsi="Gill Sans" w:cs="Gill Sans"/>
                <w:color w:val="000000"/>
                <w:szCs w:val="22"/>
              </w:rPr>
              <w:t xml:space="preserve"> a dentist/oral hygienist mean to you?’. Emotions = not </w:t>
            </w:r>
            <w:proofErr w:type="spellStart"/>
            <w:r w:rsidRPr="00076E76">
              <w:rPr>
                <w:rFonts w:ascii="Gill Sans" w:hAnsi="Gill Sans" w:cs="Gill Sans"/>
                <w:color w:val="000000"/>
                <w:szCs w:val="22"/>
              </w:rPr>
              <w:t>apriori</w:t>
            </w:r>
            <w:proofErr w:type="spellEnd"/>
            <w:r w:rsidRPr="00076E76">
              <w:rPr>
                <w:rFonts w:ascii="Gill Sans" w:hAnsi="Gill Sans" w:cs="Gill Sans"/>
                <w:color w:val="000000"/>
                <w:szCs w:val="22"/>
              </w:rPr>
              <w:t xml:space="preserve"> theme but emerged in process of transcription = signaled either </w:t>
            </w:r>
            <w:proofErr w:type="spellStart"/>
            <w:r w:rsidRPr="00076E76">
              <w:rPr>
                <w:rFonts w:ascii="Gill Sans" w:hAnsi="Gill Sans" w:cs="Gill Sans"/>
                <w:color w:val="000000"/>
                <w:szCs w:val="22"/>
              </w:rPr>
              <w:t>paralinguistically</w:t>
            </w:r>
            <w:proofErr w:type="spellEnd"/>
            <w:r w:rsidRPr="00076E76">
              <w:rPr>
                <w:rFonts w:ascii="Gill Sans" w:hAnsi="Gill Sans" w:cs="Gill Sans"/>
                <w:color w:val="000000"/>
                <w:szCs w:val="22"/>
              </w:rPr>
              <w:t xml:space="preserve"> or through word choice + grounded theory. All 15 students = re-interviewed in Year 2</w:t>
            </w:r>
          </w:p>
          <w:p w14:paraId="25FAF492" w14:textId="77777777" w:rsidR="00F934ED" w:rsidRPr="00076E76" w:rsidRDefault="00F934ED" w:rsidP="00F934ED">
            <w:pPr>
              <w:rPr>
                <w:rFonts w:ascii="Gill Sans" w:hAnsi="Gill Sans" w:cs="Gill Sans"/>
                <w:b/>
                <w:color w:val="000000"/>
                <w:szCs w:val="22"/>
                <w:lang w:val="en-AU"/>
              </w:rPr>
            </w:pPr>
            <w:r w:rsidRPr="00076E76">
              <w:rPr>
                <w:rFonts w:ascii="Gill Sans" w:hAnsi="Gill Sans" w:cs="Gill Sans"/>
                <w:b/>
                <w:color w:val="000000"/>
                <w:szCs w:val="22"/>
                <w:lang w:val="en-AU"/>
              </w:rPr>
              <w:t xml:space="preserve">Findings: </w:t>
            </w:r>
          </w:p>
          <w:p w14:paraId="25B4E073" w14:textId="77777777" w:rsidR="00F934ED" w:rsidRPr="00076E76" w:rsidRDefault="00F934ED" w:rsidP="00F934ED">
            <w:pPr>
              <w:rPr>
                <w:rFonts w:ascii="Gill Sans" w:hAnsi="Gill Sans" w:cs="Gill Sans"/>
                <w:color w:val="000000"/>
                <w:szCs w:val="22"/>
              </w:rPr>
            </w:pPr>
            <w:r w:rsidRPr="00076E76">
              <w:rPr>
                <w:rFonts w:ascii="Gill Sans" w:hAnsi="Gill Sans" w:cs="Gill Sans"/>
                <w:i/>
                <w:color w:val="000000"/>
                <w:szCs w:val="22"/>
                <w:lang w:val="en-AU"/>
              </w:rPr>
              <w:t>Funding</w:t>
            </w:r>
            <w:r w:rsidRPr="00076E76">
              <w:rPr>
                <w:rFonts w:ascii="Gill Sans" w:hAnsi="Gill Sans" w:cs="Gill Sans"/>
                <w:color w:val="000000"/>
                <w:szCs w:val="22"/>
                <w:lang w:val="en-AU"/>
              </w:rPr>
              <w:t xml:space="preserve"> – managing finances = common theme but differences noted between ‘classes’; middle class students= more about staying within budget/ not overspending (with parents’ anger the factor to be avoided) = project of ‘becoming an adult’. For working class students, ‘managing finances’ = about making enough money to keep studying (impacting on when, what and where students studied). Travelling = major cost: “</w:t>
            </w:r>
            <w:r w:rsidRPr="00076E76">
              <w:rPr>
                <w:rFonts w:ascii="Gill Sans" w:hAnsi="Gill Sans" w:cs="Gill Sans"/>
                <w:color w:val="000000"/>
                <w:szCs w:val="22"/>
              </w:rPr>
              <w:t>The working-class students, thus, experienced the emotional cost of being different (Reay, 2005) – of not being able to produce, financially, that which universities assume to be in place” (p.1128).</w:t>
            </w:r>
          </w:p>
          <w:p w14:paraId="6E1E5440" w14:textId="77777777" w:rsidR="00F934ED" w:rsidRPr="00076E76" w:rsidRDefault="00F934ED" w:rsidP="00F934ED">
            <w:pPr>
              <w:rPr>
                <w:rFonts w:ascii="Gill Sans" w:hAnsi="Gill Sans" w:cs="Gill Sans"/>
                <w:color w:val="000000"/>
                <w:szCs w:val="22"/>
              </w:rPr>
            </w:pPr>
            <w:r w:rsidRPr="00076E76">
              <w:rPr>
                <w:rFonts w:ascii="Gill Sans" w:hAnsi="Gill Sans" w:cs="Gill Sans"/>
                <w:i/>
                <w:color w:val="000000"/>
                <w:szCs w:val="22"/>
                <w:lang w:val="en-AU"/>
              </w:rPr>
              <w:t>Access</w:t>
            </w:r>
            <w:r w:rsidRPr="00076E76">
              <w:rPr>
                <w:rFonts w:ascii="Gill Sans" w:hAnsi="Gill Sans" w:cs="Gill Sans"/>
                <w:b/>
                <w:color w:val="000000"/>
                <w:szCs w:val="22"/>
                <w:lang w:val="en-AU"/>
              </w:rPr>
              <w:t xml:space="preserve"> </w:t>
            </w:r>
            <w:r w:rsidRPr="00076E76">
              <w:rPr>
                <w:rFonts w:ascii="Gill Sans" w:hAnsi="Gill Sans" w:cs="Gill Sans"/>
                <w:color w:val="000000"/>
                <w:szCs w:val="22"/>
                <w:lang w:val="en-AU"/>
              </w:rPr>
              <w:t xml:space="preserve">– sense of inevitability about going to university for middle class students; no data to suggest emotional element </w:t>
            </w:r>
            <w:proofErr w:type="gramStart"/>
            <w:r w:rsidRPr="00076E76">
              <w:rPr>
                <w:rFonts w:ascii="Gill Sans" w:hAnsi="Gill Sans" w:cs="Gill Sans"/>
                <w:color w:val="000000"/>
                <w:szCs w:val="22"/>
                <w:lang w:val="en-AU"/>
              </w:rPr>
              <w:t>to choice</w:t>
            </w:r>
            <w:proofErr w:type="gramEnd"/>
            <w:r w:rsidRPr="00076E76">
              <w:rPr>
                <w:rFonts w:ascii="Gill Sans" w:hAnsi="Gill Sans" w:cs="Gill Sans"/>
                <w:color w:val="000000"/>
                <w:szCs w:val="22"/>
                <w:lang w:val="en-AU"/>
              </w:rPr>
              <w:t xml:space="preserve"> of whether to attend university. Analysis = middle class students had emotional capital to weather the risk: “</w:t>
            </w:r>
            <w:r w:rsidRPr="00076E76">
              <w:rPr>
                <w:rFonts w:ascii="Gill Sans" w:hAnsi="Gill Sans" w:cs="Gill Sans"/>
                <w:color w:val="000000"/>
                <w:szCs w:val="22"/>
              </w:rPr>
              <w:t xml:space="preserve">middle-class students had access to resources which potentially alleviated feelings of risk and fear” (p.1128). For working class students = desire to go to university = impacted by assumptions about what was possible (relating to cultural capital/ familiarity with system and norms. Argues that middle class students’ data suggest that they had access to more information about university because of parents’ capital, whereas working class students did not have parents’ grapevine/ archive of experience to draw on [no ref to Ball &amp; Vincent, 1998], resulting in emotional responses: “Bewilderment and frustration were evident for these students. In a tone of desperation, </w:t>
            </w:r>
            <w:proofErr w:type="spellStart"/>
            <w:r w:rsidRPr="00076E76">
              <w:rPr>
                <w:rFonts w:ascii="Gill Sans" w:hAnsi="Gill Sans" w:cs="Gill Sans"/>
                <w:color w:val="000000"/>
                <w:szCs w:val="22"/>
              </w:rPr>
              <w:t>Siviwe</w:t>
            </w:r>
            <w:proofErr w:type="spellEnd"/>
            <w:r w:rsidRPr="00076E76">
              <w:rPr>
                <w:rFonts w:ascii="Gill Sans" w:hAnsi="Gill Sans" w:cs="Gill Sans"/>
                <w:color w:val="000000"/>
                <w:szCs w:val="22"/>
              </w:rPr>
              <w:t xml:space="preserve"> declared, ‘I didn’t know what to do!’” (p.1130).</w:t>
            </w:r>
          </w:p>
          <w:p w14:paraId="4F8E1E28" w14:textId="77777777" w:rsidR="00F934ED" w:rsidRPr="00076E76" w:rsidRDefault="00F934ED" w:rsidP="00F934ED">
            <w:pPr>
              <w:rPr>
                <w:rFonts w:ascii="Gill Sans" w:hAnsi="Gill Sans" w:cs="Gill Sans"/>
              </w:rPr>
            </w:pPr>
            <w:r w:rsidRPr="00076E76">
              <w:rPr>
                <w:rFonts w:ascii="Gill Sans" w:hAnsi="Gill Sans" w:cs="Gill Sans"/>
                <w:i/>
                <w:color w:val="000000"/>
                <w:szCs w:val="22"/>
              </w:rPr>
              <w:t xml:space="preserve">Academic preparedness </w:t>
            </w:r>
            <w:r w:rsidRPr="00076E76">
              <w:rPr>
                <w:rFonts w:ascii="Gill Sans" w:hAnsi="Gill Sans" w:cs="Gill Sans"/>
                <w:i/>
                <w:color w:val="000000"/>
                <w:szCs w:val="22"/>
              </w:rPr>
              <w:softHyphen/>
            </w:r>
            <w:r w:rsidRPr="00076E76">
              <w:rPr>
                <w:rFonts w:ascii="Gill Sans" w:hAnsi="Gill Sans" w:cs="Gill Sans"/>
                <w:color w:val="000000"/>
                <w:szCs w:val="22"/>
              </w:rPr>
              <w:t xml:space="preserve">–middle class students’ talk suggests that they had been primed/ prepared at home for the idea of university (e.g. prep for independent study) and purchase of equipment and school explicated expectations/ standards: “Success in the academic challenges of school, and recognition that the challenges at university were similar, allowed these students to assume that they had the resources to meet the challenges of university and to perform successfully” (p.1130). Working class students = less likely to develop same set of resources and dispositions, and as a consequence they were less prepared for the academic environment of higher education. Author cites one student who </w:t>
            </w:r>
            <w:r w:rsidRPr="00076E76">
              <w:rPr>
                <w:rFonts w:ascii="Gill Sans" w:hAnsi="Gill Sans" w:cs="Gill Sans"/>
              </w:rPr>
              <w:t xml:space="preserve">described “university as a ‘new world’” (p.1131). Emotions evident in phrasing such as ‘feeling lost’, ‘foreignness’, and perception of others having ‘insider information’. “Disappointment and grief at not being able to perform the tasks pre-requisite for university success – tasks that other students appeared to perform so effortlessly that they gave the impression of having insider </w:t>
            </w:r>
            <w:r w:rsidRPr="00076E76">
              <w:rPr>
                <w:rFonts w:ascii="Gill Sans" w:hAnsi="Gill Sans" w:cs="Gill Sans"/>
              </w:rPr>
              <w:lastRenderedPageBreak/>
              <w:t xml:space="preserve">information – was implicit in accounts that constructed the self as ‘nothing’” (p.1131).  </w:t>
            </w:r>
          </w:p>
          <w:p w14:paraId="6C2DBE49" w14:textId="5589D23A" w:rsidR="00F934ED" w:rsidRPr="00076E76" w:rsidRDefault="00F934ED" w:rsidP="00F934ED">
            <w:pPr>
              <w:rPr>
                <w:rFonts w:ascii="Gill Sans" w:hAnsi="Gill Sans" w:cs="Gill Sans"/>
                <w:i/>
              </w:rPr>
            </w:pPr>
            <w:r w:rsidRPr="00076E76">
              <w:rPr>
                <w:rFonts w:ascii="Gill Sans" w:hAnsi="Gill Sans" w:cs="Gill Sans"/>
                <w:i/>
              </w:rPr>
              <w:t xml:space="preserve">Becoming a dentist – </w:t>
            </w:r>
            <w:r w:rsidRPr="00076E76">
              <w:rPr>
                <w:rFonts w:ascii="Gill Sans" w:hAnsi="Gill Sans" w:cs="Gill Sans"/>
              </w:rPr>
              <w:t>Role performance = emotional because of projection onto future = saturated with hopes and fears. Middle class students more likely to talk about course in terms of personal project and active choice. Less likely to be talked about as active choice by working class students; rather = framed as giving back to community. “Privileging the project of university student, rather than that of dentist/oral hygienist, suggests an emotional and energy investment related to ‘getting into’ university” (p.1133).</w:t>
            </w:r>
            <w:r w:rsidRPr="00076E76">
              <w:rPr>
                <w:rFonts w:ascii="Gill Sans" w:hAnsi="Gill Sans" w:cs="Gill Sans"/>
                <w:b/>
                <w:color w:val="000000"/>
                <w:szCs w:val="22"/>
                <w:lang w:val="en-AU"/>
              </w:rPr>
              <w:br/>
              <w:t xml:space="preserve">Core argument: </w:t>
            </w:r>
            <w:r w:rsidRPr="00076E76">
              <w:rPr>
                <w:rFonts w:ascii="Gill Sans" w:hAnsi="Gill Sans" w:cs="Gill Sans"/>
                <w:color w:val="000000"/>
                <w:szCs w:val="22"/>
                <w:lang w:val="en-AU"/>
              </w:rPr>
              <w:t>Differences in ways that middle and working class students experience transition to university and analysis of their emotional responses = explores students’ inner worlds.</w:t>
            </w:r>
          </w:p>
        </w:tc>
      </w:tr>
      <w:tr w:rsidR="00F934ED" w:rsidRPr="00076E76" w14:paraId="14A0A402" w14:textId="77777777" w:rsidTr="002E557C">
        <w:tc>
          <w:tcPr>
            <w:tcW w:w="5529" w:type="dxa"/>
          </w:tcPr>
          <w:p w14:paraId="2D90FFF4" w14:textId="7DB7CB89" w:rsidR="00F934ED" w:rsidRDefault="00F934ED" w:rsidP="00F934ED">
            <w:pPr>
              <w:rPr>
                <w:rFonts w:ascii="Gill Sans" w:hAnsi="Gill Sans" w:cs="Gill Sans"/>
                <w:szCs w:val="22"/>
              </w:rPr>
            </w:pPr>
            <w:r w:rsidRPr="00994A37">
              <w:rPr>
                <w:rFonts w:ascii="Gill Sans" w:hAnsi="Gill Sans" w:cs="Gill Sans"/>
                <w:szCs w:val="22"/>
              </w:rPr>
              <w:lastRenderedPageBreak/>
              <w:t xml:space="preserve">McMurray, </w:t>
            </w:r>
            <w:r>
              <w:rPr>
                <w:rFonts w:ascii="Gill Sans" w:hAnsi="Gill Sans" w:cs="Gill Sans"/>
                <w:szCs w:val="22"/>
              </w:rPr>
              <w:t xml:space="preserve">I.; </w:t>
            </w:r>
            <w:r w:rsidRPr="00994A37">
              <w:rPr>
                <w:rFonts w:ascii="Gill Sans" w:hAnsi="Gill Sans" w:cs="Gill Sans"/>
                <w:szCs w:val="22"/>
              </w:rPr>
              <w:t xml:space="preserve">Rafferty, </w:t>
            </w:r>
            <w:r>
              <w:rPr>
                <w:rFonts w:ascii="Gill Sans" w:hAnsi="Gill Sans" w:cs="Gill Sans"/>
                <w:szCs w:val="22"/>
              </w:rPr>
              <w:t xml:space="preserve">C.; </w:t>
            </w:r>
            <w:r w:rsidRPr="00994A37">
              <w:rPr>
                <w:rFonts w:ascii="Gill Sans" w:hAnsi="Gill Sans" w:cs="Gill Sans"/>
                <w:szCs w:val="22"/>
              </w:rPr>
              <w:t>Sutton</w:t>
            </w:r>
            <w:r>
              <w:rPr>
                <w:rFonts w:ascii="Gill Sans" w:hAnsi="Gill Sans" w:cs="Gill Sans"/>
                <w:szCs w:val="22"/>
              </w:rPr>
              <w:t>, C.</w:t>
            </w:r>
            <w:r w:rsidRPr="00994A37">
              <w:rPr>
                <w:rFonts w:ascii="Gill Sans" w:hAnsi="Gill Sans" w:cs="Gill Sans"/>
                <w:szCs w:val="22"/>
              </w:rPr>
              <w:t xml:space="preserve"> &amp; Patel</w:t>
            </w:r>
            <w:r>
              <w:rPr>
                <w:rFonts w:ascii="Gill Sans" w:hAnsi="Gill Sans" w:cs="Gill Sans"/>
                <w:szCs w:val="22"/>
              </w:rPr>
              <w:t xml:space="preserve">, S. </w:t>
            </w:r>
            <w:r w:rsidRPr="00994A37">
              <w:rPr>
                <w:rFonts w:ascii="Gill Sans" w:hAnsi="Gill Sans" w:cs="Gill Sans"/>
                <w:szCs w:val="22"/>
              </w:rPr>
              <w:t xml:space="preserve">(2017) </w:t>
            </w:r>
            <w:hyperlink r:id="rId94" w:history="1">
              <w:r w:rsidRPr="00FC6FCC">
                <w:rPr>
                  <w:rStyle w:val="Hyperlink"/>
                  <w:rFonts w:ascii="Gill Sans" w:hAnsi="Gill Sans" w:cs="Gill Sans"/>
                  <w:szCs w:val="22"/>
                </w:rPr>
                <w:t>Using dissertation projects to facilitate transitions to university and employment: an exploratory case study</w:t>
              </w:r>
            </w:hyperlink>
            <w:r w:rsidRPr="00994A37">
              <w:rPr>
                <w:rFonts w:ascii="Gill Sans" w:hAnsi="Gill Sans" w:cs="Gill Sans"/>
                <w:szCs w:val="22"/>
              </w:rPr>
              <w:t xml:space="preserve">, </w:t>
            </w:r>
            <w:r w:rsidRPr="00FC6FCC">
              <w:rPr>
                <w:rFonts w:ascii="Gill Sans" w:hAnsi="Gill Sans" w:cs="Gill Sans"/>
                <w:i/>
                <w:szCs w:val="22"/>
              </w:rPr>
              <w:t>Journal of Further and Higher Education</w:t>
            </w:r>
            <w:r>
              <w:rPr>
                <w:rFonts w:ascii="Gill Sans" w:hAnsi="Gill Sans" w:cs="Gill Sans"/>
                <w:szCs w:val="22"/>
              </w:rPr>
              <w:t>, 41(</w:t>
            </w:r>
            <w:r w:rsidRPr="00994A37">
              <w:rPr>
                <w:rFonts w:ascii="Gill Sans" w:hAnsi="Gill Sans" w:cs="Gill Sans"/>
                <w:szCs w:val="22"/>
              </w:rPr>
              <w:t>3</w:t>
            </w:r>
            <w:r>
              <w:rPr>
                <w:rFonts w:ascii="Gill Sans" w:hAnsi="Gill Sans" w:cs="Gill Sans"/>
                <w:szCs w:val="22"/>
              </w:rPr>
              <w:t>), 273–</w:t>
            </w:r>
            <w:r w:rsidRPr="00994A37">
              <w:rPr>
                <w:rFonts w:ascii="Gill Sans" w:hAnsi="Gill Sans" w:cs="Gill Sans"/>
                <w:szCs w:val="22"/>
              </w:rPr>
              <w:t>285</w:t>
            </w:r>
            <w:r>
              <w:rPr>
                <w:rFonts w:ascii="Gill Sans" w:hAnsi="Gill Sans" w:cs="Gill Sans"/>
                <w:szCs w:val="22"/>
              </w:rPr>
              <w:t>.</w:t>
            </w:r>
          </w:p>
          <w:p w14:paraId="635BA736" w14:textId="77777777" w:rsidR="00F934ED" w:rsidRDefault="00F934ED" w:rsidP="00F934ED">
            <w:pPr>
              <w:rPr>
                <w:rFonts w:ascii="Gill Sans" w:hAnsi="Gill Sans" w:cs="Gill Sans"/>
                <w:szCs w:val="22"/>
              </w:rPr>
            </w:pPr>
          </w:p>
          <w:p w14:paraId="4E2AA213" w14:textId="068E55F7" w:rsidR="00F934ED" w:rsidRDefault="00F934ED" w:rsidP="00F934ED">
            <w:pPr>
              <w:rPr>
                <w:rFonts w:ascii="Gill Sans" w:hAnsi="Gill Sans" w:cs="Gill Sans"/>
                <w:szCs w:val="22"/>
              </w:rPr>
            </w:pPr>
            <w:r>
              <w:rPr>
                <w:rFonts w:ascii="Gill Sans" w:hAnsi="Gill Sans" w:cs="Gill Sans"/>
                <w:szCs w:val="22"/>
              </w:rPr>
              <w:t>UK</w:t>
            </w:r>
          </w:p>
          <w:p w14:paraId="1D84A266" w14:textId="421750FC" w:rsidR="00500B09" w:rsidRDefault="00500B09" w:rsidP="00F934ED">
            <w:pPr>
              <w:rPr>
                <w:rFonts w:ascii="Gill Sans" w:hAnsi="Gill Sans" w:cs="Gill Sans"/>
                <w:szCs w:val="22"/>
              </w:rPr>
            </w:pPr>
            <w:r>
              <w:rPr>
                <w:rFonts w:ascii="Gill Sans" w:hAnsi="Gill Sans" w:cs="Gill Sans"/>
                <w:szCs w:val="22"/>
              </w:rPr>
              <w:t>Annotation by Sally Baker</w:t>
            </w:r>
          </w:p>
          <w:p w14:paraId="54989C7A" w14:textId="77777777" w:rsidR="00F934ED" w:rsidRDefault="00F934ED" w:rsidP="00F934ED">
            <w:pPr>
              <w:rPr>
                <w:rFonts w:ascii="Gill Sans" w:hAnsi="Gill Sans" w:cs="Gill Sans"/>
                <w:szCs w:val="22"/>
              </w:rPr>
            </w:pPr>
          </w:p>
          <w:p w14:paraId="0F083119" w14:textId="0F9BB2D9" w:rsidR="00F934ED" w:rsidRDefault="00F934ED" w:rsidP="00F934ED">
            <w:pPr>
              <w:rPr>
                <w:rFonts w:ascii="Gill Sans" w:hAnsi="Gill Sans" w:cs="Gill Sans"/>
                <w:szCs w:val="22"/>
              </w:rPr>
            </w:pPr>
            <w:r>
              <w:rPr>
                <w:rFonts w:ascii="Gill Sans" w:hAnsi="Gill Sans" w:cs="Gill Sans"/>
                <w:szCs w:val="22"/>
              </w:rPr>
              <w:t xml:space="preserve">Keywords: </w:t>
            </w:r>
            <w:r w:rsidRPr="001A445E">
              <w:rPr>
                <w:rFonts w:ascii="Gill Sans" w:hAnsi="Gill Sans" w:cs="Gill Sans"/>
                <w:i/>
                <w:szCs w:val="22"/>
              </w:rPr>
              <w:t>Transitions; higher education; peer-tutoring; dissertation; employability</w:t>
            </w:r>
            <w:r>
              <w:rPr>
                <w:rFonts w:ascii="Gill Sans" w:hAnsi="Gill Sans" w:cs="Gill Sans"/>
                <w:szCs w:val="22"/>
              </w:rPr>
              <w:t xml:space="preserve"> </w:t>
            </w:r>
          </w:p>
          <w:p w14:paraId="2EB7F594" w14:textId="77777777" w:rsidR="00F934ED" w:rsidRDefault="00F934ED" w:rsidP="00F934ED">
            <w:pPr>
              <w:rPr>
                <w:rFonts w:ascii="Gill Sans" w:hAnsi="Gill Sans" w:cs="Gill Sans"/>
                <w:szCs w:val="22"/>
              </w:rPr>
            </w:pPr>
          </w:p>
          <w:p w14:paraId="015B4952" w14:textId="7B412C0F" w:rsidR="00F934ED" w:rsidRPr="00076E76" w:rsidRDefault="00F934ED" w:rsidP="00F934ED">
            <w:pPr>
              <w:rPr>
                <w:rFonts w:ascii="Gill Sans" w:hAnsi="Gill Sans" w:cs="Gill Sans"/>
                <w:szCs w:val="22"/>
              </w:rPr>
            </w:pPr>
          </w:p>
        </w:tc>
        <w:tc>
          <w:tcPr>
            <w:tcW w:w="10064" w:type="dxa"/>
          </w:tcPr>
          <w:p w14:paraId="16741F3A" w14:textId="1BBCB5F6" w:rsidR="00F934ED"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Pr>
                <w:rFonts w:ascii="Gill Sans" w:hAnsi="Gill Sans" w:cs="Gill Sans"/>
                <w:color w:val="000000"/>
                <w:szCs w:val="22"/>
                <w:lang w:val="en-AU"/>
              </w:rPr>
              <w:t>Challenges of transition, especially in the context of widening participation; school and university partnership to support students with their transitions into post-compulsory study and employment. Partnership between school (A-level) psychology teachers and psychology lecturers in post-1992 university in England. Review of literature focuses on common narrative of students’ under-preparation. Authors also note the call from the British Psychological Society to strengthen the connections between A-levels and undergraduate to help support students’ transitions. Challenges with reduction of employment opportunities mean that university teaching needs to prepare students for a wide range of ‘transferrable skills’.</w:t>
            </w:r>
          </w:p>
          <w:p w14:paraId="532A51E5" w14:textId="77289F17" w:rsidR="00F934ED" w:rsidRPr="0062624C" w:rsidRDefault="00F934ED" w:rsidP="00F934ED">
            <w:pPr>
              <w:rPr>
                <w:rFonts w:ascii="Gill Sans" w:hAnsi="Gill Sans" w:cs="Gill Sans"/>
                <w:color w:val="000000"/>
                <w:szCs w:val="22"/>
                <w:lang w:val="en-AU"/>
              </w:rPr>
            </w:pPr>
            <w:r>
              <w:rPr>
                <w:rFonts w:ascii="Gill Sans" w:hAnsi="Gill Sans" w:cs="Gill Sans"/>
                <w:color w:val="000000"/>
                <w:szCs w:val="22"/>
                <w:lang w:val="en-AU"/>
              </w:rPr>
              <w:t>Research dissertation = core element of the initiative described in the article.</w:t>
            </w:r>
          </w:p>
          <w:p w14:paraId="7FDEBE52" w14:textId="23156E2F" w:rsidR="00F934ED" w:rsidRDefault="00F934ED" w:rsidP="00F934ED">
            <w:pPr>
              <w:rPr>
                <w:rFonts w:ascii="Gill Sans" w:hAnsi="Gill Sans" w:cs="Gill Sans"/>
                <w:color w:val="000000"/>
                <w:szCs w:val="22"/>
              </w:rPr>
            </w:pPr>
            <w:r w:rsidRPr="00076E76">
              <w:rPr>
                <w:rFonts w:ascii="Gill Sans" w:hAnsi="Gill Sans" w:cs="Gill Sans"/>
                <w:b/>
                <w:color w:val="000000"/>
                <w:szCs w:val="22"/>
                <w:lang w:val="en-AU"/>
              </w:rPr>
              <w:t xml:space="preserve">Aim: </w:t>
            </w:r>
            <w:r>
              <w:rPr>
                <w:rFonts w:ascii="Gill Sans" w:hAnsi="Gill Sans" w:cs="Gill Sans"/>
                <w:color w:val="000000"/>
                <w:szCs w:val="22"/>
                <w:lang w:val="en-AU"/>
              </w:rPr>
              <w:t>To explore “</w:t>
            </w:r>
            <w:r w:rsidRPr="00D673BF">
              <w:rPr>
                <w:rFonts w:ascii="Gill Sans" w:hAnsi="Gill Sans" w:cs="Gill Sans"/>
                <w:color w:val="000000"/>
                <w:szCs w:val="22"/>
              </w:rPr>
              <w:t xml:space="preserve">how undergraduate dissertation students can work with AS and A </w:t>
            </w:r>
            <w:proofErr w:type="gramStart"/>
            <w:r w:rsidRPr="00D673BF">
              <w:rPr>
                <w:rFonts w:ascii="Gill Sans" w:hAnsi="Gill Sans" w:cs="Gill Sans"/>
                <w:color w:val="000000"/>
                <w:szCs w:val="22"/>
              </w:rPr>
              <w:t>Level students</w:t>
            </w:r>
            <w:proofErr w:type="gramEnd"/>
            <w:r>
              <w:rPr>
                <w:rFonts w:ascii="Gill Sans" w:hAnsi="Gill Sans" w:cs="Gill Sans"/>
                <w:color w:val="000000"/>
                <w:szCs w:val="22"/>
              </w:rPr>
              <w:t xml:space="preserve"> </w:t>
            </w:r>
            <w:r w:rsidRPr="00D673BF">
              <w:rPr>
                <w:rFonts w:ascii="Gill Sans" w:hAnsi="Gill Sans" w:cs="Gill Sans"/>
                <w:color w:val="000000"/>
                <w:szCs w:val="22"/>
              </w:rPr>
              <w:t>on their dissertation projects to enhance the skills and development of both</w:t>
            </w:r>
            <w:r>
              <w:rPr>
                <w:rFonts w:ascii="Gill Sans" w:hAnsi="Gill Sans" w:cs="Gill Sans"/>
                <w:color w:val="000000"/>
                <w:szCs w:val="22"/>
              </w:rPr>
              <w:t>” (p.273). Stated objectives of the project:</w:t>
            </w:r>
          </w:p>
          <w:p w14:paraId="70ECFDBF" w14:textId="5226B461" w:rsidR="00F934ED" w:rsidRPr="005E5311" w:rsidRDefault="00F934ED" w:rsidP="00F934ED">
            <w:pPr>
              <w:rPr>
                <w:rFonts w:ascii="Gill Sans" w:hAnsi="Gill Sans" w:cs="Gill Sans"/>
                <w:color w:val="000000"/>
                <w:szCs w:val="22"/>
              </w:rPr>
            </w:pPr>
            <w:r>
              <w:rPr>
                <w:rFonts w:ascii="Gill Sans" w:hAnsi="Gill Sans" w:cs="Gill Sans"/>
                <w:color w:val="000000"/>
                <w:szCs w:val="22"/>
              </w:rPr>
              <w:t>“</w:t>
            </w:r>
            <w:r w:rsidRPr="005E5311">
              <w:rPr>
                <w:rFonts w:ascii="Gill Sans" w:hAnsi="Gill Sans" w:cs="Gill Sans"/>
                <w:color w:val="000000"/>
                <w:szCs w:val="22"/>
              </w:rPr>
              <w:t>(1) To detail an exploratory case study in which staff and students from a school and university</w:t>
            </w:r>
            <w:r>
              <w:rPr>
                <w:rFonts w:ascii="Gill Sans" w:hAnsi="Gill Sans" w:cs="Gill Sans"/>
                <w:color w:val="000000"/>
                <w:szCs w:val="22"/>
              </w:rPr>
              <w:t xml:space="preserve"> </w:t>
            </w:r>
            <w:r w:rsidRPr="005E5311">
              <w:rPr>
                <w:rFonts w:ascii="Gill Sans" w:hAnsi="Gill Sans" w:cs="Gill Sans"/>
                <w:color w:val="000000"/>
                <w:szCs w:val="22"/>
              </w:rPr>
              <w:t>work together to support the learning of the AS and A Level students and psychology undergraduates</w:t>
            </w:r>
            <w:r>
              <w:rPr>
                <w:rFonts w:ascii="Gill Sans" w:hAnsi="Gill Sans" w:cs="Gill Sans"/>
                <w:color w:val="000000"/>
                <w:szCs w:val="22"/>
              </w:rPr>
              <w:t xml:space="preserve"> </w:t>
            </w:r>
            <w:r w:rsidRPr="005E5311">
              <w:rPr>
                <w:rFonts w:ascii="Gill Sans" w:hAnsi="Gill Sans" w:cs="Gill Sans"/>
                <w:color w:val="000000"/>
                <w:szCs w:val="22"/>
              </w:rPr>
              <w:t>as part of their dissertation with school students.</w:t>
            </w:r>
          </w:p>
          <w:p w14:paraId="07C99C6F" w14:textId="647A963F" w:rsidR="00F934ED" w:rsidRPr="005E5311" w:rsidRDefault="00F934ED" w:rsidP="00F934ED">
            <w:pPr>
              <w:rPr>
                <w:rFonts w:ascii="Gill Sans" w:hAnsi="Gill Sans" w:cs="Gill Sans"/>
                <w:color w:val="000000"/>
                <w:szCs w:val="22"/>
              </w:rPr>
            </w:pPr>
            <w:r w:rsidRPr="005E5311">
              <w:rPr>
                <w:rFonts w:ascii="Gill Sans" w:hAnsi="Gill Sans" w:cs="Gill Sans"/>
                <w:color w:val="000000"/>
                <w:szCs w:val="22"/>
              </w:rPr>
              <w:t>(2) To explore how supporting dissertation students with their dissertation research project</w:t>
            </w:r>
            <w:r>
              <w:rPr>
                <w:rFonts w:ascii="Gill Sans" w:hAnsi="Gill Sans" w:cs="Gill Sans"/>
                <w:color w:val="000000"/>
                <w:szCs w:val="22"/>
              </w:rPr>
              <w:t xml:space="preserve"> </w:t>
            </w:r>
            <w:r w:rsidRPr="005E5311">
              <w:rPr>
                <w:rFonts w:ascii="Gill Sans" w:hAnsi="Gill Sans" w:cs="Gill Sans"/>
                <w:color w:val="000000"/>
                <w:szCs w:val="22"/>
              </w:rPr>
              <w:t>impacted upon AS and A level students’ learning and perceptions of higher education.</w:t>
            </w:r>
          </w:p>
          <w:p w14:paraId="5DCCDA13" w14:textId="6FA94D6E" w:rsidR="00F934ED" w:rsidRPr="00D673BF" w:rsidRDefault="00F934ED" w:rsidP="00F934ED">
            <w:pPr>
              <w:rPr>
                <w:rFonts w:ascii="Gill Sans" w:hAnsi="Gill Sans" w:cs="Gill Sans"/>
                <w:color w:val="000000"/>
                <w:szCs w:val="22"/>
                <w:lang w:val="en-AU"/>
              </w:rPr>
            </w:pPr>
            <w:r w:rsidRPr="005E5311">
              <w:rPr>
                <w:rFonts w:ascii="Gill Sans" w:hAnsi="Gill Sans" w:cs="Gill Sans"/>
                <w:color w:val="000000"/>
                <w:szCs w:val="22"/>
              </w:rPr>
              <w:t xml:space="preserve">(3) To explore how taking part in applied research and mentoring of AS and A </w:t>
            </w:r>
            <w:proofErr w:type="gramStart"/>
            <w:r w:rsidRPr="005E5311">
              <w:rPr>
                <w:rFonts w:ascii="Gill Sans" w:hAnsi="Gill Sans" w:cs="Gill Sans"/>
                <w:color w:val="000000"/>
                <w:szCs w:val="22"/>
              </w:rPr>
              <w:t>Level students</w:t>
            </w:r>
            <w:proofErr w:type="gramEnd"/>
            <w:r>
              <w:rPr>
                <w:rFonts w:ascii="Gill Sans" w:hAnsi="Gill Sans" w:cs="Gill Sans"/>
                <w:color w:val="000000"/>
                <w:szCs w:val="22"/>
              </w:rPr>
              <w:t xml:space="preserve"> </w:t>
            </w:r>
            <w:r w:rsidRPr="005E5311">
              <w:rPr>
                <w:rFonts w:ascii="Gill Sans" w:hAnsi="Gill Sans" w:cs="Gill Sans"/>
                <w:color w:val="000000"/>
                <w:szCs w:val="22"/>
              </w:rPr>
              <w:t>enhanced dissertation students’ learning</w:t>
            </w:r>
            <w:r>
              <w:rPr>
                <w:rFonts w:ascii="Gill Sans" w:hAnsi="Gill Sans" w:cs="Gill Sans"/>
                <w:color w:val="000000"/>
                <w:szCs w:val="22"/>
              </w:rPr>
              <w:t>” (p.277)</w:t>
            </w:r>
            <w:r w:rsidRPr="005E5311">
              <w:rPr>
                <w:rFonts w:ascii="Gill Sans" w:hAnsi="Gill Sans" w:cs="Gill Sans"/>
                <w:color w:val="000000"/>
                <w:szCs w:val="22"/>
              </w:rPr>
              <w:t>.</w:t>
            </w:r>
            <w:r>
              <w:rPr>
                <w:rFonts w:ascii="Gill Sans" w:hAnsi="Gill Sans" w:cs="Gill Sans"/>
                <w:color w:val="000000"/>
                <w:szCs w:val="22"/>
              </w:rPr>
              <w:t xml:space="preserve"> </w:t>
            </w:r>
          </w:p>
          <w:p w14:paraId="1F385038" w14:textId="7DEE482C" w:rsidR="00F934ED" w:rsidRPr="009C7D5B"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Theoretical frame:</w:t>
            </w:r>
            <w:r>
              <w:rPr>
                <w:rFonts w:ascii="Gill Sans" w:hAnsi="Gill Sans" w:cs="Gill Sans"/>
                <w:b/>
                <w:color w:val="000000"/>
                <w:szCs w:val="22"/>
                <w:lang w:val="en-AU"/>
              </w:rPr>
              <w:t xml:space="preserve"> </w:t>
            </w:r>
            <w:r>
              <w:rPr>
                <w:rFonts w:ascii="Gill Sans" w:hAnsi="Gill Sans" w:cs="Gill Sans"/>
                <w:color w:val="000000"/>
                <w:szCs w:val="22"/>
                <w:lang w:val="en-AU"/>
              </w:rPr>
              <w:t>Social constructivism (</w:t>
            </w:r>
            <w:proofErr w:type="spellStart"/>
            <w:r>
              <w:rPr>
                <w:rFonts w:ascii="Gill Sans" w:hAnsi="Gill Sans" w:cs="Gill Sans"/>
                <w:color w:val="000000"/>
                <w:szCs w:val="22"/>
                <w:lang w:val="en-AU"/>
              </w:rPr>
              <w:t>Vygotksy</w:t>
            </w:r>
            <w:proofErr w:type="spellEnd"/>
            <w:r>
              <w:rPr>
                <w:rFonts w:ascii="Gill Sans" w:hAnsi="Gill Sans" w:cs="Gill Sans"/>
                <w:color w:val="000000"/>
                <w:szCs w:val="22"/>
                <w:lang w:val="en-AU"/>
              </w:rPr>
              <w:t xml:space="preserve">) and zone of proximal development </w:t>
            </w:r>
          </w:p>
          <w:p w14:paraId="4E6A34B5" w14:textId="76D02592" w:rsidR="00F934ED" w:rsidRPr="000B6DB2"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Pr>
                <w:rFonts w:ascii="Gill Sans" w:hAnsi="Gill Sans" w:cs="Gill Sans"/>
                <w:color w:val="000000"/>
                <w:szCs w:val="22"/>
                <w:lang w:val="en-AU"/>
              </w:rPr>
              <w:t>Exploratory case study; six undergraduate students who were undertaking their research dissertation expressed an interest in researching with younger people (Author 1 = dissertation supervisor; Author 2 = A-level teacher; Authors 3&amp;4 = students). Information on dissertation projects on p.278.</w:t>
            </w:r>
          </w:p>
          <w:p w14:paraId="07A53FD8" w14:textId="77777777" w:rsidR="00F934ED"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Findings: </w:t>
            </w:r>
            <w:r>
              <w:rPr>
                <w:rFonts w:ascii="Gill Sans" w:hAnsi="Gill Sans" w:cs="Gill Sans"/>
                <w:color w:val="000000"/>
                <w:szCs w:val="22"/>
                <w:lang w:val="en-AU"/>
              </w:rPr>
              <w:t>Findings from students’ dissertation projects = on p.280.</w:t>
            </w:r>
          </w:p>
          <w:p w14:paraId="1300355C" w14:textId="7178480F" w:rsidR="00F934ED" w:rsidRPr="00E13633" w:rsidRDefault="00F934ED" w:rsidP="00F934ED">
            <w:pPr>
              <w:rPr>
                <w:rFonts w:ascii="Gill Sans" w:hAnsi="Gill Sans" w:cs="Gill Sans"/>
                <w:color w:val="000000"/>
                <w:szCs w:val="22"/>
                <w:u w:val="single"/>
                <w:lang w:val="en-AU"/>
              </w:rPr>
            </w:pPr>
            <w:r w:rsidRPr="00E13633">
              <w:rPr>
                <w:rFonts w:ascii="Gill Sans" w:hAnsi="Gill Sans" w:cs="Gill Sans"/>
                <w:color w:val="000000"/>
                <w:szCs w:val="22"/>
                <w:u w:val="single"/>
                <w:lang w:val="en-AU"/>
              </w:rPr>
              <w:t>Reflections from participants/ authors</w:t>
            </w:r>
          </w:p>
          <w:p w14:paraId="7021AB2C" w14:textId="77777777" w:rsidR="00F934ED" w:rsidRDefault="00F934ED" w:rsidP="00F934ED">
            <w:pPr>
              <w:rPr>
                <w:rFonts w:ascii="Gill Sans" w:hAnsi="Gill Sans" w:cs="Gill Sans"/>
                <w:color w:val="000000"/>
                <w:szCs w:val="22"/>
              </w:rPr>
            </w:pPr>
            <w:r>
              <w:rPr>
                <w:rFonts w:ascii="Gill Sans" w:hAnsi="Gill Sans" w:cs="Gill Sans"/>
                <w:color w:val="000000"/>
                <w:szCs w:val="22"/>
                <w:lang w:val="en-AU"/>
              </w:rPr>
              <w:t xml:space="preserve">A-level students = asked for their opinions on participating in the dissertation projects; “They </w:t>
            </w:r>
            <w:r w:rsidRPr="005002E3">
              <w:rPr>
                <w:rFonts w:ascii="Gill Sans" w:hAnsi="Gill Sans" w:cs="Gill Sans"/>
                <w:color w:val="000000"/>
                <w:szCs w:val="22"/>
              </w:rPr>
              <w:t xml:space="preserve">stated that they </w:t>
            </w:r>
            <w:r w:rsidRPr="005002E3">
              <w:rPr>
                <w:rFonts w:ascii="Gill Sans" w:hAnsi="Gill Sans" w:cs="Gill Sans"/>
                <w:color w:val="000000"/>
                <w:szCs w:val="22"/>
              </w:rPr>
              <w:lastRenderedPageBreak/>
              <w:t>enjoyed the applied nature of the research as they could see how ‘real research at uni’ is</w:t>
            </w:r>
            <w:r>
              <w:rPr>
                <w:rFonts w:ascii="Gill Sans" w:hAnsi="Gill Sans" w:cs="Gill Sans"/>
                <w:color w:val="000000"/>
                <w:szCs w:val="22"/>
              </w:rPr>
              <w:t xml:space="preserve"> </w:t>
            </w:r>
            <w:r w:rsidRPr="005002E3">
              <w:rPr>
                <w:rFonts w:ascii="Gill Sans" w:hAnsi="Gill Sans" w:cs="Gill Sans"/>
                <w:color w:val="000000"/>
                <w:szCs w:val="22"/>
              </w:rPr>
              <w:t>conducted and that it was ‘better than just listening and reading about it’</w:t>
            </w:r>
            <w:r>
              <w:rPr>
                <w:rFonts w:ascii="Gill Sans" w:hAnsi="Gill Sans" w:cs="Gill Sans"/>
                <w:color w:val="000000"/>
                <w:szCs w:val="22"/>
              </w:rPr>
              <w:t>” (p.280)</w:t>
            </w:r>
            <w:r w:rsidRPr="005002E3">
              <w:rPr>
                <w:rFonts w:ascii="Gill Sans" w:hAnsi="Gill Sans" w:cs="Gill Sans"/>
                <w:color w:val="000000"/>
                <w:szCs w:val="22"/>
              </w:rPr>
              <w:t>.</w:t>
            </w:r>
          </w:p>
          <w:p w14:paraId="2E715BE4" w14:textId="77777777" w:rsidR="00F934ED" w:rsidRDefault="00F934ED" w:rsidP="00F934ED">
            <w:pPr>
              <w:rPr>
                <w:rFonts w:ascii="Gill Sans" w:hAnsi="Gill Sans" w:cs="Gill Sans"/>
                <w:color w:val="000000"/>
                <w:szCs w:val="22"/>
              </w:rPr>
            </w:pPr>
            <w:r>
              <w:rPr>
                <w:rFonts w:ascii="Gill Sans" w:hAnsi="Gill Sans" w:cs="Gill Sans"/>
                <w:color w:val="000000"/>
                <w:szCs w:val="22"/>
              </w:rPr>
              <w:t>Dissertation students = described how “</w:t>
            </w:r>
            <w:r w:rsidRPr="005E38EC">
              <w:rPr>
                <w:rFonts w:ascii="Gill Sans" w:hAnsi="Gill Sans" w:cs="Gill Sans"/>
                <w:color w:val="000000"/>
                <w:szCs w:val="22"/>
              </w:rPr>
              <w:t>meeting with the schools</w:t>
            </w:r>
            <w:r>
              <w:rPr>
                <w:rFonts w:ascii="Gill Sans" w:hAnsi="Gill Sans" w:cs="Gill Sans"/>
                <w:color w:val="000000"/>
                <w:szCs w:val="22"/>
              </w:rPr>
              <w:t xml:space="preserve"> </w:t>
            </w:r>
            <w:r w:rsidRPr="005E38EC">
              <w:rPr>
                <w:rFonts w:ascii="Gill Sans" w:hAnsi="Gill Sans" w:cs="Gill Sans"/>
                <w:color w:val="000000"/>
                <w:szCs w:val="22"/>
              </w:rPr>
              <w:t xml:space="preserve">in the preparation stage improved their </w:t>
            </w:r>
            <w:proofErr w:type="gramStart"/>
            <w:r w:rsidRPr="005E38EC">
              <w:rPr>
                <w:rFonts w:ascii="Gill Sans" w:hAnsi="Gill Sans" w:cs="Gill Sans"/>
                <w:color w:val="000000"/>
                <w:szCs w:val="22"/>
              </w:rPr>
              <w:t>confidence, and</w:t>
            </w:r>
            <w:proofErr w:type="gramEnd"/>
            <w:r w:rsidRPr="005E38EC">
              <w:rPr>
                <w:rFonts w:ascii="Gill Sans" w:hAnsi="Gill Sans" w:cs="Gill Sans"/>
                <w:color w:val="000000"/>
                <w:szCs w:val="22"/>
              </w:rPr>
              <w:t xml:space="preserve"> increased their understanding of the ethical</w:t>
            </w:r>
            <w:r>
              <w:rPr>
                <w:rFonts w:ascii="Gill Sans" w:hAnsi="Gill Sans" w:cs="Gill Sans"/>
                <w:color w:val="000000"/>
                <w:szCs w:val="22"/>
              </w:rPr>
              <w:t xml:space="preserve"> </w:t>
            </w:r>
            <w:r w:rsidRPr="005E38EC">
              <w:rPr>
                <w:rFonts w:ascii="Gill Sans" w:hAnsi="Gill Sans" w:cs="Gill Sans"/>
                <w:color w:val="000000"/>
                <w:szCs w:val="22"/>
              </w:rPr>
              <w:t>implications of taking part in applied researc</w:t>
            </w:r>
            <w:r>
              <w:rPr>
                <w:rFonts w:ascii="Gill Sans" w:hAnsi="Gill Sans" w:cs="Gill Sans"/>
                <w:color w:val="000000"/>
                <w:szCs w:val="22"/>
              </w:rPr>
              <w:t>h” (p.280) and they enjoyed mentoring the A-level students.</w:t>
            </w:r>
          </w:p>
          <w:p w14:paraId="26187DD9" w14:textId="73ECEFB6" w:rsidR="00F934ED" w:rsidRPr="00223D83" w:rsidRDefault="00F934ED" w:rsidP="00F934ED">
            <w:pPr>
              <w:rPr>
                <w:rFonts w:ascii="Gill Sans" w:hAnsi="Gill Sans" w:cs="Gill Sans"/>
                <w:color w:val="000000"/>
                <w:szCs w:val="22"/>
                <w:lang w:val="en-AU"/>
              </w:rPr>
            </w:pPr>
            <w:r>
              <w:rPr>
                <w:rFonts w:ascii="Gill Sans" w:hAnsi="Gill Sans" w:cs="Gill Sans"/>
                <w:color w:val="000000"/>
                <w:szCs w:val="22"/>
              </w:rPr>
              <w:t xml:space="preserve">Teachers/ authors: reflected on the opportunities for both sets of </w:t>
            </w:r>
            <w:proofErr w:type="gramStart"/>
            <w:r>
              <w:rPr>
                <w:rFonts w:ascii="Gill Sans" w:hAnsi="Gill Sans" w:cs="Gill Sans"/>
                <w:color w:val="000000"/>
                <w:szCs w:val="22"/>
              </w:rPr>
              <w:t>students, and</w:t>
            </w:r>
            <w:proofErr w:type="gramEnd"/>
            <w:r>
              <w:rPr>
                <w:rFonts w:ascii="Gill Sans" w:hAnsi="Gill Sans" w:cs="Gill Sans"/>
                <w:color w:val="000000"/>
                <w:szCs w:val="22"/>
              </w:rPr>
              <w:t xml:space="preserve"> was likely to encourage schools students to consider studying psychology at university. However, authors note how challenging it can be to develop/sustain relationships between universities and schools (also the ethical issues)</w:t>
            </w:r>
            <w:r w:rsidRPr="00076E76">
              <w:rPr>
                <w:rFonts w:ascii="Gill Sans" w:hAnsi="Gill Sans" w:cs="Gill Sans"/>
                <w:b/>
                <w:color w:val="000000"/>
                <w:szCs w:val="22"/>
                <w:lang w:val="en-AU"/>
              </w:rPr>
              <w:br/>
              <w:t>Core argument:</w:t>
            </w:r>
            <w:r>
              <w:rPr>
                <w:rFonts w:ascii="Gill Sans" w:hAnsi="Gill Sans" w:cs="Gill Sans"/>
                <w:b/>
                <w:color w:val="000000"/>
                <w:szCs w:val="22"/>
                <w:lang w:val="en-AU"/>
              </w:rPr>
              <w:t xml:space="preserve"> </w:t>
            </w:r>
            <w:r>
              <w:rPr>
                <w:rFonts w:ascii="Gill Sans" w:hAnsi="Gill Sans" w:cs="Gill Sans"/>
                <w:color w:val="000000"/>
                <w:szCs w:val="22"/>
                <w:lang w:val="en-AU"/>
              </w:rPr>
              <w:t>A partnership such as the one described in this article can be useful for supporting university students to develop their own research practices, to support school students with their transitions and aspirations/ feel more prepared and aware of what is involved in undergraduate study.</w:t>
            </w:r>
          </w:p>
        </w:tc>
      </w:tr>
      <w:tr w:rsidR="00F934ED" w:rsidRPr="00076E76" w14:paraId="5484403B" w14:textId="77777777" w:rsidTr="002E557C">
        <w:tc>
          <w:tcPr>
            <w:tcW w:w="5529" w:type="dxa"/>
          </w:tcPr>
          <w:p w14:paraId="71D3F56D" w14:textId="38F44F1E" w:rsidR="00F934ED" w:rsidRPr="00675AE2" w:rsidRDefault="00F934ED" w:rsidP="00F934ED">
            <w:pPr>
              <w:rPr>
                <w:rFonts w:ascii="Gill Sans" w:hAnsi="Gill Sans" w:cs="Gill Sans"/>
                <w:szCs w:val="22"/>
              </w:rPr>
            </w:pPr>
            <w:r>
              <w:rPr>
                <w:rFonts w:ascii="Gill Sans" w:hAnsi="Gill Sans" w:cs="Gill Sans"/>
                <w:szCs w:val="22"/>
              </w:rPr>
              <w:lastRenderedPageBreak/>
              <w:t xml:space="preserve">McPhail, R. (2015). </w:t>
            </w:r>
            <w:hyperlink r:id="rId95" w:history="1">
              <w:r w:rsidRPr="00FE6B42">
                <w:rPr>
                  <w:rStyle w:val="Hyperlink"/>
                  <w:rFonts w:ascii="Gill Sans" w:hAnsi="Gill Sans" w:cs="Gill Sans"/>
                  <w:szCs w:val="22"/>
                </w:rPr>
                <w:t>Pre-university prepared students: a programme for facilitating the transition from secondary to tertiary education</w:t>
              </w:r>
            </w:hyperlink>
            <w:r w:rsidRPr="00675AE2">
              <w:rPr>
                <w:rFonts w:ascii="Gill Sans" w:hAnsi="Gill Sans" w:cs="Gill Sans"/>
                <w:szCs w:val="22"/>
              </w:rPr>
              <w:t xml:space="preserve">, </w:t>
            </w:r>
            <w:r w:rsidRPr="00675AE2">
              <w:rPr>
                <w:rFonts w:ascii="Gill Sans" w:hAnsi="Gill Sans" w:cs="Gill Sans"/>
                <w:i/>
                <w:szCs w:val="22"/>
              </w:rPr>
              <w:t>Teaching in Higher Education</w:t>
            </w:r>
            <w:r>
              <w:rPr>
                <w:rFonts w:ascii="Gill Sans" w:hAnsi="Gill Sans" w:cs="Gill Sans"/>
                <w:szCs w:val="22"/>
              </w:rPr>
              <w:t>, 20(</w:t>
            </w:r>
            <w:r w:rsidRPr="00675AE2">
              <w:rPr>
                <w:rFonts w:ascii="Gill Sans" w:hAnsi="Gill Sans" w:cs="Gill Sans"/>
                <w:szCs w:val="22"/>
              </w:rPr>
              <w:t>6</w:t>
            </w:r>
            <w:r>
              <w:rPr>
                <w:rFonts w:ascii="Gill Sans" w:hAnsi="Gill Sans" w:cs="Gill Sans"/>
                <w:szCs w:val="22"/>
              </w:rPr>
              <w:t>)</w:t>
            </w:r>
            <w:r w:rsidRPr="00675AE2">
              <w:rPr>
                <w:rFonts w:ascii="Gill Sans" w:hAnsi="Gill Sans" w:cs="Gill Sans"/>
                <w:szCs w:val="22"/>
              </w:rPr>
              <w:t>,</w:t>
            </w:r>
          </w:p>
          <w:p w14:paraId="7AA1C3A6" w14:textId="77777777" w:rsidR="00F934ED" w:rsidRDefault="00F934ED" w:rsidP="00F934ED">
            <w:pPr>
              <w:rPr>
                <w:rFonts w:ascii="Gill Sans" w:hAnsi="Gill Sans" w:cs="Gill Sans"/>
                <w:szCs w:val="22"/>
              </w:rPr>
            </w:pPr>
            <w:r>
              <w:rPr>
                <w:rFonts w:ascii="Gill Sans" w:hAnsi="Gill Sans" w:cs="Gill Sans"/>
                <w:szCs w:val="22"/>
              </w:rPr>
              <w:t>652–</w:t>
            </w:r>
            <w:r w:rsidRPr="00675AE2">
              <w:rPr>
                <w:rFonts w:ascii="Gill Sans" w:hAnsi="Gill Sans" w:cs="Gill Sans"/>
                <w:szCs w:val="22"/>
              </w:rPr>
              <w:t>665</w:t>
            </w:r>
            <w:r>
              <w:rPr>
                <w:rFonts w:ascii="Gill Sans" w:hAnsi="Gill Sans" w:cs="Gill Sans"/>
                <w:szCs w:val="22"/>
              </w:rPr>
              <w:t>.</w:t>
            </w:r>
          </w:p>
          <w:p w14:paraId="4A8BE301" w14:textId="77777777" w:rsidR="00F934ED" w:rsidRDefault="00F934ED" w:rsidP="00F934ED">
            <w:pPr>
              <w:rPr>
                <w:rFonts w:ascii="Gill Sans" w:hAnsi="Gill Sans" w:cs="Gill Sans"/>
                <w:szCs w:val="22"/>
              </w:rPr>
            </w:pPr>
          </w:p>
          <w:p w14:paraId="36BD1051" w14:textId="77777777" w:rsidR="00F934ED" w:rsidRDefault="00F934ED" w:rsidP="00F934ED">
            <w:pPr>
              <w:rPr>
                <w:rFonts w:ascii="Gill Sans" w:hAnsi="Gill Sans" w:cs="Gill Sans"/>
                <w:szCs w:val="22"/>
              </w:rPr>
            </w:pPr>
            <w:r>
              <w:rPr>
                <w:rFonts w:ascii="Gill Sans" w:hAnsi="Gill Sans" w:cs="Gill Sans"/>
                <w:szCs w:val="22"/>
              </w:rPr>
              <w:t>AUS</w:t>
            </w:r>
          </w:p>
          <w:p w14:paraId="07BEB16B"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27708196" w14:textId="77777777" w:rsidR="00F934ED" w:rsidRDefault="00F934ED" w:rsidP="00F934ED">
            <w:pPr>
              <w:rPr>
                <w:rFonts w:ascii="Gill Sans" w:hAnsi="Gill Sans" w:cs="Gill Sans"/>
                <w:szCs w:val="22"/>
              </w:rPr>
            </w:pPr>
          </w:p>
          <w:p w14:paraId="39A8F81D" w14:textId="77777777" w:rsidR="00F934ED" w:rsidRDefault="00F934ED" w:rsidP="00F934ED">
            <w:pPr>
              <w:rPr>
                <w:rFonts w:ascii="Gill Sans" w:hAnsi="Gill Sans" w:cs="Gill Sans"/>
                <w:i/>
                <w:szCs w:val="22"/>
              </w:rPr>
            </w:pPr>
            <w:r>
              <w:rPr>
                <w:rFonts w:ascii="Gill Sans" w:hAnsi="Gill Sans" w:cs="Gill Sans"/>
                <w:szCs w:val="22"/>
              </w:rPr>
              <w:t xml:space="preserve">Keywords: </w:t>
            </w:r>
            <w:r w:rsidRPr="00286EE2">
              <w:rPr>
                <w:rFonts w:ascii="Gill Sans" w:hAnsi="Gill Sans" w:cs="Gill Sans"/>
                <w:i/>
                <w:szCs w:val="22"/>
              </w:rPr>
              <w:t>first-year student experience; secondary; student expectations; student pathways; student transition</w:t>
            </w:r>
          </w:p>
          <w:p w14:paraId="22434AC0" w14:textId="77777777" w:rsidR="00F934ED" w:rsidRDefault="00F934ED" w:rsidP="00F934ED">
            <w:pPr>
              <w:rPr>
                <w:rFonts w:ascii="Gill Sans" w:hAnsi="Gill Sans" w:cs="Gill Sans"/>
                <w:i/>
                <w:szCs w:val="22"/>
              </w:rPr>
            </w:pPr>
          </w:p>
          <w:p w14:paraId="5604BC4B" w14:textId="138AA0CE" w:rsidR="00F934ED" w:rsidRPr="003A3994" w:rsidRDefault="00F934ED" w:rsidP="00F934ED">
            <w:pPr>
              <w:rPr>
                <w:rFonts w:ascii="Gill Sans" w:hAnsi="Gill Sans" w:cs="Gill Sans"/>
                <w:szCs w:val="22"/>
              </w:rPr>
            </w:pPr>
          </w:p>
        </w:tc>
        <w:tc>
          <w:tcPr>
            <w:tcW w:w="10064" w:type="dxa"/>
          </w:tcPr>
          <w:p w14:paraId="51F23D2A" w14:textId="3A5C1936" w:rsidR="00F934ED" w:rsidRPr="00431A2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Pr>
                <w:rFonts w:ascii="Gill Sans" w:hAnsi="Gill Sans" w:cs="Gill Sans"/>
                <w:color w:val="000000"/>
                <w:szCs w:val="22"/>
                <w:lang w:val="en-AU"/>
              </w:rPr>
              <w:t>Supporting students to transition into higher education. Author argues that importance of pre-university programs has been underexplored/ under-discussed in the research literature. Literature review covers challenges identified with transition (isolation, emotions, dislocation, adaptation, mismatched expectations). Author notes research by James et al. (2010), which suggested that half of first year students felt that their experience at school had under-prepared them for higher education study</w:t>
            </w:r>
          </w:p>
          <w:p w14:paraId="55214E8C" w14:textId="6F74985F" w:rsidR="00F934ED" w:rsidRPr="00431A2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Pr>
                <w:rFonts w:ascii="Gill Sans" w:hAnsi="Gill Sans" w:cs="Gill Sans"/>
                <w:color w:val="000000"/>
                <w:szCs w:val="22"/>
                <w:lang w:val="en-AU"/>
              </w:rPr>
              <w:t>To describe a school-based pre-university programme designed to support school (Years 10–12) to university transitions; to “</w:t>
            </w:r>
            <w:r w:rsidRPr="00CC162B">
              <w:rPr>
                <w:rFonts w:ascii="Gill Sans" w:hAnsi="Gill Sans" w:cs="Gill Sans"/>
                <w:color w:val="000000"/>
                <w:szCs w:val="22"/>
              </w:rPr>
              <w:t>explore how</w:t>
            </w:r>
            <w:r>
              <w:rPr>
                <w:rFonts w:ascii="Gill Sans" w:hAnsi="Gill Sans" w:cs="Gill Sans"/>
                <w:color w:val="000000"/>
                <w:szCs w:val="22"/>
              </w:rPr>
              <w:t xml:space="preserve"> </w:t>
            </w:r>
            <w:r w:rsidRPr="00CC162B">
              <w:rPr>
                <w:rFonts w:ascii="Gill Sans" w:hAnsi="Gill Sans" w:cs="Gill Sans"/>
                <w:color w:val="000000"/>
                <w:szCs w:val="22"/>
              </w:rPr>
              <w:t>‘ pre-university prepared students’  (PUPS) expectations might be realigned to better</w:t>
            </w:r>
            <w:r>
              <w:rPr>
                <w:rFonts w:ascii="Gill Sans" w:hAnsi="Gill Sans" w:cs="Gill Sans"/>
                <w:color w:val="000000"/>
                <w:szCs w:val="22"/>
              </w:rPr>
              <w:t xml:space="preserve"> </w:t>
            </w:r>
            <w:r w:rsidRPr="00CC162B">
              <w:rPr>
                <w:rFonts w:ascii="Gill Sans" w:hAnsi="Gill Sans" w:cs="Gill Sans"/>
                <w:color w:val="000000"/>
                <w:szCs w:val="22"/>
              </w:rPr>
              <w:t>meet the realities of tertiary studies and thereby assist with successful transition</w:t>
            </w:r>
            <w:r>
              <w:rPr>
                <w:rFonts w:ascii="Gill Sans" w:hAnsi="Gill Sans" w:cs="Gill Sans"/>
                <w:color w:val="000000"/>
                <w:szCs w:val="22"/>
              </w:rPr>
              <w:t xml:space="preserve"> </w:t>
            </w:r>
            <w:r w:rsidRPr="00CC162B">
              <w:rPr>
                <w:rFonts w:ascii="Gill Sans" w:hAnsi="Gill Sans" w:cs="Gill Sans"/>
                <w:color w:val="000000"/>
                <w:szCs w:val="22"/>
              </w:rPr>
              <w:t>and potential retention in one Business outreach programme</w:t>
            </w:r>
            <w:r>
              <w:rPr>
                <w:rFonts w:ascii="Gill Sans" w:hAnsi="Gill Sans" w:cs="Gill Sans"/>
                <w:color w:val="000000"/>
                <w:szCs w:val="22"/>
              </w:rPr>
              <w:t xml:space="preserve">” (p.656). </w:t>
            </w:r>
          </w:p>
          <w:p w14:paraId="79CF25FA" w14:textId="00A378BD" w:rsidR="00F934ED" w:rsidRPr="00CC162B"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Theoretical frame:</w:t>
            </w:r>
            <w:r>
              <w:rPr>
                <w:rFonts w:ascii="Gill Sans" w:hAnsi="Gill Sans" w:cs="Gill Sans"/>
                <w:b/>
                <w:color w:val="000000"/>
                <w:szCs w:val="22"/>
                <w:lang w:val="en-AU"/>
              </w:rPr>
              <w:t xml:space="preserve"> </w:t>
            </w:r>
            <w:r>
              <w:rPr>
                <w:rFonts w:ascii="Gill Sans" w:hAnsi="Gill Sans" w:cs="Gill Sans"/>
                <w:color w:val="000000"/>
                <w:szCs w:val="22"/>
                <w:lang w:val="en-AU"/>
              </w:rPr>
              <w:t>Five senses model of successful transition (</w:t>
            </w:r>
            <w:proofErr w:type="spellStart"/>
            <w:r>
              <w:rPr>
                <w:rFonts w:ascii="Gill Sans" w:hAnsi="Gill Sans" w:cs="Gill Sans"/>
                <w:color w:val="000000"/>
                <w:szCs w:val="22"/>
                <w:lang w:val="en-AU"/>
              </w:rPr>
              <w:t>Lizzio</w:t>
            </w:r>
            <w:proofErr w:type="spellEnd"/>
            <w:r>
              <w:rPr>
                <w:rFonts w:ascii="Gill Sans" w:hAnsi="Gill Sans" w:cs="Gill Sans"/>
                <w:color w:val="000000"/>
                <w:szCs w:val="22"/>
                <w:lang w:val="en-AU"/>
              </w:rPr>
              <w:t xml:space="preserve">, 2006), which conceptualises </w:t>
            </w:r>
            <w:r w:rsidRPr="00201604">
              <w:rPr>
                <w:rFonts w:ascii="Gill Sans" w:hAnsi="Gill Sans" w:cs="Gill Sans"/>
                <w:color w:val="000000"/>
                <w:szCs w:val="22"/>
              </w:rPr>
              <w:t>student</w:t>
            </w:r>
            <w:r>
              <w:rPr>
                <w:rFonts w:ascii="Gill Sans" w:hAnsi="Gill Sans" w:cs="Gill Sans"/>
                <w:color w:val="000000"/>
                <w:szCs w:val="22"/>
              </w:rPr>
              <w:t>s’</w:t>
            </w:r>
            <w:r w:rsidRPr="00201604">
              <w:rPr>
                <w:rFonts w:ascii="Gill Sans" w:hAnsi="Gill Sans" w:cs="Gill Sans"/>
                <w:color w:val="000000"/>
                <w:szCs w:val="22"/>
              </w:rPr>
              <w:t xml:space="preserve"> needs</w:t>
            </w:r>
            <w:r>
              <w:rPr>
                <w:rFonts w:ascii="Gill Sans" w:hAnsi="Gill Sans" w:cs="Gill Sans"/>
                <w:color w:val="000000"/>
                <w:szCs w:val="22"/>
              </w:rPr>
              <w:t xml:space="preserve"> as per</w:t>
            </w:r>
            <w:r w:rsidRPr="00201604">
              <w:rPr>
                <w:rFonts w:ascii="Gill Sans" w:hAnsi="Gill Sans" w:cs="Gill Sans"/>
                <w:color w:val="000000"/>
                <w:szCs w:val="22"/>
              </w:rPr>
              <w:t xml:space="preserve"> five domains of success: Academic culture, Purpose, Capability, Connectedness</w:t>
            </w:r>
            <w:r>
              <w:rPr>
                <w:rFonts w:ascii="Gill Sans" w:hAnsi="Gill Sans" w:cs="Gill Sans"/>
                <w:color w:val="000000"/>
                <w:szCs w:val="22"/>
              </w:rPr>
              <w:t xml:space="preserve"> </w:t>
            </w:r>
            <w:r w:rsidRPr="00201604">
              <w:rPr>
                <w:rFonts w:ascii="Gill Sans" w:hAnsi="Gill Sans" w:cs="Gill Sans"/>
                <w:color w:val="000000"/>
                <w:szCs w:val="22"/>
              </w:rPr>
              <w:t>and Resourcefulness</w:t>
            </w:r>
          </w:p>
          <w:p w14:paraId="1AF0CED9" w14:textId="26E5ED35" w:rsidR="00F934ED" w:rsidRPr="00CE0025"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Pr>
                <w:rFonts w:ascii="Gill Sans" w:hAnsi="Gill Sans" w:cs="Gill Sans"/>
                <w:color w:val="000000"/>
                <w:szCs w:val="22"/>
                <w:lang w:val="en-AU"/>
              </w:rPr>
              <w:t>Qualitative evaluation of PUPS program (details on p.657–8), created by a UQ academic and a high school Business teacher. Aim of PUPS program = “</w:t>
            </w:r>
            <w:r>
              <w:rPr>
                <w:rFonts w:ascii="Gill Sans" w:hAnsi="Gill Sans" w:cs="Gill Sans"/>
                <w:color w:val="000000"/>
                <w:szCs w:val="22"/>
              </w:rPr>
              <w:t xml:space="preserve">to improve the students’ </w:t>
            </w:r>
            <w:r w:rsidRPr="000E7407">
              <w:rPr>
                <w:rFonts w:ascii="Gill Sans" w:hAnsi="Gill Sans" w:cs="Gill Sans"/>
                <w:color w:val="000000"/>
                <w:szCs w:val="22"/>
              </w:rPr>
              <w:t>transition by</w:t>
            </w:r>
            <w:r>
              <w:rPr>
                <w:rFonts w:ascii="Gill Sans" w:hAnsi="Gill Sans" w:cs="Gill Sans"/>
                <w:color w:val="000000"/>
                <w:szCs w:val="22"/>
              </w:rPr>
              <w:t xml:space="preserve"> </w:t>
            </w:r>
            <w:r w:rsidRPr="000E7407">
              <w:rPr>
                <w:rFonts w:ascii="Gill Sans" w:hAnsi="Gill Sans" w:cs="Gill Sans"/>
                <w:color w:val="000000"/>
                <w:szCs w:val="22"/>
              </w:rPr>
              <w:t>providing them with experiences that develop realistic and informed expectations,</w:t>
            </w:r>
            <w:r>
              <w:rPr>
                <w:rFonts w:ascii="Gill Sans" w:hAnsi="Gill Sans" w:cs="Gill Sans"/>
                <w:color w:val="000000"/>
                <w:szCs w:val="22"/>
              </w:rPr>
              <w:t xml:space="preserve"> </w:t>
            </w:r>
            <w:r w:rsidRPr="000E7407">
              <w:rPr>
                <w:rFonts w:ascii="Gill Sans" w:hAnsi="Gill Sans" w:cs="Gill Sans"/>
                <w:color w:val="000000"/>
                <w:szCs w:val="22"/>
              </w:rPr>
              <w:t>knowledge with which to make informed decisions, if tertiary studies are what they</w:t>
            </w:r>
            <w:r>
              <w:rPr>
                <w:rFonts w:ascii="Gill Sans" w:hAnsi="Gill Sans" w:cs="Gill Sans"/>
                <w:color w:val="000000"/>
                <w:szCs w:val="22"/>
              </w:rPr>
              <w:t xml:space="preserve"> </w:t>
            </w:r>
            <w:r w:rsidRPr="000E7407">
              <w:rPr>
                <w:rFonts w:ascii="Gill Sans" w:hAnsi="Gill Sans" w:cs="Gill Sans"/>
                <w:color w:val="000000"/>
                <w:szCs w:val="22"/>
              </w:rPr>
              <w:t>want to pursue, about which degree to enrol in what skills will be required to ensure</w:t>
            </w:r>
            <w:r>
              <w:rPr>
                <w:rFonts w:ascii="Gill Sans" w:hAnsi="Gill Sans" w:cs="Gill Sans"/>
                <w:color w:val="000000"/>
                <w:szCs w:val="22"/>
              </w:rPr>
              <w:t xml:space="preserve"> </w:t>
            </w:r>
            <w:r w:rsidRPr="000E7407">
              <w:rPr>
                <w:rFonts w:ascii="Gill Sans" w:hAnsi="Gill Sans" w:cs="Gill Sans"/>
                <w:color w:val="000000"/>
                <w:szCs w:val="22"/>
              </w:rPr>
              <w:t>their successful transition to tertiary education</w:t>
            </w:r>
            <w:r>
              <w:rPr>
                <w:rFonts w:ascii="Gill Sans" w:hAnsi="Gill Sans" w:cs="Gill Sans"/>
                <w:color w:val="000000"/>
                <w:szCs w:val="22"/>
              </w:rPr>
              <w:t>” (p.657). Data = PUPS enrolment data (participation and transition) + lexical analysis of students’ reflective narratives (n=127): lexical analysis using Leximancer (see p.659)</w:t>
            </w:r>
          </w:p>
          <w:p w14:paraId="0EB86EED" w14:textId="795B0F6A" w:rsidR="00F934ED" w:rsidRPr="00964E8A" w:rsidRDefault="00F934ED" w:rsidP="00F934ED">
            <w:pPr>
              <w:rPr>
                <w:rFonts w:ascii="Gill Sans" w:hAnsi="Gill Sans" w:cs="Gill Sans"/>
                <w:color w:val="000000"/>
                <w:szCs w:val="22"/>
              </w:rPr>
            </w:pPr>
            <w:r w:rsidRPr="00076E76">
              <w:rPr>
                <w:rFonts w:ascii="Gill Sans" w:hAnsi="Gill Sans" w:cs="Gill Sans"/>
                <w:b/>
                <w:color w:val="000000"/>
                <w:szCs w:val="22"/>
                <w:lang w:val="en-AU"/>
              </w:rPr>
              <w:t xml:space="preserve">Findings: </w:t>
            </w:r>
            <w:r>
              <w:rPr>
                <w:rFonts w:ascii="Gill Sans" w:hAnsi="Gill Sans" w:cs="Gill Sans"/>
                <w:color w:val="000000"/>
                <w:szCs w:val="22"/>
                <w:lang w:val="en-AU"/>
              </w:rPr>
              <w:t xml:space="preserve">Lexical analysis of students’ reflective narratives identified 6 themes and 29 concepts, which have been categorised according to ‘more tangible’ (e.g. </w:t>
            </w:r>
            <w:r w:rsidRPr="003E478E">
              <w:rPr>
                <w:rFonts w:ascii="Gill Sans" w:hAnsi="Gill Sans" w:cs="Gill Sans"/>
                <w:color w:val="000000"/>
                <w:szCs w:val="22"/>
              </w:rPr>
              <w:t>university, lectures),</w:t>
            </w:r>
            <w:r>
              <w:rPr>
                <w:rFonts w:ascii="Gill Sans" w:hAnsi="Gill Sans" w:cs="Gill Sans"/>
                <w:color w:val="000000"/>
                <w:szCs w:val="22"/>
                <w:lang w:val="en-AU"/>
              </w:rPr>
              <w:t xml:space="preserve"> and ‘less tangible’ issues (e.g.</w:t>
            </w:r>
            <w:r>
              <w:t xml:space="preserve"> </w:t>
            </w:r>
            <w:r w:rsidRPr="003E478E">
              <w:rPr>
                <w:rFonts w:ascii="Gill Sans" w:hAnsi="Gill Sans" w:cs="Gill Sans"/>
                <w:color w:val="000000"/>
                <w:szCs w:val="22"/>
                <w:lang w:val="en-AU"/>
              </w:rPr>
              <w:t xml:space="preserve">feel, </w:t>
            </w:r>
            <w:r w:rsidRPr="003E478E">
              <w:rPr>
                <w:rFonts w:ascii="Gill Sans" w:hAnsi="Gill Sans" w:cs="Gill Sans"/>
                <w:color w:val="000000"/>
                <w:szCs w:val="22"/>
                <w:lang w:val="en-AU"/>
              </w:rPr>
              <w:lastRenderedPageBreak/>
              <w:t>experience, institution and different</w:t>
            </w:r>
            <w:r>
              <w:rPr>
                <w:rFonts w:ascii="Gill Sans" w:hAnsi="Gill Sans" w:cs="Gill Sans"/>
                <w:color w:val="000000"/>
                <w:szCs w:val="22"/>
                <w:lang w:val="en-AU"/>
              </w:rPr>
              <w:t xml:space="preserve">). Strongest theme [frequency of word?] = university; second strongest = lectures.  </w:t>
            </w:r>
            <w:r w:rsidRPr="00076E76">
              <w:rPr>
                <w:rFonts w:ascii="Gill Sans" w:hAnsi="Gill Sans" w:cs="Gill Sans"/>
                <w:b/>
                <w:color w:val="000000"/>
                <w:szCs w:val="22"/>
                <w:lang w:val="en-AU"/>
              </w:rPr>
              <w:br/>
              <w:t>Core argument:</w:t>
            </w:r>
            <w:r>
              <w:rPr>
                <w:rFonts w:ascii="Gill Sans" w:hAnsi="Gill Sans" w:cs="Gill Sans"/>
                <w:b/>
                <w:color w:val="000000"/>
                <w:szCs w:val="22"/>
                <w:lang w:val="en-AU"/>
              </w:rPr>
              <w:t xml:space="preserve"> </w:t>
            </w:r>
            <w:r>
              <w:rPr>
                <w:rFonts w:ascii="Gill Sans" w:hAnsi="Gill Sans" w:cs="Gill Sans"/>
                <w:color w:val="000000"/>
                <w:szCs w:val="22"/>
                <w:lang w:val="en-AU"/>
              </w:rPr>
              <w:t>“</w:t>
            </w:r>
            <w:r w:rsidRPr="00964E8A">
              <w:rPr>
                <w:rFonts w:ascii="Gill Sans" w:hAnsi="Gill Sans" w:cs="Gill Sans"/>
                <w:color w:val="000000"/>
                <w:szCs w:val="22"/>
              </w:rPr>
              <w:t>PUPS appeared in many cases, to realise that they can achieve at university, were</w:t>
            </w:r>
            <w:r>
              <w:rPr>
                <w:rFonts w:ascii="Gill Sans" w:hAnsi="Gill Sans" w:cs="Gill Sans"/>
                <w:color w:val="000000"/>
                <w:szCs w:val="22"/>
              </w:rPr>
              <w:t xml:space="preserve"> </w:t>
            </w:r>
            <w:r w:rsidRPr="00964E8A">
              <w:rPr>
                <w:rFonts w:ascii="Gill Sans" w:hAnsi="Gill Sans" w:cs="Gill Sans"/>
                <w:color w:val="000000"/>
                <w:szCs w:val="22"/>
              </w:rPr>
              <w:t>assisted by knowing how to do this and knowing who can help them building a sense</w:t>
            </w:r>
            <w:r>
              <w:rPr>
                <w:rFonts w:ascii="Gill Sans" w:hAnsi="Gill Sans" w:cs="Gill Sans"/>
                <w:color w:val="000000"/>
                <w:szCs w:val="22"/>
              </w:rPr>
              <w:t xml:space="preserve"> </w:t>
            </w:r>
            <w:r w:rsidRPr="00964E8A">
              <w:rPr>
                <w:rFonts w:ascii="Gill Sans" w:hAnsi="Gill Sans" w:cs="Gill Sans"/>
                <w:color w:val="000000"/>
                <w:szCs w:val="22"/>
              </w:rPr>
              <w:t>of capability and connectedness</w:t>
            </w:r>
            <w:r>
              <w:rPr>
                <w:rFonts w:ascii="Gill Sans" w:hAnsi="Gill Sans" w:cs="Gill Sans"/>
                <w:color w:val="000000"/>
                <w:szCs w:val="22"/>
              </w:rPr>
              <w:t>” (p.662)</w:t>
            </w:r>
          </w:p>
        </w:tc>
      </w:tr>
      <w:tr w:rsidR="00F934ED" w:rsidRPr="00076E76" w14:paraId="268C77DD" w14:textId="77777777" w:rsidTr="002E557C">
        <w:tc>
          <w:tcPr>
            <w:tcW w:w="5529" w:type="dxa"/>
          </w:tcPr>
          <w:p w14:paraId="11DF96CB" w14:textId="11B3ECE9" w:rsidR="00F934ED" w:rsidRPr="00706038" w:rsidRDefault="00F934ED" w:rsidP="00F934ED">
            <w:pPr>
              <w:rPr>
                <w:rStyle w:val="Hyperlink"/>
                <w:rFonts w:ascii="Gill Sans" w:hAnsi="Gill Sans" w:cs="Gill Sans"/>
                <w:szCs w:val="22"/>
              </w:rPr>
            </w:pPr>
            <w:r>
              <w:rPr>
                <w:rFonts w:ascii="Gill Sans" w:hAnsi="Gill Sans" w:cs="Gill Sans"/>
                <w:szCs w:val="22"/>
              </w:rPr>
              <w:lastRenderedPageBreak/>
              <w:t xml:space="preserve">Meehan, C. &amp; Howells, K. (2019). </w:t>
            </w:r>
            <w:r>
              <w:rPr>
                <w:rFonts w:ascii="Gill Sans" w:hAnsi="Gill Sans" w:cs="Gill Sans"/>
                <w:szCs w:val="22"/>
              </w:rPr>
              <w:fldChar w:fldCharType="begin"/>
            </w:r>
            <w:r>
              <w:rPr>
                <w:rFonts w:ascii="Gill Sans" w:hAnsi="Gill Sans" w:cs="Gill Sans"/>
                <w:szCs w:val="22"/>
              </w:rPr>
              <w:instrText xml:space="preserve"> HYPERLINK "https://www.tandfonline.com/doi/abs/10.1080/0309877X.2018.1490702" </w:instrText>
            </w:r>
            <w:r>
              <w:rPr>
                <w:rFonts w:ascii="Gill Sans" w:hAnsi="Gill Sans" w:cs="Gill Sans"/>
                <w:szCs w:val="22"/>
              </w:rPr>
              <w:fldChar w:fldCharType="separate"/>
            </w:r>
            <w:r w:rsidRPr="00706038">
              <w:rPr>
                <w:rStyle w:val="Hyperlink"/>
                <w:rFonts w:ascii="Gill Sans" w:hAnsi="Gill Sans" w:cs="Gill Sans"/>
                <w:szCs w:val="22"/>
              </w:rPr>
              <w:t>In search of the feeling of</w:t>
            </w:r>
          </w:p>
          <w:p w14:paraId="5543355D" w14:textId="696976B6" w:rsidR="00F934ED" w:rsidRDefault="00F934ED" w:rsidP="00F934ED">
            <w:pPr>
              <w:rPr>
                <w:rFonts w:ascii="Gill Sans" w:hAnsi="Gill Sans" w:cs="Gill Sans"/>
                <w:szCs w:val="22"/>
              </w:rPr>
            </w:pPr>
            <w:r w:rsidRPr="00706038">
              <w:rPr>
                <w:rStyle w:val="Hyperlink"/>
                <w:rFonts w:ascii="Gill Sans" w:hAnsi="Gill Sans" w:cs="Gill Sans"/>
                <w:szCs w:val="22"/>
              </w:rPr>
              <w:t>‘belonging’ in higher education: undergraduate students transition into higher education</w:t>
            </w:r>
            <w:r>
              <w:rPr>
                <w:rFonts w:ascii="Gill Sans" w:hAnsi="Gill Sans" w:cs="Gill Sans"/>
                <w:szCs w:val="22"/>
              </w:rPr>
              <w:fldChar w:fldCharType="end"/>
            </w:r>
            <w:r w:rsidRPr="00FE6B42">
              <w:rPr>
                <w:rFonts w:ascii="Gill Sans" w:hAnsi="Gill Sans" w:cs="Gill Sans"/>
                <w:szCs w:val="22"/>
              </w:rPr>
              <w:t xml:space="preserve">, </w:t>
            </w:r>
            <w:r w:rsidRPr="00FE6B42">
              <w:rPr>
                <w:rFonts w:ascii="Gill Sans" w:hAnsi="Gill Sans" w:cs="Gill Sans"/>
                <w:i/>
                <w:szCs w:val="22"/>
              </w:rPr>
              <w:t>Journal of Further and Higher Education</w:t>
            </w:r>
            <w:r>
              <w:rPr>
                <w:rFonts w:ascii="Gill Sans" w:hAnsi="Gill Sans" w:cs="Gill Sans"/>
                <w:szCs w:val="22"/>
              </w:rPr>
              <w:t>, 43(</w:t>
            </w:r>
            <w:r w:rsidRPr="00FE6B42">
              <w:rPr>
                <w:rFonts w:ascii="Gill Sans" w:hAnsi="Gill Sans" w:cs="Gill Sans"/>
                <w:szCs w:val="22"/>
              </w:rPr>
              <w:t>10</w:t>
            </w:r>
            <w:r>
              <w:rPr>
                <w:rFonts w:ascii="Gill Sans" w:hAnsi="Gill Sans" w:cs="Gill Sans"/>
                <w:szCs w:val="22"/>
              </w:rPr>
              <w:t>), 1376–</w:t>
            </w:r>
            <w:r w:rsidRPr="00FE6B42">
              <w:rPr>
                <w:rFonts w:ascii="Gill Sans" w:hAnsi="Gill Sans" w:cs="Gill Sans"/>
                <w:szCs w:val="22"/>
              </w:rPr>
              <w:t>1390</w:t>
            </w:r>
            <w:r>
              <w:rPr>
                <w:rFonts w:ascii="Gill Sans" w:hAnsi="Gill Sans" w:cs="Gill Sans"/>
                <w:szCs w:val="22"/>
              </w:rPr>
              <w:t>.</w:t>
            </w:r>
          </w:p>
          <w:p w14:paraId="0E630B60" w14:textId="77777777" w:rsidR="00F934ED" w:rsidRDefault="00F934ED" w:rsidP="00F934ED">
            <w:pPr>
              <w:rPr>
                <w:rFonts w:ascii="Gill Sans" w:hAnsi="Gill Sans" w:cs="Gill Sans"/>
                <w:szCs w:val="22"/>
              </w:rPr>
            </w:pPr>
          </w:p>
          <w:p w14:paraId="08B82C82" w14:textId="77777777" w:rsidR="00F934ED" w:rsidRDefault="00F934ED" w:rsidP="00F934ED">
            <w:pPr>
              <w:rPr>
                <w:rFonts w:ascii="Gill Sans" w:hAnsi="Gill Sans" w:cs="Gill Sans"/>
                <w:szCs w:val="22"/>
              </w:rPr>
            </w:pPr>
            <w:r>
              <w:rPr>
                <w:rFonts w:ascii="Gill Sans" w:hAnsi="Gill Sans" w:cs="Gill Sans"/>
                <w:szCs w:val="22"/>
              </w:rPr>
              <w:t>UK</w:t>
            </w:r>
          </w:p>
          <w:p w14:paraId="29F4E42D"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614492C0" w14:textId="77777777" w:rsidR="00F934ED" w:rsidRDefault="00F934ED" w:rsidP="00F934ED">
            <w:pPr>
              <w:rPr>
                <w:rFonts w:ascii="Gill Sans" w:hAnsi="Gill Sans" w:cs="Gill Sans"/>
                <w:szCs w:val="22"/>
              </w:rPr>
            </w:pPr>
          </w:p>
          <w:p w14:paraId="4D6C6375" w14:textId="29CC66CE" w:rsidR="00F934ED" w:rsidRPr="00076E76" w:rsidRDefault="00F934ED" w:rsidP="00F934ED">
            <w:pPr>
              <w:rPr>
                <w:rFonts w:ascii="Gill Sans" w:hAnsi="Gill Sans" w:cs="Gill Sans"/>
                <w:szCs w:val="22"/>
              </w:rPr>
            </w:pPr>
            <w:r>
              <w:rPr>
                <w:rFonts w:ascii="Gill Sans" w:hAnsi="Gill Sans" w:cs="Gill Sans"/>
                <w:szCs w:val="22"/>
              </w:rPr>
              <w:t xml:space="preserve">Keywords: </w:t>
            </w:r>
            <w:r w:rsidRPr="00514A4B">
              <w:rPr>
                <w:rFonts w:ascii="Gill Sans" w:hAnsi="Gill Sans" w:cs="Gill Sans"/>
                <w:i/>
                <w:szCs w:val="22"/>
              </w:rPr>
              <w:t>Belonging; higher education; transition; student experience; undergraduate students</w:t>
            </w:r>
          </w:p>
        </w:tc>
        <w:tc>
          <w:tcPr>
            <w:tcW w:w="10064" w:type="dxa"/>
          </w:tcPr>
          <w:p w14:paraId="17C9FF6D" w14:textId="3B465DB0" w:rsidR="00F934ED" w:rsidRPr="004A688A"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Pr>
                <w:rFonts w:ascii="Gill Sans" w:hAnsi="Gill Sans" w:cs="Gill Sans"/>
                <w:color w:val="000000"/>
                <w:szCs w:val="22"/>
                <w:lang w:val="en-AU"/>
              </w:rPr>
              <w:t xml:space="preserve">Students transitioning into higher education in year 1; importance of belonging; Teaching Excellence Framework (TEF) as measurement framework that foregrounds importance of teaching/ transition </w:t>
            </w:r>
          </w:p>
          <w:p w14:paraId="78315301" w14:textId="77777777" w:rsidR="00F934ED" w:rsidRPr="00CE3C4F" w:rsidRDefault="00F934ED" w:rsidP="00F934ED">
            <w:pPr>
              <w:rPr>
                <w:rFonts w:ascii="Gill Sans" w:hAnsi="Gill Sans" w:cs="Gill Sans"/>
                <w:color w:val="000000"/>
                <w:szCs w:val="22"/>
              </w:rPr>
            </w:pPr>
            <w:r w:rsidRPr="00076E76">
              <w:rPr>
                <w:rFonts w:ascii="Gill Sans" w:hAnsi="Gill Sans" w:cs="Gill Sans"/>
                <w:b/>
                <w:color w:val="000000"/>
                <w:szCs w:val="22"/>
                <w:lang w:val="en-AU"/>
              </w:rPr>
              <w:t xml:space="preserve">Aim: </w:t>
            </w:r>
            <w:r>
              <w:rPr>
                <w:rFonts w:ascii="Gill Sans" w:hAnsi="Gill Sans" w:cs="Gill Sans"/>
                <w:color w:val="000000"/>
                <w:szCs w:val="22"/>
                <w:lang w:val="en-AU"/>
              </w:rPr>
              <w:t>To “</w:t>
            </w:r>
            <w:r w:rsidRPr="00CE3C4F">
              <w:rPr>
                <w:rFonts w:ascii="Gill Sans" w:hAnsi="Gill Sans" w:cs="Gill Sans"/>
                <w:color w:val="000000"/>
                <w:szCs w:val="22"/>
              </w:rPr>
              <w:t>explore students’ experiences of belonging, what factors enable belonging and</w:t>
            </w:r>
          </w:p>
          <w:p w14:paraId="174A4301" w14:textId="77777777" w:rsidR="00F934ED" w:rsidRPr="00CE3C4F" w:rsidRDefault="00F934ED" w:rsidP="00F934ED">
            <w:pPr>
              <w:rPr>
                <w:rFonts w:ascii="Gill Sans" w:hAnsi="Gill Sans" w:cs="Gill Sans"/>
                <w:color w:val="000000"/>
                <w:szCs w:val="22"/>
              </w:rPr>
            </w:pPr>
            <w:r w:rsidRPr="00CE3C4F">
              <w:rPr>
                <w:rFonts w:ascii="Gill Sans" w:hAnsi="Gill Sans" w:cs="Gill Sans"/>
                <w:color w:val="000000"/>
                <w:szCs w:val="22"/>
              </w:rPr>
              <w:t>create barriers to belonging in the following research questions underpinned this study:</w:t>
            </w:r>
          </w:p>
          <w:p w14:paraId="16F937BC" w14:textId="77777777" w:rsidR="00F934ED" w:rsidRPr="00CE3C4F" w:rsidRDefault="00F934ED" w:rsidP="00F934ED">
            <w:pPr>
              <w:rPr>
                <w:rFonts w:ascii="Gill Sans" w:hAnsi="Gill Sans" w:cs="Gill Sans"/>
                <w:color w:val="000000"/>
                <w:szCs w:val="22"/>
              </w:rPr>
            </w:pPr>
            <w:r w:rsidRPr="00CE3C4F">
              <w:rPr>
                <w:rFonts w:ascii="Times New Roman" w:hAnsi="Times New Roman" w:cs="Times New Roman"/>
                <w:color w:val="000000"/>
                <w:szCs w:val="22"/>
              </w:rPr>
              <w:t>●</w:t>
            </w:r>
            <w:r w:rsidRPr="00CE3C4F">
              <w:rPr>
                <w:rFonts w:ascii="Gill Sans" w:hAnsi="Gill Sans" w:cs="Gill Sans"/>
                <w:color w:val="000000"/>
                <w:szCs w:val="22"/>
              </w:rPr>
              <w:t xml:space="preserve"> What is ‘belonging’ in higher education?</w:t>
            </w:r>
          </w:p>
          <w:p w14:paraId="71DBEDE0" w14:textId="77777777" w:rsidR="00F934ED" w:rsidRPr="00CE3C4F" w:rsidRDefault="00F934ED" w:rsidP="00F934ED">
            <w:pPr>
              <w:rPr>
                <w:rFonts w:ascii="Gill Sans" w:hAnsi="Gill Sans" w:cs="Gill Sans"/>
                <w:color w:val="000000"/>
                <w:szCs w:val="22"/>
              </w:rPr>
            </w:pPr>
            <w:r w:rsidRPr="00CE3C4F">
              <w:rPr>
                <w:rFonts w:ascii="Times New Roman" w:hAnsi="Times New Roman" w:cs="Times New Roman"/>
                <w:color w:val="000000"/>
                <w:szCs w:val="22"/>
              </w:rPr>
              <w:t>●</w:t>
            </w:r>
            <w:r w:rsidRPr="00CE3C4F">
              <w:rPr>
                <w:rFonts w:ascii="Gill Sans" w:hAnsi="Gill Sans" w:cs="Gill Sans"/>
                <w:color w:val="000000"/>
                <w:szCs w:val="22"/>
              </w:rPr>
              <w:t xml:space="preserve"> What helps students to feel like they belong?</w:t>
            </w:r>
          </w:p>
          <w:p w14:paraId="1D41AEA0" w14:textId="77777777" w:rsidR="00F934ED" w:rsidRPr="00CE3C4F" w:rsidRDefault="00F934ED" w:rsidP="00F934ED">
            <w:pPr>
              <w:rPr>
                <w:rFonts w:ascii="Gill Sans" w:hAnsi="Gill Sans" w:cs="Gill Sans"/>
                <w:color w:val="000000"/>
                <w:szCs w:val="22"/>
              </w:rPr>
            </w:pPr>
            <w:r w:rsidRPr="00CE3C4F">
              <w:rPr>
                <w:rFonts w:ascii="Times New Roman" w:hAnsi="Times New Roman" w:cs="Times New Roman"/>
                <w:color w:val="000000"/>
                <w:szCs w:val="22"/>
              </w:rPr>
              <w:t>●</w:t>
            </w:r>
            <w:r w:rsidRPr="00CE3C4F">
              <w:rPr>
                <w:rFonts w:ascii="Gill Sans" w:hAnsi="Gill Sans" w:cs="Gill Sans"/>
                <w:color w:val="000000"/>
                <w:szCs w:val="22"/>
              </w:rPr>
              <w:t xml:space="preserve"> What are the barriers to belonging?</w:t>
            </w:r>
          </w:p>
          <w:p w14:paraId="3B58C34D" w14:textId="4FD036E1" w:rsidR="00F934ED" w:rsidRPr="00CE3C4F" w:rsidRDefault="00F934ED" w:rsidP="00F934ED">
            <w:pPr>
              <w:rPr>
                <w:rFonts w:ascii="Gill Sans" w:hAnsi="Gill Sans" w:cs="Gill Sans"/>
                <w:color w:val="000000"/>
                <w:szCs w:val="22"/>
                <w:lang w:val="en-AU"/>
              </w:rPr>
            </w:pPr>
            <w:r w:rsidRPr="00CE3C4F">
              <w:rPr>
                <w:rFonts w:ascii="Times New Roman" w:hAnsi="Times New Roman" w:cs="Times New Roman"/>
                <w:color w:val="000000"/>
                <w:szCs w:val="22"/>
              </w:rPr>
              <w:t>●</w:t>
            </w:r>
            <w:r w:rsidRPr="00CE3C4F">
              <w:rPr>
                <w:rFonts w:ascii="Gill Sans" w:hAnsi="Gill Sans" w:cs="Gill Sans"/>
                <w:color w:val="000000"/>
                <w:szCs w:val="22"/>
              </w:rPr>
              <w:t xml:space="preserve"> What are the lessons for tutor, managers, HEIs about belonging in higher education?</w:t>
            </w:r>
            <w:r>
              <w:rPr>
                <w:rFonts w:ascii="Gill Sans" w:hAnsi="Gill Sans" w:cs="Gill Sans"/>
                <w:color w:val="000000"/>
                <w:szCs w:val="22"/>
              </w:rPr>
              <w:t>” (p.1380)</w:t>
            </w:r>
          </w:p>
          <w:p w14:paraId="57493E7B" w14:textId="6E707CAD" w:rsidR="00F934ED" w:rsidRPr="00842804"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Theoretical frame:</w:t>
            </w:r>
            <w:r>
              <w:rPr>
                <w:rFonts w:ascii="Gill Sans" w:hAnsi="Gill Sans" w:cs="Gill Sans"/>
                <w:b/>
                <w:color w:val="000000"/>
                <w:szCs w:val="22"/>
                <w:lang w:val="en-AU"/>
              </w:rPr>
              <w:t xml:space="preserve"> </w:t>
            </w:r>
            <w:r>
              <w:rPr>
                <w:rFonts w:ascii="Gill Sans" w:hAnsi="Gill Sans" w:cs="Gill Sans"/>
                <w:color w:val="000000"/>
                <w:szCs w:val="22"/>
                <w:lang w:val="en-AU"/>
              </w:rPr>
              <w:t xml:space="preserve">Three-tiered model of being, becoming and belonging (Araujo et al., 2014) </w:t>
            </w:r>
            <w:r>
              <w:rPr>
                <w:rFonts w:cs="Gill Sans"/>
                <w:color w:val="000000"/>
                <w:szCs w:val="22"/>
                <w:lang w:val="en-AU"/>
              </w:rPr>
              <w:t>—</w:t>
            </w:r>
            <w:r>
              <w:rPr>
                <w:rFonts w:ascii="Gill Sans" w:hAnsi="Gill Sans" w:cs="Gill Sans"/>
                <w:color w:val="000000"/>
                <w:szCs w:val="22"/>
                <w:lang w:val="en-AU"/>
              </w:rPr>
              <w:t xml:space="preserve"> process view of transitions over student lifecycle</w:t>
            </w:r>
          </w:p>
          <w:p w14:paraId="2FEEE8E6" w14:textId="0EB2FE41" w:rsidR="00F934ED" w:rsidRPr="006F72AD"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Pr>
                <w:rFonts w:ascii="Gill Sans" w:hAnsi="Gill Sans" w:cs="Gill Sans"/>
                <w:color w:val="000000"/>
                <w:szCs w:val="22"/>
                <w:lang w:val="en-AU"/>
              </w:rPr>
              <w:t xml:space="preserve">Draws on qualitative data gathered from larger project on transition, which asked new students/ freshers (n=530; details on p.1381) to complete a Student Experience Evaluation (SEE) </w:t>
            </w:r>
            <w:r>
              <w:rPr>
                <w:rFonts w:cs="Gill Sans"/>
                <w:color w:val="000000"/>
                <w:szCs w:val="22"/>
                <w:lang w:val="en-AU"/>
              </w:rPr>
              <w:t>—</w:t>
            </w:r>
            <w:r>
              <w:rPr>
                <w:rFonts w:ascii="Gill Sans" w:hAnsi="Gill Sans" w:cs="Gill Sans"/>
                <w:color w:val="000000"/>
                <w:szCs w:val="22"/>
                <w:lang w:val="en-AU"/>
              </w:rPr>
              <w:t xml:space="preserve"> other findings are reported in Meehan &amp; Howells, 2017). Data responding to particular questions (see list on p.1380) = inductively and thematically analysed</w:t>
            </w:r>
          </w:p>
          <w:p w14:paraId="03D0C46E" w14:textId="77777777" w:rsidR="00F934ED" w:rsidRDefault="00F934ED" w:rsidP="00F934ED">
            <w:pPr>
              <w:rPr>
                <w:rFonts w:ascii="Gill Sans" w:hAnsi="Gill Sans" w:cs="Gill Sans"/>
                <w:b/>
                <w:color w:val="000000"/>
                <w:szCs w:val="22"/>
                <w:lang w:val="en-AU"/>
              </w:rPr>
            </w:pPr>
            <w:r w:rsidRPr="00076E76">
              <w:rPr>
                <w:rFonts w:ascii="Gill Sans" w:hAnsi="Gill Sans" w:cs="Gill Sans"/>
                <w:b/>
                <w:color w:val="000000"/>
                <w:szCs w:val="22"/>
                <w:lang w:val="en-AU"/>
              </w:rPr>
              <w:t xml:space="preserve">Findings: </w:t>
            </w:r>
          </w:p>
          <w:p w14:paraId="0487DE9F" w14:textId="77777777" w:rsidR="00F934ED" w:rsidRDefault="00F934ED" w:rsidP="00F934ED">
            <w:pPr>
              <w:rPr>
                <w:rFonts w:ascii="Gill Sans" w:hAnsi="Gill Sans" w:cs="Gill Sans"/>
                <w:color w:val="000000"/>
                <w:szCs w:val="22"/>
              </w:rPr>
            </w:pPr>
            <w:r w:rsidRPr="00BA0C23">
              <w:rPr>
                <w:rFonts w:ascii="Gill Sans" w:hAnsi="Gill Sans" w:cs="Gill Sans"/>
                <w:i/>
                <w:color w:val="000000"/>
                <w:szCs w:val="22"/>
                <w:lang w:val="en-AU"/>
              </w:rPr>
              <w:t>Belonging</w:t>
            </w:r>
            <w:r>
              <w:rPr>
                <w:rFonts w:ascii="Gill Sans" w:hAnsi="Gill Sans" w:cs="Gill Sans"/>
                <w:color w:val="000000"/>
                <w:szCs w:val="22"/>
                <w:lang w:val="en-AU"/>
              </w:rPr>
              <w:t>: students’ responses indicate several perceived benefits for starting university (such as “</w:t>
            </w:r>
            <w:r w:rsidRPr="00A40496">
              <w:rPr>
                <w:rFonts w:ascii="Gill Sans" w:hAnsi="Gill Sans" w:cs="Gill Sans"/>
                <w:color w:val="000000"/>
                <w:szCs w:val="22"/>
              </w:rPr>
              <w:t>making new friends, having new experiences, being in an environment in which</w:t>
            </w:r>
            <w:r>
              <w:rPr>
                <w:rFonts w:ascii="Gill Sans" w:hAnsi="Gill Sans" w:cs="Gill Sans"/>
                <w:color w:val="000000"/>
                <w:szCs w:val="22"/>
              </w:rPr>
              <w:t xml:space="preserve"> </w:t>
            </w:r>
            <w:r w:rsidRPr="00A40496">
              <w:rPr>
                <w:rFonts w:ascii="Gill Sans" w:hAnsi="Gill Sans" w:cs="Gill Sans"/>
                <w:color w:val="000000"/>
                <w:szCs w:val="22"/>
              </w:rPr>
              <w:t>they can learn, be challenged and leading to progression into a career which they aspire</w:t>
            </w:r>
            <w:r>
              <w:rPr>
                <w:rFonts w:ascii="Gill Sans" w:hAnsi="Gill Sans" w:cs="Gill Sans"/>
                <w:color w:val="000000"/>
                <w:szCs w:val="22"/>
              </w:rPr>
              <w:t xml:space="preserve"> </w:t>
            </w:r>
            <w:r w:rsidRPr="00A40496">
              <w:rPr>
                <w:rFonts w:ascii="Gill Sans" w:hAnsi="Gill Sans" w:cs="Gill Sans"/>
                <w:color w:val="000000"/>
                <w:szCs w:val="22"/>
              </w:rPr>
              <w:t>towards</w:t>
            </w:r>
            <w:r>
              <w:rPr>
                <w:rFonts w:ascii="Gill Sans" w:hAnsi="Gill Sans" w:cs="Gill Sans"/>
                <w:color w:val="000000"/>
                <w:szCs w:val="22"/>
              </w:rPr>
              <w:t xml:space="preserve">”, p.1382). Several </w:t>
            </w:r>
            <w:proofErr w:type="spellStart"/>
            <w:r>
              <w:rPr>
                <w:rFonts w:ascii="Gill Sans" w:hAnsi="Gill Sans" w:cs="Gill Sans"/>
                <w:color w:val="000000"/>
                <w:szCs w:val="22"/>
              </w:rPr>
              <w:t>wordclouds</w:t>
            </w:r>
            <w:proofErr w:type="spellEnd"/>
            <w:r>
              <w:rPr>
                <w:rFonts w:ascii="Gill Sans" w:hAnsi="Gill Sans" w:cs="Gill Sans"/>
                <w:color w:val="000000"/>
                <w:szCs w:val="22"/>
              </w:rPr>
              <w:t xml:space="preserve"> provided to support claims.</w:t>
            </w:r>
          </w:p>
          <w:p w14:paraId="394CCC52" w14:textId="77777777" w:rsidR="00F934ED" w:rsidRDefault="00F934ED" w:rsidP="00F934ED">
            <w:pPr>
              <w:rPr>
                <w:rFonts w:ascii="Gill Sans" w:hAnsi="Gill Sans" w:cs="Gill Sans"/>
                <w:color w:val="000000"/>
                <w:szCs w:val="22"/>
              </w:rPr>
            </w:pPr>
            <w:r w:rsidRPr="00BA0C23">
              <w:rPr>
                <w:rFonts w:ascii="Gill Sans" w:hAnsi="Gill Sans" w:cs="Gill Sans"/>
                <w:i/>
                <w:color w:val="000000"/>
                <w:szCs w:val="22"/>
              </w:rPr>
              <w:t>How belonging is enabled</w:t>
            </w:r>
            <w:r>
              <w:rPr>
                <w:rFonts w:ascii="Gill Sans" w:hAnsi="Gill Sans" w:cs="Gill Sans"/>
                <w:color w:val="000000"/>
                <w:szCs w:val="22"/>
              </w:rPr>
              <w:t xml:space="preserve">: students’ responses flag the important role played by academic staff and other pastoral staff members; </w:t>
            </w:r>
            <w:proofErr w:type="gramStart"/>
            <w:r>
              <w:rPr>
                <w:rFonts w:ascii="Gill Sans" w:hAnsi="Gill Sans" w:cs="Gill Sans"/>
                <w:color w:val="000000"/>
                <w:szCs w:val="22"/>
              </w:rPr>
              <w:t>also</w:t>
            </w:r>
            <w:proofErr w:type="gramEnd"/>
            <w:r>
              <w:rPr>
                <w:rFonts w:ascii="Gill Sans" w:hAnsi="Gill Sans" w:cs="Gill Sans"/>
                <w:color w:val="000000"/>
                <w:szCs w:val="22"/>
              </w:rPr>
              <w:t xml:space="preserve"> peer-to-peer interactions = noted as significant.</w:t>
            </w:r>
          </w:p>
          <w:p w14:paraId="52306B2D" w14:textId="4A547847" w:rsidR="00F934ED" w:rsidRPr="00E27C55" w:rsidRDefault="00F934ED" w:rsidP="00F934ED">
            <w:pPr>
              <w:rPr>
                <w:rFonts w:ascii="Gill Sans" w:hAnsi="Gill Sans" w:cs="Gill Sans"/>
                <w:color w:val="000000"/>
                <w:szCs w:val="22"/>
                <w:lang w:val="en-AU"/>
              </w:rPr>
            </w:pPr>
            <w:r w:rsidRPr="004C3DF4">
              <w:rPr>
                <w:rFonts w:ascii="Gill Sans" w:hAnsi="Gill Sans" w:cs="Gill Sans"/>
                <w:i/>
                <w:color w:val="000000"/>
                <w:szCs w:val="22"/>
              </w:rPr>
              <w:t>Barriers to belonging</w:t>
            </w:r>
            <w:r>
              <w:rPr>
                <w:rFonts w:ascii="Gill Sans" w:hAnsi="Gill Sans" w:cs="Gill Sans"/>
                <w:color w:val="000000"/>
                <w:szCs w:val="22"/>
              </w:rPr>
              <w:t>: shifting to academic study/workload = reported as most challenging; also, the change in circumstances (with many students moving away from home for the first time) was noted as difficult. Also: managing money and time, and a sense of not being good enough.</w:t>
            </w:r>
            <w:r w:rsidRPr="00076E76">
              <w:rPr>
                <w:rFonts w:ascii="Gill Sans" w:hAnsi="Gill Sans" w:cs="Gill Sans"/>
                <w:b/>
                <w:color w:val="000000"/>
                <w:szCs w:val="22"/>
                <w:lang w:val="en-AU"/>
              </w:rPr>
              <w:br/>
              <w:t>Core argument:</w:t>
            </w:r>
            <w:r>
              <w:rPr>
                <w:rFonts w:ascii="Gill Sans" w:hAnsi="Gill Sans" w:cs="Gill Sans"/>
                <w:b/>
                <w:color w:val="000000"/>
                <w:szCs w:val="22"/>
                <w:lang w:val="en-AU"/>
              </w:rPr>
              <w:t xml:space="preserve"> </w:t>
            </w:r>
            <w:r>
              <w:rPr>
                <w:rFonts w:ascii="Gill Sans" w:hAnsi="Gill Sans" w:cs="Gill Sans"/>
                <w:color w:val="000000"/>
                <w:szCs w:val="22"/>
                <w:lang w:val="en-AU"/>
              </w:rPr>
              <w:t>Transition is difficult; academic staff have an important role to play.</w:t>
            </w:r>
          </w:p>
        </w:tc>
      </w:tr>
      <w:tr w:rsidR="00F934ED" w:rsidRPr="00076E76" w14:paraId="59C1D344" w14:textId="77777777" w:rsidTr="002E557C">
        <w:tc>
          <w:tcPr>
            <w:tcW w:w="5529" w:type="dxa"/>
          </w:tcPr>
          <w:p w14:paraId="1F881372" w14:textId="52473BBB" w:rsidR="00F934ED" w:rsidRPr="00076E76" w:rsidRDefault="00F934ED" w:rsidP="00F934ED">
            <w:pPr>
              <w:rPr>
                <w:rFonts w:ascii="Gill Sans" w:hAnsi="Gill Sans" w:cs="Gill Sans"/>
                <w:szCs w:val="22"/>
              </w:rPr>
            </w:pPr>
            <w:r w:rsidRPr="00076E76">
              <w:rPr>
                <w:rFonts w:ascii="Gill Sans" w:hAnsi="Gill Sans" w:cs="Gill Sans"/>
                <w:szCs w:val="22"/>
              </w:rPr>
              <w:t>Meuleman, A.M.; Garrett, R.; Wrench, A.; &amp; King, S. (2015). ‘</w:t>
            </w:r>
            <w:hyperlink r:id="rId96" w:history="1">
              <w:r w:rsidRPr="007C0462">
                <w:rPr>
                  <w:rStyle w:val="Hyperlink"/>
                  <w:rFonts w:ascii="Gill Sans" w:hAnsi="Gill Sans" w:cs="Gill Sans"/>
                  <w:szCs w:val="22"/>
                </w:rPr>
                <w:t>Some people say I’m thriving but…’: non-</w:t>
              </w:r>
              <w:r w:rsidRPr="007C0462">
                <w:rPr>
                  <w:rStyle w:val="Hyperlink"/>
                  <w:rFonts w:ascii="Gill Sans" w:hAnsi="Gill Sans" w:cs="Gill Sans"/>
                  <w:szCs w:val="22"/>
                </w:rPr>
                <w:lastRenderedPageBreak/>
                <w:t>traditional students’ experiences of university</w:t>
              </w:r>
            </w:hyperlink>
            <w:r>
              <w:rPr>
                <w:rFonts w:ascii="Gill Sans" w:hAnsi="Gill Sans" w:cs="Gill Sans"/>
                <w:szCs w:val="22"/>
              </w:rPr>
              <w:t>,</w:t>
            </w:r>
            <w:r w:rsidRPr="00076E76">
              <w:rPr>
                <w:rFonts w:ascii="Gill Sans" w:hAnsi="Gill Sans" w:cs="Gill Sans"/>
                <w:szCs w:val="22"/>
              </w:rPr>
              <w:t xml:space="preserve"> </w:t>
            </w:r>
            <w:r w:rsidRPr="00076E76">
              <w:rPr>
                <w:rFonts w:ascii="Gill Sans" w:hAnsi="Gill Sans" w:cs="Gill Sans"/>
                <w:i/>
                <w:szCs w:val="22"/>
              </w:rPr>
              <w:t xml:space="preserve">International Journal of Inclusive Education, </w:t>
            </w:r>
            <w:r>
              <w:rPr>
                <w:rFonts w:ascii="Gill Sans" w:hAnsi="Gill Sans" w:cs="Gill Sans"/>
                <w:szCs w:val="22"/>
              </w:rPr>
              <w:t>19(5), 503–</w:t>
            </w:r>
            <w:r w:rsidRPr="00076E76">
              <w:rPr>
                <w:rFonts w:ascii="Gill Sans" w:hAnsi="Gill Sans" w:cs="Gill Sans"/>
                <w:szCs w:val="22"/>
              </w:rPr>
              <w:t>517.</w:t>
            </w:r>
          </w:p>
          <w:p w14:paraId="425EB8CE" w14:textId="77777777" w:rsidR="00F934ED" w:rsidRPr="00076E76" w:rsidRDefault="00F934ED" w:rsidP="00F934ED">
            <w:pPr>
              <w:rPr>
                <w:rFonts w:ascii="Gill Sans" w:hAnsi="Gill Sans" w:cs="Gill Sans"/>
                <w:szCs w:val="22"/>
              </w:rPr>
            </w:pPr>
          </w:p>
          <w:p w14:paraId="46E4A01C" w14:textId="77777777" w:rsidR="00F934ED" w:rsidRPr="00076E76" w:rsidRDefault="00F934ED" w:rsidP="00F934ED">
            <w:pPr>
              <w:rPr>
                <w:rFonts w:ascii="Gill Sans" w:hAnsi="Gill Sans" w:cs="Gill Sans"/>
                <w:szCs w:val="22"/>
              </w:rPr>
            </w:pPr>
            <w:r w:rsidRPr="00076E76">
              <w:rPr>
                <w:rFonts w:ascii="Gill Sans" w:hAnsi="Gill Sans" w:cs="Gill Sans"/>
                <w:szCs w:val="22"/>
              </w:rPr>
              <w:t>AUS</w:t>
            </w:r>
          </w:p>
          <w:p w14:paraId="784C7DC6"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6C339546" w14:textId="77777777" w:rsidR="00F934ED" w:rsidRPr="00076E76" w:rsidRDefault="00F934ED" w:rsidP="00F934ED">
            <w:pPr>
              <w:rPr>
                <w:rFonts w:ascii="Gill Sans" w:hAnsi="Gill Sans" w:cs="Gill Sans"/>
                <w:szCs w:val="22"/>
              </w:rPr>
            </w:pPr>
          </w:p>
          <w:p w14:paraId="784D540C" w14:textId="6166C39B" w:rsidR="00F934ED" w:rsidRPr="00076E76" w:rsidRDefault="00F934ED" w:rsidP="00F934ED">
            <w:pPr>
              <w:rPr>
                <w:rFonts w:ascii="Gill Sans" w:hAnsi="Gill Sans" w:cs="Gill Sans"/>
                <w:szCs w:val="22"/>
              </w:rPr>
            </w:pPr>
            <w:r w:rsidRPr="00076E76">
              <w:rPr>
                <w:rFonts w:ascii="Gill Sans" w:hAnsi="Gill Sans" w:cs="Gill Sans"/>
                <w:szCs w:val="22"/>
              </w:rPr>
              <w:t xml:space="preserve">Keywords: </w:t>
            </w:r>
            <w:r w:rsidRPr="00076E76">
              <w:rPr>
                <w:rFonts w:ascii="Gill Sans" w:hAnsi="Gill Sans" w:cs="Gill Sans"/>
                <w:i/>
                <w:szCs w:val="22"/>
              </w:rPr>
              <w:t>higher education, non-traditional students, Bourdieu, capital, loneliness</w:t>
            </w:r>
          </w:p>
        </w:tc>
        <w:tc>
          <w:tcPr>
            <w:tcW w:w="10064" w:type="dxa"/>
          </w:tcPr>
          <w:p w14:paraId="5E14C7E4"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lastRenderedPageBreak/>
              <w:t xml:space="preserve">Context: </w:t>
            </w:r>
            <w:r w:rsidRPr="00076E76">
              <w:rPr>
                <w:rFonts w:ascii="Gill Sans" w:hAnsi="Gill Sans" w:cs="Gill Sans"/>
                <w:color w:val="000000"/>
                <w:szCs w:val="22"/>
                <w:lang w:val="en-AU"/>
              </w:rPr>
              <w:t xml:space="preserve">Situated in expanding HE sector – explores the experiences of FiF, rural and international students as they transitioned into Year 1. Explains expansion as result of neoliberalism – increasing workforce/ </w:t>
            </w:r>
            <w:r w:rsidRPr="00076E76">
              <w:rPr>
                <w:rFonts w:ascii="Gill Sans" w:hAnsi="Gill Sans" w:cs="Gill Sans"/>
                <w:color w:val="000000"/>
                <w:szCs w:val="22"/>
                <w:lang w:val="en-AU"/>
              </w:rPr>
              <w:lastRenderedPageBreak/>
              <w:t>‘educated workforce’. Argues that neoliberal higher education system “contributes to processes of individualisation when young people detach from their family to become useful participants in society” (p.504) and encouraged to become self-entrepreneurs. Authors also draw on literature that explores affective dimension of transitioning/ starting higher education. Connects family/friends to habitus, capital and field. Draws on literature relating to loneliness. International students constructed as ‘non-traditional’</w:t>
            </w:r>
          </w:p>
          <w:p w14:paraId="5E4558F5" w14:textId="77777777" w:rsidR="00F934ED" w:rsidRPr="00076E76" w:rsidRDefault="00F934ED" w:rsidP="00F934ED">
            <w:pPr>
              <w:rPr>
                <w:rFonts w:ascii="Gill Sans" w:hAnsi="Gill Sans" w:cs="Gill Sans"/>
                <w:b/>
                <w:color w:val="000000"/>
                <w:szCs w:val="22"/>
                <w:lang w:val="en-AU"/>
              </w:rPr>
            </w:pPr>
            <w:r w:rsidRPr="00076E76">
              <w:rPr>
                <w:rFonts w:ascii="Gill Sans" w:hAnsi="Gill Sans" w:cs="Gill Sans"/>
                <w:b/>
                <w:color w:val="000000"/>
                <w:szCs w:val="22"/>
                <w:lang w:val="en-AU"/>
              </w:rPr>
              <w:t xml:space="preserve">Aim: </w:t>
            </w:r>
          </w:p>
          <w:p w14:paraId="257294C2"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Theoretical frame: </w:t>
            </w:r>
            <w:r w:rsidRPr="00076E76">
              <w:rPr>
                <w:rFonts w:ascii="Gill Sans" w:hAnsi="Gill Sans" w:cs="Gill Sans"/>
                <w:color w:val="000000"/>
                <w:szCs w:val="22"/>
                <w:lang w:val="en-AU"/>
              </w:rPr>
              <w:t>Bourdieu – field, habitus and capital/ Weiss’ dimensions of loneliness</w:t>
            </w:r>
          </w:p>
          <w:p w14:paraId="37C1A394" w14:textId="77777777" w:rsidR="00F934ED" w:rsidRPr="00076E76" w:rsidRDefault="00F934ED" w:rsidP="00F934ED">
            <w:pPr>
              <w:rPr>
                <w:rFonts w:ascii="Gill Sans" w:hAnsi="Gill Sans" w:cs="Gill Sans"/>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 xml:space="preserve">Interpretive, critical qualitative approach. RQs: </w:t>
            </w:r>
            <w:r w:rsidRPr="00076E76">
              <w:rPr>
                <w:rFonts w:ascii="Gill Sans" w:hAnsi="Gill Sans" w:cs="Gill Sans"/>
              </w:rPr>
              <w:t>(1) What are the experiences of non-traditional students as they transition into the first year of university? (2) How do they experience the academic as well as social transition to university?</w:t>
            </w:r>
          </w:p>
          <w:p w14:paraId="1AAD3B16"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rPr>
              <w:t>Online survey (n=285: 112 FiF/ 42 = rural/ 16 = international) + purposeful sampling for follow-up focus group interviews (3-5 students of same category in each focus group). A prior and post-hoc coding according to commonalities and differences (post-hoc = experiences of transition/ social experiences; a priori = habitus, field, capital; Weiss’ dimensions of loneliness)</w:t>
            </w:r>
          </w:p>
          <w:p w14:paraId="02C07810" w14:textId="77777777" w:rsidR="00F934ED" w:rsidRPr="00076E76" w:rsidRDefault="00F934ED" w:rsidP="00F934ED">
            <w:pPr>
              <w:rPr>
                <w:rFonts w:ascii="Gill Sans" w:hAnsi="Gill Sans" w:cs="Gill Sans"/>
                <w:b/>
                <w:color w:val="000000"/>
                <w:szCs w:val="22"/>
                <w:lang w:val="en-AU"/>
              </w:rPr>
            </w:pPr>
            <w:r w:rsidRPr="00076E76">
              <w:rPr>
                <w:rFonts w:ascii="Gill Sans" w:hAnsi="Gill Sans" w:cs="Gill Sans"/>
                <w:b/>
                <w:color w:val="000000"/>
                <w:szCs w:val="22"/>
                <w:lang w:val="en-AU"/>
              </w:rPr>
              <w:t xml:space="preserve">Findings: </w:t>
            </w:r>
          </w:p>
          <w:p w14:paraId="2CCAB2B7" w14:textId="77777777" w:rsidR="00F934ED" w:rsidRPr="00076E76" w:rsidRDefault="00F934ED" w:rsidP="00F934ED">
            <w:pPr>
              <w:rPr>
                <w:rFonts w:ascii="Gill Sans" w:hAnsi="Gill Sans" w:cs="Gill Sans"/>
                <w:i/>
                <w:color w:val="000000"/>
                <w:szCs w:val="22"/>
                <w:lang w:val="en-AU"/>
              </w:rPr>
            </w:pPr>
            <w:r w:rsidRPr="00076E76">
              <w:rPr>
                <w:rFonts w:ascii="Gill Sans" w:hAnsi="Gill Sans" w:cs="Gill Sans"/>
                <w:i/>
                <w:color w:val="000000"/>
                <w:szCs w:val="22"/>
                <w:lang w:val="en-AU"/>
              </w:rPr>
              <w:t>Transition</w:t>
            </w:r>
          </w:p>
          <w:p w14:paraId="7736D319"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Non-traditional students do not have capital to understand ‘field expectations’ of higher education study. Grades/ performance are important signals of difference from prior educational experiences (and key triggers for loss of confidence)</w:t>
            </w:r>
          </w:p>
          <w:p w14:paraId="0D4D54E8" w14:textId="77777777" w:rsidR="00F934ED" w:rsidRPr="00076E76" w:rsidRDefault="00F934ED" w:rsidP="00F934ED">
            <w:pPr>
              <w:rPr>
                <w:rFonts w:ascii="Gill Sans" w:hAnsi="Gill Sans" w:cs="Gill Sans"/>
                <w:i/>
                <w:color w:val="000000"/>
                <w:szCs w:val="22"/>
                <w:lang w:val="en-AU"/>
              </w:rPr>
            </w:pPr>
            <w:r w:rsidRPr="00076E76">
              <w:rPr>
                <w:rFonts w:ascii="Gill Sans" w:hAnsi="Gill Sans" w:cs="Gill Sans"/>
                <w:i/>
                <w:color w:val="000000"/>
                <w:szCs w:val="22"/>
                <w:lang w:val="en-AU"/>
              </w:rPr>
              <w:t>Forced independence</w:t>
            </w:r>
          </w:p>
          <w:p w14:paraId="6ABEEE45"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For rural/ international students, forced independence = challenging – financial hardship/ responsibility for self/loss of emotional and social support</w:t>
            </w:r>
          </w:p>
          <w:p w14:paraId="39C7AA6E"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i/>
                <w:color w:val="000000"/>
                <w:szCs w:val="22"/>
                <w:lang w:val="en-AU"/>
              </w:rPr>
              <w:t>Social experience</w:t>
            </w:r>
          </w:p>
          <w:p w14:paraId="499E5223" w14:textId="5B9A1B43" w:rsidR="00F934ED" w:rsidRPr="00076E76" w:rsidRDefault="00F934ED" w:rsidP="00F934ED">
            <w:pPr>
              <w:rPr>
                <w:rFonts w:ascii="Gill Sans" w:hAnsi="Gill Sans" w:cs="Gill Sans"/>
              </w:rPr>
            </w:pPr>
            <w:r w:rsidRPr="00076E76">
              <w:rPr>
                <w:rFonts w:ascii="Gill Sans" w:hAnsi="Gill Sans" w:cs="Gill Sans"/>
                <w:color w:val="000000"/>
                <w:szCs w:val="22"/>
                <w:lang w:val="en-AU"/>
              </w:rPr>
              <w:t>1) disconnection, 2) lack of opportunity to meet other students: ‘after the lectures it’s like they’ve all gone’ (p.512) = emotional isolation</w:t>
            </w:r>
            <w:r w:rsidRPr="00076E76">
              <w:rPr>
                <w:rFonts w:ascii="Gill Sans" w:hAnsi="Gill Sans" w:cs="Gill Sans"/>
                <w:b/>
                <w:color w:val="000000"/>
                <w:szCs w:val="22"/>
                <w:lang w:val="en-AU"/>
              </w:rPr>
              <w:br/>
              <w:t xml:space="preserve">Core argument: </w:t>
            </w:r>
            <w:r w:rsidRPr="00076E76">
              <w:rPr>
                <w:rFonts w:ascii="Gill Sans" w:hAnsi="Gill Sans" w:cs="Gill Sans"/>
                <w:color w:val="000000"/>
                <w:szCs w:val="22"/>
                <w:lang w:val="en-AU"/>
              </w:rPr>
              <w:t>Facilitating transition for non-traditional students may necessitate/require cultural change in institution and move away from the notion that students need to adapt. “[N]</w:t>
            </w:r>
            <w:r w:rsidRPr="00076E76">
              <w:rPr>
                <w:rFonts w:ascii="Gill Sans" w:hAnsi="Gill Sans" w:cs="Gill Sans"/>
              </w:rPr>
              <w:t xml:space="preserve">on-traditional students are not well positioned in relation to cultural and social capital to negotiate transition to university” (p.513) and as a result they are constructed as ‘other’. Problems occur when there is a ‘mismatch’ between family and university habitus. Students “who experienced a sense of community adjusted more easily and enjoyed the process of transition” (p.514). “The research calls for a broadened perspective in the moral purpose of universities and a shared belief in wanting to make the transition to university smoother and accessible for all </w:t>
            </w:r>
            <w:r w:rsidRPr="00076E76">
              <w:rPr>
                <w:rFonts w:ascii="Gill Sans" w:hAnsi="Gill Sans" w:cs="Gill Sans"/>
              </w:rPr>
              <w:lastRenderedPageBreak/>
              <w:t>student groups. In order to facilitate the transition to university for non-traditional students, focus needs to be directed to the interconnectedness of academic and social experience of university and the importance of strong social support” (p.514-5).</w:t>
            </w:r>
          </w:p>
        </w:tc>
      </w:tr>
      <w:tr w:rsidR="00F934ED" w:rsidRPr="00076E76" w14:paraId="3C33E559" w14:textId="77777777" w:rsidTr="008A2D83">
        <w:tc>
          <w:tcPr>
            <w:tcW w:w="5529" w:type="dxa"/>
            <w:shd w:val="clear" w:color="auto" w:fill="auto"/>
          </w:tcPr>
          <w:p w14:paraId="1AB39235" w14:textId="67E3645F" w:rsidR="00F934ED" w:rsidRPr="00076E76" w:rsidRDefault="00F934ED" w:rsidP="00F934ED">
            <w:pPr>
              <w:rPr>
                <w:rFonts w:ascii="Gill Sans" w:hAnsi="Gill Sans" w:cs="Gill Sans"/>
                <w:szCs w:val="22"/>
              </w:rPr>
            </w:pPr>
            <w:r w:rsidRPr="00076E76">
              <w:rPr>
                <w:rFonts w:ascii="Gill Sans" w:hAnsi="Gill Sans" w:cs="Gill Sans"/>
                <w:szCs w:val="22"/>
              </w:rPr>
              <w:lastRenderedPageBreak/>
              <w:t xml:space="preserve">Morgan, J. (2015). </w:t>
            </w:r>
            <w:hyperlink r:id="rId97" w:history="1">
              <w:r w:rsidRPr="00A86A91">
                <w:rPr>
                  <w:rStyle w:val="Hyperlink"/>
                  <w:rFonts w:ascii="Gill Sans" w:hAnsi="Gill Sans" w:cs="Gill Sans"/>
                  <w:szCs w:val="22"/>
                </w:rPr>
                <w:t xml:space="preserve">Foundation degree to </w:t>
              </w:r>
              <w:proofErr w:type="spellStart"/>
              <w:r w:rsidRPr="00A86A91">
                <w:rPr>
                  <w:rStyle w:val="Hyperlink"/>
                  <w:rFonts w:ascii="Gill Sans" w:hAnsi="Gill Sans" w:cs="Gill Sans"/>
                  <w:szCs w:val="22"/>
                </w:rPr>
                <w:t>honours</w:t>
              </w:r>
              <w:proofErr w:type="spellEnd"/>
              <w:r w:rsidRPr="00A86A91">
                <w:rPr>
                  <w:rStyle w:val="Hyperlink"/>
                  <w:rFonts w:ascii="Gill Sans" w:hAnsi="Gill Sans" w:cs="Gill Sans"/>
                  <w:szCs w:val="22"/>
                </w:rPr>
                <w:t xml:space="preserve"> degree: the transition experiences of students on an early years programme</w:t>
              </w:r>
            </w:hyperlink>
            <w:r w:rsidRPr="00076E76">
              <w:rPr>
                <w:rFonts w:ascii="Gill Sans" w:hAnsi="Gill Sans" w:cs="Gill Sans"/>
                <w:szCs w:val="22"/>
              </w:rPr>
              <w:t xml:space="preserve">, </w:t>
            </w:r>
            <w:r w:rsidRPr="00076E76">
              <w:rPr>
                <w:rFonts w:ascii="Gill Sans" w:hAnsi="Gill Sans" w:cs="Gill Sans"/>
                <w:i/>
                <w:szCs w:val="22"/>
              </w:rPr>
              <w:t xml:space="preserve">Journal of Further and Higher Education, </w:t>
            </w:r>
            <w:r>
              <w:rPr>
                <w:rFonts w:ascii="Gill Sans" w:hAnsi="Gill Sans" w:cs="Gill Sans"/>
                <w:szCs w:val="22"/>
              </w:rPr>
              <w:t>39(1),</w:t>
            </w:r>
            <w:r w:rsidRPr="00076E76">
              <w:rPr>
                <w:rFonts w:ascii="Gill Sans" w:hAnsi="Gill Sans" w:cs="Gill Sans"/>
                <w:szCs w:val="22"/>
              </w:rPr>
              <w:t xml:space="preserve"> 108</w:t>
            </w:r>
            <w:r>
              <w:rPr>
                <w:rFonts w:ascii="Gill Sans" w:hAnsi="Gill Sans" w:cs="Gill Sans"/>
                <w:szCs w:val="22"/>
              </w:rPr>
              <w:t>–</w:t>
            </w:r>
            <w:r w:rsidRPr="00076E76">
              <w:rPr>
                <w:rFonts w:ascii="Gill Sans" w:hAnsi="Gill Sans" w:cs="Gill Sans"/>
                <w:szCs w:val="22"/>
              </w:rPr>
              <w:t>126.</w:t>
            </w:r>
          </w:p>
          <w:p w14:paraId="75FCC641" w14:textId="77777777" w:rsidR="00F934ED" w:rsidRPr="00076E76" w:rsidRDefault="00F934ED" w:rsidP="00F934ED">
            <w:pPr>
              <w:rPr>
                <w:rFonts w:ascii="Gill Sans" w:hAnsi="Gill Sans" w:cs="Gill Sans"/>
                <w:szCs w:val="22"/>
              </w:rPr>
            </w:pPr>
            <w:r w:rsidRPr="00076E76">
              <w:rPr>
                <w:rFonts w:ascii="Gill Sans" w:hAnsi="Gill Sans" w:cs="Gill Sans"/>
                <w:szCs w:val="22"/>
              </w:rPr>
              <w:t xml:space="preserve"> </w:t>
            </w:r>
          </w:p>
          <w:p w14:paraId="4D1CAE5E" w14:textId="77777777" w:rsidR="00F934ED" w:rsidRDefault="00F934ED" w:rsidP="00F934ED">
            <w:pPr>
              <w:rPr>
                <w:rFonts w:ascii="Gill Sans" w:hAnsi="Gill Sans" w:cs="Gill Sans"/>
                <w:szCs w:val="22"/>
              </w:rPr>
            </w:pPr>
            <w:r w:rsidRPr="00076E76">
              <w:rPr>
                <w:rFonts w:ascii="Gill Sans" w:hAnsi="Gill Sans" w:cs="Gill Sans"/>
                <w:szCs w:val="22"/>
              </w:rPr>
              <w:t>UK</w:t>
            </w:r>
          </w:p>
          <w:p w14:paraId="78D9E70B" w14:textId="57F52904" w:rsidR="00F934ED" w:rsidRPr="00076E76" w:rsidRDefault="00F934ED" w:rsidP="00F934ED">
            <w:pPr>
              <w:rPr>
                <w:rFonts w:ascii="Gill Sans" w:hAnsi="Gill Sans" w:cs="Gill Sans"/>
                <w:szCs w:val="22"/>
              </w:rPr>
            </w:pPr>
            <w:r>
              <w:rPr>
                <w:rFonts w:ascii="Gill Sans" w:hAnsi="Gill Sans" w:cs="Gill Sans"/>
                <w:szCs w:val="22"/>
              </w:rPr>
              <w:t xml:space="preserve">Annotation by </w:t>
            </w:r>
            <w:r w:rsidRPr="003C1C89">
              <w:rPr>
                <w:rFonts w:ascii="Gill Sans" w:hAnsi="Gill Sans" w:cs="Gill Sans"/>
                <w:szCs w:val="22"/>
              </w:rPr>
              <w:t>Caitlyn McLoughlin</w:t>
            </w:r>
          </w:p>
          <w:p w14:paraId="7C173C19" w14:textId="77777777" w:rsidR="00F934ED" w:rsidRPr="00076E76" w:rsidRDefault="00F934ED" w:rsidP="00F934ED">
            <w:pPr>
              <w:rPr>
                <w:rFonts w:ascii="Gill Sans" w:hAnsi="Gill Sans" w:cs="Gill Sans"/>
                <w:szCs w:val="22"/>
              </w:rPr>
            </w:pPr>
          </w:p>
          <w:p w14:paraId="1E14A5C6" w14:textId="40A12E5F" w:rsidR="00F934ED" w:rsidRPr="00076E76" w:rsidRDefault="00F934ED" w:rsidP="00F934ED">
            <w:pPr>
              <w:rPr>
                <w:rFonts w:ascii="Gill Sans" w:hAnsi="Gill Sans" w:cs="Gill Sans"/>
                <w:szCs w:val="22"/>
              </w:rPr>
            </w:pPr>
            <w:r w:rsidRPr="00076E76">
              <w:rPr>
                <w:rFonts w:ascii="Gill Sans" w:hAnsi="Gill Sans" w:cs="Gill Sans"/>
                <w:szCs w:val="22"/>
              </w:rPr>
              <w:t xml:space="preserve">Keywords: </w:t>
            </w:r>
            <w:r w:rsidRPr="00076E76">
              <w:rPr>
                <w:rFonts w:ascii="Gill Sans" w:hAnsi="Gill Sans" w:cs="Gill Sans"/>
                <w:i/>
                <w:szCs w:val="22"/>
              </w:rPr>
              <w:t xml:space="preserve">direct-entry student; foundation degree; </w:t>
            </w:r>
            <w:proofErr w:type="spellStart"/>
            <w:r w:rsidRPr="00076E76">
              <w:rPr>
                <w:rFonts w:ascii="Gill Sans" w:hAnsi="Gill Sans" w:cs="Gill Sans"/>
                <w:i/>
                <w:szCs w:val="22"/>
              </w:rPr>
              <w:t>honours</w:t>
            </w:r>
            <w:proofErr w:type="spellEnd"/>
            <w:r w:rsidRPr="00076E76">
              <w:rPr>
                <w:rFonts w:ascii="Gill Sans" w:hAnsi="Gill Sans" w:cs="Gill Sans"/>
                <w:i/>
                <w:szCs w:val="22"/>
              </w:rPr>
              <w:t xml:space="preserve"> degree study; progression; transition; widening participation</w:t>
            </w:r>
          </w:p>
        </w:tc>
        <w:tc>
          <w:tcPr>
            <w:tcW w:w="10064" w:type="dxa"/>
          </w:tcPr>
          <w:p w14:paraId="24F4E89A" w14:textId="775E3126" w:rsidR="00F934ED" w:rsidRPr="00AD7945" w:rsidRDefault="00F934ED" w:rsidP="00F934ED">
            <w:pPr>
              <w:rPr>
                <w:rFonts w:ascii="Gill Sans" w:hAnsi="Gill Sans" w:cs="Gill Sans"/>
                <w:color w:val="000000"/>
                <w:szCs w:val="22"/>
              </w:rPr>
            </w:pPr>
            <w:r w:rsidRPr="00076E76">
              <w:rPr>
                <w:rFonts w:ascii="Gill Sans" w:hAnsi="Gill Sans" w:cs="Gill Sans"/>
                <w:b/>
                <w:color w:val="000000"/>
                <w:szCs w:val="22"/>
                <w:lang w:val="en-AU"/>
              </w:rPr>
              <w:t xml:space="preserve">Context: </w:t>
            </w:r>
            <w:r>
              <w:rPr>
                <w:rFonts w:ascii="Gill Sans" w:hAnsi="Gill Sans" w:cs="Gill Sans"/>
                <w:color w:val="000000"/>
                <w:szCs w:val="22"/>
                <w:lang w:val="en-AU"/>
              </w:rPr>
              <w:t>The introduction of foundation degrees by the British government in 2000 as a qualification that balanced academic and vocational skills, and emphasise ‘</w:t>
            </w:r>
            <w:r w:rsidRPr="00AD7945">
              <w:rPr>
                <w:rFonts w:ascii="Gill Sans" w:hAnsi="Gill Sans" w:cs="Gill Sans"/>
                <w:color w:val="000000"/>
                <w:szCs w:val="22"/>
              </w:rPr>
              <w:t>work-based learning, employer</w:t>
            </w:r>
            <w:r>
              <w:rPr>
                <w:rFonts w:ascii="Gill Sans" w:hAnsi="Gill Sans" w:cs="Gill Sans"/>
                <w:color w:val="000000"/>
                <w:szCs w:val="22"/>
              </w:rPr>
              <w:t xml:space="preserve"> </w:t>
            </w:r>
            <w:r w:rsidRPr="00AD7945">
              <w:rPr>
                <w:rFonts w:ascii="Gill Sans" w:hAnsi="Gill Sans" w:cs="Gill Sans"/>
                <w:color w:val="000000"/>
                <w:szCs w:val="22"/>
              </w:rPr>
              <w:t>involvement, flexible delivery and a focus on widening participation</w:t>
            </w:r>
            <w:r>
              <w:rPr>
                <w:rFonts w:ascii="Gill Sans" w:hAnsi="Gill Sans" w:cs="Gill Sans"/>
                <w:color w:val="000000"/>
                <w:szCs w:val="22"/>
              </w:rPr>
              <w:t xml:space="preserve">’ (109). All students who pass their foundation degrees are afforded the opportunity to continue to a third year </w:t>
            </w:r>
            <w:proofErr w:type="spellStart"/>
            <w:r>
              <w:rPr>
                <w:rFonts w:ascii="Gill Sans" w:hAnsi="Gill Sans" w:cs="Gill Sans"/>
                <w:color w:val="000000"/>
                <w:szCs w:val="22"/>
              </w:rPr>
              <w:t>honours</w:t>
            </w:r>
            <w:proofErr w:type="spellEnd"/>
            <w:r>
              <w:rPr>
                <w:rFonts w:ascii="Gill Sans" w:hAnsi="Gill Sans" w:cs="Gill Sans"/>
                <w:color w:val="000000"/>
                <w:szCs w:val="22"/>
              </w:rPr>
              <w:t xml:space="preserve"> degree. This transition is required to be ‘smooth’ and is often ‘</w:t>
            </w:r>
            <w:r w:rsidRPr="00800BB6">
              <w:rPr>
                <w:rFonts w:ascii="Gill Sans" w:hAnsi="Gill Sans" w:cs="Gill Sans"/>
                <w:color w:val="000000"/>
                <w:szCs w:val="22"/>
              </w:rPr>
              <w:t>likened to the transition experiences of first-year students who are also new to studying at university level</w:t>
            </w:r>
            <w:r>
              <w:rPr>
                <w:rFonts w:ascii="Gill Sans" w:hAnsi="Gill Sans" w:cs="Gill Sans"/>
                <w:color w:val="000000"/>
                <w:szCs w:val="22"/>
              </w:rPr>
              <w:t xml:space="preserve">’ (109). Research identifies the particularly emotional components of transition that can cause </w:t>
            </w:r>
            <w:r w:rsidRPr="00E647C1">
              <w:rPr>
                <w:rFonts w:ascii="Gill Sans" w:hAnsi="Gill Sans" w:cs="Gill Sans"/>
                <w:color w:val="000000"/>
                <w:szCs w:val="22"/>
              </w:rPr>
              <w:t>fears, worries and doubts, in</w:t>
            </w:r>
            <w:r>
              <w:rPr>
                <w:rFonts w:ascii="Gill Sans" w:hAnsi="Gill Sans" w:cs="Gill Sans"/>
                <w:color w:val="000000"/>
                <w:szCs w:val="22"/>
              </w:rPr>
              <w:t>cluding doubts about self-worth to</w:t>
            </w:r>
            <w:r w:rsidRPr="00E647C1">
              <w:rPr>
                <w:rFonts w:ascii="Gill Sans" w:hAnsi="Gill Sans" w:cs="Gill Sans"/>
                <w:color w:val="000000"/>
                <w:szCs w:val="22"/>
              </w:rPr>
              <w:t xml:space="preserve"> surface (</w:t>
            </w:r>
            <w:proofErr w:type="spellStart"/>
            <w:r w:rsidRPr="00E647C1">
              <w:rPr>
                <w:rFonts w:ascii="Gill Sans" w:hAnsi="Gill Sans" w:cs="Gill Sans"/>
                <w:color w:val="000000"/>
                <w:szCs w:val="22"/>
              </w:rPr>
              <w:t>Gallacher</w:t>
            </w:r>
            <w:proofErr w:type="spellEnd"/>
            <w:r w:rsidRPr="00E647C1">
              <w:rPr>
                <w:rFonts w:ascii="Gill Sans" w:hAnsi="Gill Sans" w:cs="Gill Sans"/>
                <w:color w:val="000000"/>
                <w:szCs w:val="22"/>
              </w:rPr>
              <w:t xml:space="preserve"> et al. 2002; Christie et al. 2008).</w:t>
            </w:r>
          </w:p>
          <w:p w14:paraId="628C1F3B" w14:textId="0AB846C6" w:rsidR="00F934ED" w:rsidRPr="00E31F8B" w:rsidRDefault="00F934ED" w:rsidP="00F934ED">
            <w:pPr>
              <w:rPr>
                <w:rFonts w:ascii="Gill Sans" w:hAnsi="Gill Sans" w:cs="Gill Sans"/>
                <w:color w:val="000000"/>
                <w:szCs w:val="22"/>
              </w:rPr>
            </w:pPr>
            <w:r w:rsidRPr="00076E76">
              <w:rPr>
                <w:rFonts w:ascii="Gill Sans" w:hAnsi="Gill Sans" w:cs="Gill Sans"/>
                <w:b/>
                <w:color w:val="000000"/>
                <w:szCs w:val="22"/>
                <w:lang w:val="en-AU"/>
              </w:rPr>
              <w:t xml:space="preserve">Aim: </w:t>
            </w:r>
            <w:r>
              <w:rPr>
                <w:rFonts w:ascii="Gill Sans" w:hAnsi="Gill Sans" w:cs="Gill Sans"/>
                <w:color w:val="000000"/>
                <w:szCs w:val="22"/>
                <w:lang w:val="en-AU"/>
              </w:rPr>
              <w:t>‘T</w:t>
            </w:r>
            <w:r w:rsidRPr="00E31F8B">
              <w:rPr>
                <w:rFonts w:ascii="Gill Sans" w:hAnsi="Gill Sans" w:cs="Gill Sans"/>
                <w:color w:val="000000"/>
                <w:szCs w:val="22"/>
              </w:rPr>
              <w:t>o understand the progression experiences of foundation degree students in order to enhance and strengthen the support offered before, during and after transition so that foundation degree students are integrated into their first and final year a</w:t>
            </w:r>
            <w:r>
              <w:rPr>
                <w:rFonts w:ascii="Gill Sans" w:hAnsi="Gill Sans" w:cs="Gill Sans"/>
                <w:color w:val="000000"/>
                <w:szCs w:val="22"/>
              </w:rPr>
              <w:t>t university as quickly, sensi</w:t>
            </w:r>
            <w:r w:rsidRPr="00E31F8B">
              <w:rPr>
                <w:rFonts w:ascii="Gill Sans" w:hAnsi="Gill Sans" w:cs="Gill Sans"/>
                <w:color w:val="000000"/>
                <w:szCs w:val="22"/>
              </w:rPr>
              <w:t>tively and effectively as possible</w:t>
            </w:r>
            <w:r>
              <w:rPr>
                <w:rFonts w:ascii="Gill Sans" w:hAnsi="Gill Sans" w:cs="Gill Sans"/>
                <w:color w:val="000000"/>
                <w:szCs w:val="22"/>
              </w:rPr>
              <w:t>’ (111).</w:t>
            </w:r>
          </w:p>
          <w:p w14:paraId="3496F89F" w14:textId="45039E92" w:rsidR="00F934ED" w:rsidRPr="00C473D6" w:rsidRDefault="00F934ED" w:rsidP="00F934ED">
            <w:pPr>
              <w:rPr>
                <w:rFonts w:ascii="Gill Sans" w:hAnsi="Gill Sans" w:cs="Gill Sans"/>
                <w:color w:val="000000"/>
                <w:szCs w:val="22"/>
              </w:rPr>
            </w:pPr>
            <w:r w:rsidRPr="00076E76">
              <w:rPr>
                <w:rFonts w:ascii="Gill Sans" w:hAnsi="Gill Sans" w:cs="Gill Sans"/>
                <w:b/>
                <w:color w:val="000000"/>
                <w:szCs w:val="22"/>
                <w:lang w:val="en-AU"/>
              </w:rPr>
              <w:t>Theoretical frame:</w:t>
            </w:r>
            <w:r>
              <w:rPr>
                <w:rFonts w:ascii="Gill Sans" w:hAnsi="Gill Sans" w:cs="Gill Sans"/>
                <w:b/>
                <w:color w:val="000000"/>
                <w:szCs w:val="22"/>
                <w:lang w:val="en-AU"/>
              </w:rPr>
              <w:t xml:space="preserve"> </w:t>
            </w:r>
            <w:r w:rsidRPr="00C473D6">
              <w:rPr>
                <w:rFonts w:ascii="Gill Sans" w:hAnsi="Gill Sans" w:cs="Gill Sans"/>
                <w:color w:val="000000"/>
                <w:szCs w:val="22"/>
              </w:rPr>
              <w:t>Bourdieu’s (1984, 1986, 1992) concepts of habitus and cultural capital</w:t>
            </w:r>
            <w:r>
              <w:rPr>
                <w:rFonts w:ascii="Gill Sans" w:hAnsi="Gill Sans" w:cs="Gill Sans"/>
                <w:color w:val="000000"/>
                <w:szCs w:val="22"/>
              </w:rPr>
              <w:t xml:space="preserve"> that understands </w:t>
            </w:r>
            <w:r w:rsidRPr="00C473D6">
              <w:rPr>
                <w:rFonts w:ascii="Gill Sans" w:hAnsi="Gill Sans" w:cs="Gill Sans"/>
                <w:color w:val="000000"/>
                <w:szCs w:val="22"/>
              </w:rPr>
              <w:t xml:space="preserve">non-traditional students </w:t>
            </w:r>
            <w:r>
              <w:rPr>
                <w:rFonts w:ascii="Gill Sans" w:hAnsi="Gill Sans" w:cs="Gill Sans"/>
                <w:color w:val="000000"/>
                <w:szCs w:val="22"/>
              </w:rPr>
              <w:t>conceptualisation of</w:t>
            </w:r>
            <w:r w:rsidRPr="00C473D6">
              <w:rPr>
                <w:rFonts w:ascii="Gill Sans" w:hAnsi="Gill Sans" w:cs="Gill Sans"/>
                <w:color w:val="000000"/>
                <w:szCs w:val="22"/>
              </w:rPr>
              <w:t xml:space="preserve"> the transition to university</w:t>
            </w:r>
            <w:r>
              <w:rPr>
                <w:rFonts w:ascii="Gill Sans" w:hAnsi="Gill Sans" w:cs="Gill Sans"/>
                <w:color w:val="000000"/>
                <w:szCs w:val="22"/>
              </w:rPr>
              <w:t xml:space="preserve"> as ‘</w:t>
            </w:r>
            <w:r w:rsidRPr="00C473D6">
              <w:rPr>
                <w:rFonts w:ascii="Gill Sans" w:hAnsi="Gill Sans" w:cs="Gill Sans"/>
                <w:color w:val="000000"/>
                <w:szCs w:val="22"/>
              </w:rPr>
              <w:t>as a time of risk, including financial risk, risk to identity and self-concept, risk to family life/ children and the risk of failure as well as feelings of not being able to cope or make friends</w:t>
            </w:r>
            <w:r>
              <w:rPr>
                <w:rFonts w:ascii="Gill Sans" w:hAnsi="Gill Sans" w:cs="Gill Sans"/>
                <w:color w:val="000000"/>
                <w:szCs w:val="22"/>
              </w:rPr>
              <w:t>’ (110). Field and Morgan-Klein’s</w:t>
            </w:r>
            <w:r w:rsidRPr="00297B4C">
              <w:rPr>
                <w:rFonts w:ascii="Gill Sans" w:hAnsi="Gill Sans" w:cs="Gill Sans"/>
                <w:color w:val="000000"/>
                <w:szCs w:val="22"/>
              </w:rPr>
              <w:t xml:space="preserve"> (2010), using Turner’s (1987) ideas of ‘</w:t>
            </w:r>
            <w:proofErr w:type="spellStart"/>
            <w:r w:rsidRPr="00297B4C">
              <w:rPr>
                <w:rFonts w:ascii="Gill Sans" w:hAnsi="Gill Sans" w:cs="Gill Sans"/>
                <w:color w:val="000000"/>
                <w:szCs w:val="22"/>
              </w:rPr>
              <w:t>liminity</w:t>
            </w:r>
            <w:proofErr w:type="spellEnd"/>
            <w:r w:rsidRPr="00297B4C">
              <w:rPr>
                <w:rFonts w:ascii="Gill Sans" w:hAnsi="Gill Sans" w:cs="Gill Sans"/>
                <w:color w:val="000000"/>
                <w:szCs w:val="22"/>
              </w:rPr>
              <w:t xml:space="preserve">’ and ‘rites of passage’, </w:t>
            </w:r>
            <w:r>
              <w:rPr>
                <w:rFonts w:ascii="Gill Sans" w:hAnsi="Gill Sans" w:cs="Gill Sans"/>
                <w:color w:val="000000"/>
                <w:szCs w:val="22"/>
              </w:rPr>
              <w:t>discussion of</w:t>
            </w:r>
            <w:r w:rsidRPr="00297B4C">
              <w:rPr>
                <w:rFonts w:ascii="Gill Sans" w:hAnsi="Gill Sans" w:cs="Gill Sans"/>
                <w:color w:val="000000"/>
                <w:szCs w:val="22"/>
              </w:rPr>
              <w:t xml:space="preserve"> how </w:t>
            </w:r>
            <w:r>
              <w:rPr>
                <w:rFonts w:ascii="Gill Sans" w:hAnsi="Gill Sans" w:cs="Gill Sans"/>
                <w:color w:val="000000"/>
                <w:szCs w:val="22"/>
              </w:rPr>
              <w:t>‘</w:t>
            </w:r>
            <w:r w:rsidRPr="00297B4C">
              <w:rPr>
                <w:rFonts w:ascii="Gill Sans" w:hAnsi="Gill Sans" w:cs="Gill Sans"/>
                <w:color w:val="000000"/>
                <w:szCs w:val="22"/>
              </w:rPr>
              <w:t>student-hood itself can be conceptualised as a liminal position or a transitional status ‘</w:t>
            </w:r>
            <w:r>
              <w:rPr>
                <w:rFonts w:ascii="Gill Sans" w:hAnsi="Gill Sans" w:cs="Gill Sans"/>
                <w:color w:val="000000"/>
                <w:szCs w:val="22"/>
              </w:rPr>
              <w:t>betwixt and between’ other sta</w:t>
            </w:r>
            <w:r w:rsidRPr="00297B4C">
              <w:rPr>
                <w:rFonts w:ascii="Gill Sans" w:hAnsi="Gill Sans" w:cs="Gill Sans"/>
                <w:color w:val="000000"/>
                <w:szCs w:val="22"/>
              </w:rPr>
              <w:t>tuses or ‘betwixt and between’ their past and their ‘imagined’ future</w:t>
            </w:r>
            <w:r>
              <w:rPr>
                <w:rFonts w:ascii="Gill Sans" w:hAnsi="Gill Sans" w:cs="Gill Sans"/>
                <w:color w:val="000000"/>
                <w:szCs w:val="22"/>
              </w:rPr>
              <w:t>’ (110)</w:t>
            </w:r>
            <w:r w:rsidRPr="00297B4C">
              <w:rPr>
                <w:rFonts w:ascii="Gill Sans" w:hAnsi="Gill Sans" w:cs="Gill Sans"/>
                <w:color w:val="000000"/>
                <w:szCs w:val="22"/>
              </w:rPr>
              <w:t>.</w:t>
            </w:r>
          </w:p>
          <w:p w14:paraId="1ECCAB9A" w14:textId="25D01223" w:rsidR="00F934ED" w:rsidRPr="0095718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Pr>
                <w:rFonts w:ascii="Gill Sans" w:hAnsi="Gill Sans" w:cs="Gill Sans"/>
                <w:color w:val="000000"/>
                <w:szCs w:val="22"/>
                <w:lang w:val="en-AU"/>
              </w:rPr>
              <w:t xml:space="preserve">Mixed-methods – </w:t>
            </w:r>
            <w:proofErr w:type="gramStart"/>
            <w:r>
              <w:rPr>
                <w:rFonts w:ascii="Gill Sans" w:hAnsi="Gill Sans" w:cs="Gill Sans"/>
                <w:color w:val="000000"/>
                <w:szCs w:val="22"/>
                <w:lang w:val="en-AU"/>
              </w:rPr>
              <w:t>including:</w:t>
            </w:r>
            <w:proofErr w:type="gramEnd"/>
            <w:r>
              <w:rPr>
                <w:rFonts w:ascii="Gill Sans" w:hAnsi="Gill Sans" w:cs="Gill Sans"/>
                <w:color w:val="000000"/>
                <w:szCs w:val="22"/>
                <w:lang w:val="en-AU"/>
              </w:rPr>
              <w:t xml:space="preserve"> online questionnaires and semi-structured in-depth interviews. The online questionnaire focussed on emotions and feelings, and was distributed as such in order to be as accessible as possible for students who were juggling multiple roles (student, worker, parent, carer, etc.) and perhaps did not have the time to commit to in-person or telephone interviews.</w:t>
            </w:r>
          </w:p>
          <w:p w14:paraId="19285AE6" w14:textId="7757CF09" w:rsidR="00F934ED" w:rsidRPr="00A4379C" w:rsidRDefault="00F934ED" w:rsidP="00F934ED">
            <w:pPr>
              <w:rPr>
                <w:rFonts w:ascii="Gill Sans" w:hAnsi="Gill Sans" w:cs="Gill Sans"/>
                <w:color w:val="000000"/>
                <w:szCs w:val="22"/>
              </w:rPr>
            </w:pPr>
            <w:r w:rsidRPr="00076E76">
              <w:rPr>
                <w:rFonts w:ascii="Gill Sans" w:hAnsi="Gill Sans" w:cs="Gill Sans"/>
                <w:b/>
                <w:color w:val="000000"/>
                <w:szCs w:val="22"/>
                <w:lang w:val="en-AU"/>
              </w:rPr>
              <w:t xml:space="preserve">Findings: </w:t>
            </w:r>
            <w:r>
              <w:rPr>
                <w:rFonts w:ascii="Gill Sans" w:hAnsi="Gill Sans" w:cs="Gill Sans"/>
                <w:color w:val="000000"/>
                <w:szCs w:val="22"/>
                <w:lang w:val="en-AU"/>
              </w:rPr>
              <w:t xml:space="preserve">Three main themes: </w:t>
            </w:r>
            <w:r>
              <w:rPr>
                <w:rFonts w:ascii="Gill Sans" w:hAnsi="Gill Sans" w:cs="Gill Sans"/>
                <w:color w:val="000000"/>
                <w:szCs w:val="22"/>
              </w:rPr>
              <w:t>study</w:t>
            </w:r>
            <w:r w:rsidRPr="00213FD6">
              <w:rPr>
                <w:rFonts w:ascii="Gill Sans" w:hAnsi="Gill Sans" w:cs="Gill Sans"/>
                <w:color w:val="000000"/>
                <w:szCs w:val="22"/>
              </w:rPr>
              <w:t xml:space="preserve"> at foundation degree level was different to </w:t>
            </w:r>
            <w:proofErr w:type="spellStart"/>
            <w:r w:rsidRPr="00213FD6">
              <w:rPr>
                <w:rFonts w:ascii="Gill Sans" w:hAnsi="Gill Sans" w:cs="Gill Sans"/>
                <w:color w:val="000000"/>
                <w:szCs w:val="22"/>
              </w:rPr>
              <w:t>honours</w:t>
            </w:r>
            <w:proofErr w:type="spellEnd"/>
            <w:r w:rsidRPr="00213FD6">
              <w:rPr>
                <w:rFonts w:ascii="Gill Sans" w:hAnsi="Gill Sans" w:cs="Gill Sans"/>
                <w:color w:val="000000"/>
                <w:szCs w:val="22"/>
              </w:rPr>
              <w:t xml:space="preserve"> degree level</w:t>
            </w:r>
            <w:r>
              <w:rPr>
                <w:rFonts w:ascii="Gill Sans" w:hAnsi="Gill Sans" w:cs="Gill Sans"/>
                <w:color w:val="000000"/>
                <w:szCs w:val="22"/>
              </w:rPr>
              <w:t>; non-traditional students we</w:t>
            </w:r>
            <w:r w:rsidRPr="00213FD6">
              <w:rPr>
                <w:rFonts w:ascii="Gill Sans" w:hAnsi="Gill Sans" w:cs="Gill Sans"/>
                <w:color w:val="000000"/>
                <w:szCs w:val="22"/>
              </w:rPr>
              <w:t>re more likely than traditional students to construct their identity as a student as one of ‘emotional disorder and insecurity’</w:t>
            </w:r>
            <w:r>
              <w:rPr>
                <w:rFonts w:ascii="Gill Sans" w:hAnsi="Gill Sans" w:cs="Gill Sans"/>
                <w:color w:val="000000"/>
                <w:szCs w:val="22"/>
              </w:rPr>
              <w:t>, and ‘</w:t>
            </w:r>
            <w:r w:rsidRPr="00213FD6">
              <w:rPr>
                <w:rFonts w:ascii="Gill Sans" w:hAnsi="Gill Sans" w:cs="Gill Sans"/>
                <w:color w:val="000000"/>
                <w:szCs w:val="22"/>
              </w:rPr>
              <w:t>many students tended to construct themselves and their progression in terms of potential fa</w:t>
            </w:r>
            <w:r>
              <w:rPr>
                <w:rFonts w:ascii="Gill Sans" w:hAnsi="Gill Sans" w:cs="Gill Sans"/>
                <w:color w:val="000000"/>
                <w:szCs w:val="22"/>
              </w:rPr>
              <w:t xml:space="preserve">ilure and not being good enough’ (118); and potential for the enhancement of student progression experience, which included developing relationships between students and lecturers and improving relationships between FE and HE providers.   </w:t>
            </w:r>
            <w:r w:rsidRPr="00076E76">
              <w:rPr>
                <w:rFonts w:ascii="Gill Sans" w:hAnsi="Gill Sans" w:cs="Gill Sans"/>
                <w:b/>
                <w:color w:val="000000"/>
                <w:szCs w:val="22"/>
                <w:lang w:val="en-AU"/>
              </w:rPr>
              <w:br/>
              <w:t>Core argument:</w:t>
            </w:r>
            <w:r>
              <w:rPr>
                <w:rFonts w:ascii="Gill Sans" w:hAnsi="Gill Sans" w:cs="Gill Sans"/>
                <w:b/>
                <w:color w:val="000000"/>
                <w:szCs w:val="22"/>
                <w:lang w:val="en-AU"/>
              </w:rPr>
              <w:t xml:space="preserve"> </w:t>
            </w:r>
            <w:r>
              <w:rPr>
                <w:rFonts w:ascii="Gill Sans" w:hAnsi="Gill Sans" w:cs="Gill Sans"/>
                <w:color w:val="000000"/>
                <w:szCs w:val="22"/>
                <w:lang w:val="en-AU"/>
              </w:rPr>
              <w:t>‘</w:t>
            </w:r>
            <w:r>
              <w:rPr>
                <w:rFonts w:ascii="Gill Sans" w:hAnsi="Gill Sans" w:cs="Gill Sans"/>
                <w:color w:val="000000"/>
                <w:szCs w:val="22"/>
              </w:rPr>
              <w:t>I</w:t>
            </w:r>
            <w:r w:rsidRPr="00A4379C">
              <w:rPr>
                <w:rFonts w:ascii="Gill Sans" w:hAnsi="Gill Sans" w:cs="Gill Sans"/>
                <w:color w:val="000000"/>
                <w:szCs w:val="22"/>
              </w:rPr>
              <w:t xml:space="preserve">mproving the progression experiences of students is not only important in terms of </w:t>
            </w:r>
            <w:r w:rsidRPr="00A4379C">
              <w:rPr>
                <w:rFonts w:ascii="Gill Sans" w:hAnsi="Gill Sans" w:cs="Gill Sans"/>
                <w:color w:val="000000"/>
                <w:szCs w:val="22"/>
              </w:rPr>
              <w:lastRenderedPageBreak/>
              <w:t>retention and student experience but also in light of recent changes to student fee structures which may make foundation degr</w:t>
            </w:r>
            <w:r>
              <w:rPr>
                <w:rFonts w:ascii="Gill Sans" w:hAnsi="Gill Sans" w:cs="Gill Sans"/>
                <w:color w:val="000000"/>
                <w:szCs w:val="22"/>
              </w:rPr>
              <w:t>ees more attractive to students, [which]</w:t>
            </w:r>
            <w:r w:rsidRPr="00A4379C">
              <w:rPr>
                <w:rFonts w:ascii="Gill Sans" w:hAnsi="Gill Sans" w:cs="Gill Sans"/>
                <w:color w:val="000000"/>
                <w:szCs w:val="22"/>
              </w:rPr>
              <w:t xml:space="preserve"> could potentially increase the numbers of students progressing to university for</w:t>
            </w:r>
            <w:r>
              <w:rPr>
                <w:rFonts w:ascii="Gill Sans" w:hAnsi="Gill Sans" w:cs="Gill Sans"/>
                <w:color w:val="000000"/>
                <w:szCs w:val="22"/>
              </w:rPr>
              <w:t xml:space="preserve"> the final year of their degree’ (108). Authors suggest more information for students about progression and expectations and a focus by providers on relationship building.</w:t>
            </w:r>
          </w:p>
        </w:tc>
      </w:tr>
      <w:tr w:rsidR="00F934ED" w:rsidRPr="00076E76" w14:paraId="6FEFE781" w14:textId="77777777" w:rsidTr="008A2D83">
        <w:tc>
          <w:tcPr>
            <w:tcW w:w="5529" w:type="dxa"/>
            <w:shd w:val="clear" w:color="auto" w:fill="auto"/>
          </w:tcPr>
          <w:p w14:paraId="322B96AD" w14:textId="724F732D" w:rsidR="00F934ED" w:rsidRDefault="00F934ED" w:rsidP="00F934ED">
            <w:pPr>
              <w:rPr>
                <w:rFonts w:ascii="Gill Sans" w:hAnsi="Gill Sans" w:cs="Gill Sans"/>
                <w:szCs w:val="22"/>
              </w:rPr>
            </w:pPr>
            <w:proofErr w:type="spellStart"/>
            <w:r w:rsidRPr="00076E76">
              <w:rPr>
                <w:rFonts w:ascii="Gill Sans" w:hAnsi="Gill Sans" w:cs="Gill Sans"/>
                <w:szCs w:val="22"/>
              </w:rPr>
              <w:lastRenderedPageBreak/>
              <w:t>Morosanu</w:t>
            </w:r>
            <w:proofErr w:type="spellEnd"/>
            <w:r w:rsidRPr="00076E76">
              <w:rPr>
                <w:rFonts w:ascii="Gill Sans" w:hAnsi="Gill Sans" w:cs="Gill Sans"/>
                <w:szCs w:val="22"/>
              </w:rPr>
              <w:t xml:space="preserve">, L.; Handley, K. &amp; O’Donovan, B. (2010). </w:t>
            </w:r>
            <w:hyperlink r:id="rId98" w:history="1">
              <w:r w:rsidRPr="00A86A91">
                <w:rPr>
                  <w:rStyle w:val="Hyperlink"/>
                  <w:rFonts w:ascii="Gill Sans" w:hAnsi="Gill Sans" w:cs="Gill Sans"/>
                  <w:szCs w:val="22"/>
                </w:rPr>
                <w:t>Seeking support: researching first-year students’ experiences of coping with academic life</w:t>
              </w:r>
            </w:hyperlink>
            <w:r w:rsidRPr="00076E76">
              <w:rPr>
                <w:rFonts w:ascii="Gill Sans" w:hAnsi="Gill Sans" w:cs="Gill Sans"/>
                <w:szCs w:val="22"/>
              </w:rPr>
              <w:t xml:space="preserve">, </w:t>
            </w:r>
            <w:r w:rsidRPr="00076E76">
              <w:rPr>
                <w:rFonts w:ascii="Gill Sans" w:hAnsi="Gill Sans" w:cs="Gill Sans"/>
                <w:i/>
                <w:szCs w:val="22"/>
              </w:rPr>
              <w:t xml:space="preserve">Higher Education Research &amp; Development, </w:t>
            </w:r>
            <w:r w:rsidRPr="00076E76">
              <w:rPr>
                <w:rFonts w:ascii="Gill Sans" w:hAnsi="Gill Sans" w:cs="Gill Sans"/>
                <w:szCs w:val="22"/>
              </w:rPr>
              <w:t>29(6)</w:t>
            </w:r>
            <w:r>
              <w:rPr>
                <w:rFonts w:ascii="Gill Sans" w:hAnsi="Gill Sans" w:cs="Gill Sans"/>
                <w:szCs w:val="22"/>
              </w:rPr>
              <w:t>,</w:t>
            </w:r>
            <w:r w:rsidRPr="00076E76">
              <w:rPr>
                <w:rFonts w:ascii="Gill Sans" w:hAnsi="Gill Sans" w:cs="Gill Sans"/>
                <w:szCs w:val="22"/>
              </w:rPr>
              <w:t xml:space="preserve"> 665</w:t>
            </w:r>
            <w:r>
              <w:rPr>
                <w:rFonts w:ascii="Gill Sans" w:hAnsi="Gill Sans" w:cs="Gill Sans"/>
                <w:szCs w:val="22"/>
              </w:rPr>
              <w:t>–</w:t>
            </w:r>
            <w:r w:rsidRPr="00076E76">
              <w:rPr>
                <w:rFonts w:ascii="Gill Sans" w:hAnsi="Gill Sans" w:cs="Gill Sans"/>
                <w:szCs w:val="22"/>
              </w:rPr>
              <w:t>678.</w:t>
            </w:r>
          </w:p>
          <w:p w14:paraId="3E6A59A3" w14:textId="77777777" w:rsidR="00F934ED" w:rsidRDefault="00F934ED" w:rsidP="00F934ED">
            <w:pPr>
              <w:rPr>
                <w:rFonts w:ascii="Gill Sans" w:hAnsi="Gill Sans" w:cs="Gill Sans"/>
                <w:szCs w:val="22"/>
              </w:rPr>
            </w:pPr>
          </w:p>
          <w:p w14:paraId="10FD9B28" w14:textId="77777777" w:rsidR="00F934ED" w:rsidRDefault="00F934ED" w:rsidP="00F934ED">
            <w:pPr>
              <w:rPr>
                <w:rFonts w:ascii="Gill Sans" w:hAnsi="Gill Sans" w:cs="Gill Sans"/>
                <w:szCs w:val="22"/>
              </w:rPr>
            </w:pPr>
            <w:r>
              <w:rPr>
                <w:rFonts w:ascii="Gill Sans" w:hAnsi="Gill Sans" w:cs="Gill Sans"/>
                <w:szCs w:val="22"/>
              </w:rPr>
              <w:t>UK</w:t>
            </w:r>
          </w:p>
          <w:p w14:paraId="6C36184F" w14:textId="7FC1DCEC" w:rsidR="00F934ED" w:rsidRDefault="00F934ED" w:rsidP="00F934ED">
            <w:pPr>
              <w:rPr>
                <w:rFonts w:ascii="Gill Sans" w:hAnsi="Gill Sans" w:cs="Gill Sans"/>
                <w:szCs w:val="22"/>
              </w:rPr>
            </w:pPr>
            <w:r>
              <w:rPr>
                <w:rFonts w:ascii="Gill Sans" w:hAnsi="Gill Sans" w:cs="Gill Sans"/>
                <w:szCs w:val="22"/>
              </w:rPr>
              <w:t xml:space="preserve">Annotation by </w:t>
            </w:r>
            <w:r w:rsidRPr="00FB58FE">
              <w:rPr>
                <w:rFonts w:ascii="Gill Sans" w:hAnsi="Gill Sans" w:cs="Gill Sans"/>
                <w:szCs w:val="22"/>
              </w:rPr>
              <w:t>Caitlyn McLoughlin</w:t>
            </w:r>
          </w:p>
          <w:p w14:paraId="4B453DB9" w14:textId="77777777" w:rsidR="00F934ED" w:rsidRDefault="00F934ED" w:rsidP="00F934ED">
            <w:pPr>
              <w:rPr>
                <w:rFonts w:ascii="Gill Sans" w:hAnsi="Gill Sans" w:cs="Gill Sans"/>
                <w:szCs w:val="22"/>
              </w:rPr>
            </w:pPr>
          </w:p>
          <w:p w14:paraId="3A5DC2F1" w14:textId="06D10E72" w:rsidR="00F934ED" w:rsidRPr="00FB58FE" w:rsidRDefault="00F934ED" w:rsidP="00F934ED">
            <w:pPr>
              <w:rPr>
                <w:rFonts w:ascii="Gill Sans" w:hAnsi="Gill Sans" w:cs="Gill Sans"/>
                <w:i/>
                <w:szCs w:val="22"/>
              </w:rPr>
            </w:pPr>
            <w:r w:rsidRPr="00FB58FE">
              <w:rPr>
                <w:rFonts w:ascii="Gill Sans" w:hAnsi="Gill Sans" w:cs="Gill Sans"/>
                <w:bCs/>
                <w:szCs w:val="22"/>
              </w:rPr>
              <w:t>Keywords:</w:t>
            </w:r>
            <w:r w:rsidRPr="00FB58FE">
              <w:rPr>
                <w:rFonts w:ascii="Gill Sans" w:hAnsi="Gill Sans" w:cs="Gill Sans"/>
                <w:b/>
                <w:bCs/>
                <w:szCs w:val="22"/>
              </w:rPr>
              <w:t xml:space="preserve"> </w:t>
            </w:r>
            <w:r w:rsidRPr="00FB58FE">
              <w:rPr>
                <w:rFonts w:ascii="Gill Sans" w:hAnsi="Gill Sans" w:cs="Gill Sans"/>
                <w:i/>
                <w:szCs w:val="22"/>
              </w:rPr>
              <w:t>formal and informal support; social networks; student experience; transition to academia</w:t>
            </w:r>
          </w:p>
          <w:p w14:paraId="36080091" w14:textId="77777777" w:rsidR="00F934ED" w:rsidRPr="00076E76" w:rsidRDefault="00F934ED" w:rsidP="00F934ED">
            <w:pPr>
              <w:rPr>
                <w:rFonts w:ascii="Gill Sans" w:hAnsi="Gill Sans" w:cs="Gill Sans"/>
                <w:szCs w:val="22"/>
              </w:rPr>
            </w:pPr>
          </w:p>
          <w:p w14:paraId="1FC418B2" w14:textId="57C4C0F7" w:rsidR="00F934ED" w:rsidRPr="00076E76" w:rsidRDefault="00F934ED" w:rsidP="00F934ED">
            <w:pPr>
              <w:rPr>
                <w:rFonts w:ascii="Gill Sans" w:hAnsi="Gill Sans" w:cs="Gill Sans"/>
                <w:szCs w:val="22"/>
              </w:rPr>
            </w:pPr>
          </w:p>
        </w:tc>
        <w:tc>
          <w:tcPr>
            <w:tcW w:w="10064" w:type="dxa"/>
          </w:tcPr>
          <w:p w14:paraId="6BF300A3" w14:textId="1A102AB3" w:rsidR="00F934ED" w:rsidRPr="00EB7FED" w:rsidRDefault="00F934ED" w:rsidP="00F934ED">
            <w:pPr>
              <w:rPr>
                <w:rFonts w:ascii="Gill Sans" w:hAnsi="Gill Sans" w:cs="Gill Sans"/>
                <w:color w:val="000000"/>
                <w:szCs w:val="22"/>
              </w:rPr>
            </w:pPr>
            <w:r w:rsidRPr="00076E76">
              <w:rPr>
                <w:rFonts w:ascii="Gill Sans" w:hAnsi="Gill Sans" w:cs="Gill Sans"/>
                <w:b/>
                <w:color w:val="000000"/>
                <w:szCs w:val="22"/>
                <w:lang w:val="en-AU"/>
              </w:rPr>
              <w:t xml:space="preserve">Context: </w:t>
            </w:r>
            <w:r>
              <w:rPr>
                <w:rFonts w:ascii="Gill Sans" w:hAnsi="Gill Sans" w:cs="Gill Sans"/>
                <w:color w:val="000000"/>
                <w:szCs w:val="22"/>
                <w:lang w:val="en-AU"/>
              </w:rPr>
              <w:t>Transition to higher ed includes both academic and socio-cultural challenges. While research recognises that there is a specific social dimension to learning and “</w:t>
            </w:r>
            <w:r w:rsidRPr="00EB7FED">
              <w:rPr>
                <w:rFonts w:ascii="Gill Sans" w:hAnsi="Gill Sans" w:cs="Gill Sans"/>
                <w:color w:val="000000"/>
                <w:szCs w:val="22"/>
              </w:rPr>
              <w:t>despite sustained institutional efforts to foster or even ‘create’ community in its broader sense, with an aim to facilitate integration and learning, there is growing evidence of student confusion, dissatisfaction and disengagement</w:t>
            </w:r>
            <w:r>
              <w:rPr>
                <w:rFonts w:ascii="Gill Sans" w:hAnsi="Gill Sans" w:cs="Gill Sans"/>
                <w:color w:val="000000"/>
                <w:szCs w:val="22"/>
              </w:rPr>
              <w:t>” (666).</w:t>
            </w:r>
            <w:r>
              <w:rPr>
                <w:rFonts w:ascii="Gill Sans" w:hAnsi="Gill Sans" w:cs="Gill Sans"/>
                <w:color w:val="000000"/>
                <w:szCs w:val="22"/>
                <w:lang w:val="en-AU"/>
              </w:rPr>
              <w:t xml:space="preserve"> </w:t>
            </w:r>
          </w:p>
          <w:p w14:paraId="646C4F72" w14:textId="5DCE522C" w:rsidR="00F934ED" w:rsidRPr="00731A15" w:rsidRDefault="00F934ED" w:rsidP="00F934ED">
            <w:pPr>
              <w:rPr>
                <w:rFonts w:ascii="Gill Sans" w:hAnsi="Gill Sans" w:cs="Gill Sans"/>
                <w:b/>
                <w:color w:val="000000"/>
                <w:szCs w:val="22"/>
              </w:rPr>
            </w:pPr>
            <w:r w:rsidRPr="00076E76">
              <w:rPr>
                <w:rFonts w:ascii="Gill Sans" w:hAnsi="Gill Sans" w:cs="Gill Sans"/>
                <w:b/>
                <w:color w:val="000000"/>
                <w:szCs w:val="22"/>
                <w:lang w:val="en-AU"/>
              </w:rPr>
              <w:t xml:space="preserve">Aim: </w:t>
            </w:r>
            <w:r>
              <w:rPr>
                <w:rFonts w:ascii="Gill Sans" w:hAnsi="Gill Sans" w:cs="Gill Sans"/>
                <w:color w:val="000000"/>
                <w:szCs w:val="22"/>
              </w:rPr>
              <w:t>Proposal of</w:t>
            </w:r>
            <w:r w:rsidRPr="00731A15">
              <w:rPr>
                <w:rFonts w:ascii="Gill Sans" w:hAnsi="Gill Sans" w:cs="Gill Sans"/>
                <w:color w:val="000000"/>
                <w:szCs w:val="22"/>
              </w:rPr>
              <w:t xml:space="preserve"> a </w:t>
            </w:r>
            <w:r>
              <w:rPr>
                <w:rFonts w:ascii="Gill Sans" w:hAnsi="Gill Sans" w:cs="Gill Sans"/>
                <w:color w:val="000000"/>
                <w:szCs w:val="22"/>
              </w:rPr>
              <w:t>“</w:t>
            </w:r>
            <w:r w:rsidRPr="00731A15">
              <w:rPr>
                <w:rFonts w:ascii="Gill Sans" w:hAnsi="Gill Sans" w:cs="Gill Sans"/>
                <w:color w:val="000000"/>
                <w:szCs w:val="22"/>
              </w:rPr>
              <w:t>social network agenda, starting ‘from below’, to examine students’ own use of formal and informal support in different academic contexts contained within or reaching beyond the university</w:t>
            </w:r>
            <w:r>
              <w:rPr>
                <w:rFonts w:ascii="Gill Sans" w:hAnsi="Gill Sans" w:cs="Gill Sans"/>
                <w:color w:val="000000"/>
                <w:szCs w:val="22"/>
              </w:rPr>
              <w:t>” (666) in response to failed efforts by institutions to create or manufacture communities.</w:t>
            </w:r>
          </w:p>
          <w:p w14:paraId="2A30A75A" w14:textId="5154AECE" w:rsidR="00F934ED" w:rsidRPr="00ED15CB" w:rsidRDefault="00F934ED" w:rsidP="00F934ED">
            <w:pPr>
              <w:rPr>
                <w:rFonts w:ascii="Gill Sans" w:hAnsi="Gill Sans" w:cs="Gill Sans"/>
                <w:color w:val="000000"/>
                <w:szCs w:val="22"/>
              </w:rPr>
            </w:pPr>
            <w:r w:rsidRPr="00076E76">
              <w:rPr>
                <w:rFonts w:ascii="Gill Sans" w:hAnsi="Gill Sans" w:cs="Gill Sans"/>
                <w:b/>
                <w:color w:val="000000"/>
                <w:szCs w:val="22"/>
                <w:lang w:val="en-AU"/>
              </w:rPr>
              <w:t>Theoretical frame:</w:t>
            </w:r>
            <w:r>
              <w:rPr>
                <w:rFonts w:ascii="Gill Sans" w:hAnsi="Gill Sans" w:cs="Gill Sans"/>
                <w:b/>
                <w:color w:val="000000"/>
                <w:szCs w:val="22"/>
                <w:lang w:val="en-AU"/>
              </w:rPr>
              <w:t xml:space="preserve"> </w:t>
            </w:r>
            <w:r w:rsidRPr="00A70C34">
              <w:rPr>
                <w:rFonts w:ascii="Gill Sans" w:hAnsi="Gill Sans" w:cs="Gill Sans"/>
                <w:color w:val="000000"/>
                <w:szCs w:val="22"/>
                <w:lang w:val="en-AU"/>
              </w:rPr>
              <w:t>Social network concepts</w:t>
            </w:r>
            <w:r>
              <w:rPr>
                <w:rFonts w:ascii="Gill Sans" w:hAnsi="Gill Sans" w:cs="Gill Sans"/>
                <w:color w:val="000000"/>
                <w:szCs w:val="22"/>
                <w:lang w:val="en-AU"/>
              </w:rPr>
              <w:t xml:space="preserve">, which </w:t>
            </w:r>
            <w:r w:rsidRPr="00A97A51">
              <w:rPr>
                <w:rFonts w:ascii="Gill Sans" w:hAnsi="Gill Sans" w:cs="Gill Sans"/>
                <w:color w:val="000000"/>
                <w:szCs w:val="22"/>
              </w:rPr>
              <w:t>emphasise the role of relationships among individuals or organisations</w:t>
            </w:r>
            <w:r>
              <w:rPr>
                <w:rFonts w:ascii="Gill Sans" w:hAnsi="Gill Sans" w:cs="Gill Sans"/>
                <w:color w:val="000000"/>
                <w:szCs w:val="22"/>
                <w:lang w:val="en-AU"/>
              </w:rPr>
              <w:t xml:space="preserve"> as a complementary lens to “</w:t>
            </w:r>
            <w:r w:rsidRPr="004F6F9E">
              <w:rPr>
                <w:rFonts w:ascii="Gill Sans" w:hAnsi="Gill Sans" w:cs="Gill Sans"/>
                <w:color w:val="000000"/>
                <w:szCs w:val="22"/>
              </w:rPr>
              <w:t xml:space="preserve">learning and community of practice perspectives, which </w:t>
            </w:r>
            <w:proofErr w:type="spellStart"/>
            <w:r w:rsidRPr="004F6F9E">
              <w:rPr>
                <w:rFonts w:ascii="Gill Sans" w:hAnsi="Gill Sans" w:cs="Gill Sans"/>
                <w:color w:val="000000"/>
                <w:szCs w:val="22"/>
              </w:rPr>
              <w:t>emphasise</w:t>
            </w:r>
            <w:proofErr w:type="spellEnd"/>
            <w:r w:rsidRPr="004F6F9E">
              <w:rPr>
                <w:rFonts w:ascii="Gill Sans" w:hAnsi="Gill Sans" w:cs="Gill Sans"/>
                <w:color w:val="000000"/>
                <w:szCs w:val="22"/>
              </w:rPr>
              <w:t xml:space="preserve"> </w:t>
            </w:r>
            <w:r w:rsidRPr="004F6F9E">
              <w:rPr>
                <w:rFonts w:ascii="Gill Sans" w:hAnsi="Gill Sans" w:cs="Gill Sans"/>
                <w:i/>
                <w:iCs/>
                <w:color w:val="000000"/>
                <w:szCs w:val="22"/>
              </w:rPr>
              <w:t xml:space="preserve">participation </w:t>
            </w:r>
            <w:r w:rsidRPr="004F6F9E">
              <w:rPr>
                <w:rFonts w:ascii="Gill Sans" w:hAnsi="Gill Sans" w:cs="Gill Sans"/>
                <w:color w:val="000000"/>
                <w:szCs w:val="22"/>
              </w:rPr>
              <w:t>as the driving force of learning and identity development (Lave &amp; Wenger, 1991; Wenger, 1998)</w:t>
            </w:r>
            <w:r>
              <w:rPr>
                <w:rFonts w:ascii="Gill Sans" w:hAnsi="Gill Sans" w:cs="Gill Sans"/>
                <w:color w:val="000000"/>
                <w:szCs w:val="22"/>
              </w:rPr>
              <w:t xml:space="preserve">” (666). </w:t>
            </w:r>
            <w:r w:rsidRPr="00ED15CB">
              <w:rPr>
                <w:rFonts w:ascii="Gill Sans" w:hAnsi="Gill Sans" w:cs="Gill Sans"/>
                <w:color w:val="000000"/>
                <w:szCs w:val="22"/>
              </w:rPr>
              <w:t>Bourdieu</w:t>
            </w:r>
            <w:r>
              <w:rPr>
                <w:rFonts w:ascii="Gill Sans" w:hAnsi="Gill Sans" w:cs="Gill Sans"/>
                <w:color w:val="000000"/>
                <w:szCs w:val="22"/>
              </w:rPr>
              <w:t>’s (1997)</w:t>
            </w:r>
            <w:r w:rsidRPr="00ED15CB">
              <w:rPr>
                <w:rFonts w:ascii="Gill Sans" w:hAnsi="Gill Sans" w:cs="Gill Sans"/>
                <w:color w:val="000000"/>
                <w:szCs w:val="22"/>
              </w:rPr>
              <w:t xml:space="preserve"> concept of social capital</w:t>
            </w:r>
            <w:r>
              <w:rPr>
                <w:rFonts w:ascii="Gill Sans" w:hAnsi="Gill Sans" w:cs="Gill Sans"/>
                <w:color w:val="000000"/>
                <w:szCs w:val="22"/>
              </w:rPr>
              <w:t>,</w:t>
            </w:r>
            <w:r w:rsidRPr="00ED15CB">
              <w:rPr>
                <w:rFonts w:ascii="Gill Sans" w:hAnsi="Gill Sans" w:cs="Gill Sans"/>
                <w:color w:val="000000"/>
                <w:szCs w:val="22"/>
              </w:rPr>
              <w:t xml:space="preserve"> defined as </w:t>
            </w:r>
            <w:r>
              <w:rPr>
                <w:rFonts w:ascii="Gill Sans" w:hAnsi="Gill Sans" w:cs="Gill Sans"/>
                <w:color w:val="000000"/>
                <w:szCs w:val="22"/>
              </w:rPr>
              <w:t>“</w:t>
            </w:r>
            <w:r w:rsidRPr="00ED15CB">
              <w:rPr>
                <w:rFonts w:ascii="Gill Sans" w:hAnsi="Gill Sans" w:cs="Gill Sans"/>
                <w:color w:val="000000"/>
                <w:szCs w:val="22"/>
              </w:rPr>
              <w:t xml:space="preserve">‘the aggregate of the actual and potential resources which are linked to possession of a durable network of more or less </w:t>
            </w:r>
            <w:proofErr w:type="spellStart"/>
            <w:r w:rsidRPr="00ED15CB">
              <w:rPr>
                <w:rFonts w:ascii="Gill Sans" w:hAnsi="Gill Sans" w:cs="Gill Sans"/>
                <w:color w:val="000000"/>
                <w:szCs w:val="22"/>
              </w:rPr>
              <w:t>institutionalised</w:t>
            </w:r>
            <w:proofErr w:type="spellEnd"/>
            <w:r w:rsidRPr="00ED15CB">
              <w:rPr>
                <w:rFonts w:ascii="Gill Sans" w:hAnsi="Gill Sans" w:cs="Gill Sans"/>
                <w:color w:val="000000"/>
                <w:szCs w:val="22"/>
              </w:rPr>
              <w:t xml:space="preserve"> r</w:t>
            </w:r>
            <w:r>
              <w:rPr>
                <w:rFonts w:ascii="Gill Sans" w:hAnsi="Gill Sans" w:cs="Gill Sans"/>
                <w:color w:val="000000"/>
                <w:szCs w:val="22"/>
              </w:rPr>
              <w:t>elationships of mutual acquain</w:t>
            </w:r>
            <w:r w:rsidRPr="00ED15CB">
              <w:rPr>
                <w:rFonts w:ascii="Gill Sans" w:hAnsi="Gill Sans" w:cs="Gill Sans"/>
                <w:color w:val="000000"/>
                <w:szCs w:val="22"/>
              </w:rPr>
              <w:t>tance and recognition or – in other words, to membership in a group’ (p. 51)</w:t>
            </w:r>
            <w:r>
              <w:rPr>
                <w:rFonts w:ascii="Gill Sans" w:hAnsi="Gill Sans" w:cs="Gill Sans"/>
                <w:color w:val="000000"/>
                <w:szCs w:val="22"/>
              </w:rPr>
              <w:t>” (667)</w:t>
            </w:r>
            <w:r w:rsidRPr="00ED15CB">
              <w:rPr>
                <w:rFonts w:ascii="Gill Sans" w:hAnsi="Gill Sans" w:cs="Gill Sans"/>
                <w:color w:val="000000"/>
                <w:szCs w:val="22"/>
              </w:rPr>
              <w:t>.</w:t>
            </w:r>
            <w:r>
              <w:rPr>
                <w:rFonts w:ascii="Gill Sans" w:hAnsi="Gill Sans" w:cs="Gill Sans"/>
                <w:color w:val="000000"/>
                <w:szCs w:val="22"/>
              </w:rPr>
              <w:t xml:space="preserve"> Coleman’s </w:t>
            </w:r>
            <w:r w:rsidRPr="00743C11">
              <w:rPr>
                <w:rFonts w:ascii="Gill Sans" w:hAnsi="Gill Sans" w:cs="Gill Sans"/>
                <w:color w:val="000000"/>
                <w:szCs w:val="22"/>
              </w:rPr>
              <w:t xml:space="preserve">(1997) </w:t>
            </w:r>
            <w:r>
              <w:rPr>
                <w:rFonts w:ascii="Gill Sans" w:hAnsi="Gill Sans" w:cs="Gill Sans"/>
                <w:color w:val="000000"/>
                <w:szCs w:val="22"/>
              </w:rPr>
              <w:t>discussion of</w:t>
            </w:r>
            <w:r w:rsidRPr="00743C11">
              <w:rPr>
                <w:rFonts w:ascii="Gill Sans" w:hAnsi="Gill Sans" w:cs="Gill Sans"/>
                <w:color w:val="000000"/>
                <w:szCs w:val="22"/>
              </w:rPr>
              <w:t xml:space="preserve"> social capital </w:t>
            </w:r>
            <w:r>
              <w:rPr>
                <w:rFonts w:ascii="Gill Sans" w:hAnsi="Gill Sans" w:cs="Gill Sans"/>
                <w:color w:val="000000"/>
                <w:szCs w:val="22"/>
              </w:rPr>
              <w:t>focuses on systematic functions</w:t>
            </w:r>
            <w:r w:rsidRPr="00743C11">
              <w:rPr>
                <w:rFonts w:ascii="Gill Sans" w:hAnsi="Gill Sans" w:cs="Gill Sans"/>
                <w:color w:val="000000"/>
                <w:szCs w:val="22"/>
              </w:rPr>
              <w:t xml:space="preserve">, </w:t>
            </w:r>
            <w:r>
              <w:rPr>
                <w:rFonts w:ascii="Gill Sans" w:hAnsi="Gill Sans" w:cs="Gill Sans"/>
                <w:color w:val="000000"/>
                <w:szCs w:val="22"/>
              </w:rPr>
              <w:t>which</w:t>
            </w:r>
            <w:r w:rsidRPr="00743C11">
              <w:rPr>
                <w:rFonts w:ascii="Gill Sans" w:hAnsi="Gill Sans" w:cs="Gill Sans"/>
                <w:color w:val="000000"/>
                <w:szCs w:val="22"/>
              </w:rPr>
              <w:t xml:space="preserve"> distinguishes between resources and the ‘ability’ to gain them via membership in various networks (</w:t>
            </w:r>
            <w:proofErr w:type="spellStart"/>
            <w:r w:rsidRPr="00743C11">
              <w:rPr>
                <w:rFonts w:ascii="Gill Sans" w:hAnsi="Gill Sans" w:cs="Gill Sans"/>
                <w:color w:val="000000"/>
                <w:szCs w:val="22"/>
              </w:rPr>
              <w:t>Portes</w:t>
            </w:r>
            <w:proofErr w:type="spellEnd"/>
            <w:r w:rsidRPr="00743C11">
              <w:rPr>
                <w:rFonts w:ascii="Gill Sans" w:hAnsi="Gill Sans" w:cs="Gill Sans"/>
                <w:color w:val="000000"/>
                <w:szCs w:val="22"/>
              </w:rPr>
              <w:t>, 1998, p. 5</w:t>
            </w:r>
            <w:r>
              <w:rPr>
                <w:rFonts w:ascii="Gill Sans" w:hAnsi="Gill Sans" w:cs="Gill Sans"/>
                <w:color w:val="000000"/>
                <w:szCs w:val="22"/>
              </w:rPr>
              <w:t>) and outlines</w:t>
            </w:r>
            <w:r w:rsidRPr="00743C11">
              <w:rPr>
                <w:rFonts w:ascii="Gill Sans" w:hAnsi="Gill Sans" w:cs="Gill Sans"/>
                <w:color w:val="000000"/>
                <w:szCs w:val="22"/>
              </w:rPr>
              <w:t xml:space="preserve"> three aspects of social capital: </w:t>
            </w:r>
            <w:r w:rsidRPr="00743C11">
              <w:rPr>
                <w:rFonts w:ascii="Gill Sans" w:hAnsi="Gill Sans" w:cs="Gill Sans"/>
                <w:i/>
                <w:iCs/>
                <w:color w:val="000000"/>
                <w:szCs w:val="22"/>
              </w:rPr>
              <w:t>obligations and expectations</w:t>
            </w:r>
            <w:r w:rsidRPr="00743C11">
              <w:rPr>
                <w:rFonts w:ascii="Gill Sans" w:hAnsi="Gill Sans" w:cs="Gill Sans"/>
                <w:color w:val="000000"/>
                <w:szCs w:val="22"/>
              </w:rPr>
              <w:t xml:space="preserve">, depending on the trust exercised in the networks; the </w:t>
            </w:r>
            <w:r w:rsidRPr="00743C11">
              <w:rPr>
                <w:rFonts w:ascii="Gill Sans" w:hAnsi="Gill Sans" w:cs="Gill Sans"/>
                <w:i/>
                <w:iCs/>
                <w:color w:val="000000"/>
                <w:szCs w:val="22"/>
              </w:rPr>
              <w:t xml:space="preserve">capacity of information to flow </w:t>
            </w:r>
            <w:r w:rsidRPr="00743C11">
              <w:rPr>
                <w:rFonts w:ascii="Gill Sans" w:hAnsi="Gill Sans" w:cs="Gill Sans"/>
                <w:color w:val="000000"/>
                <w:szCs w:val="22"/>
              </w:rPr>
              <w:t xml:space="preserve">through the network so as to generate action; and </w:t>
            </w:r>
            <w:r w:rsidRPr="00743C11">
              <w:rPr>
                <w:rFonts w:ascii="Gill Sans" w:hAnsi="Gill Sans" w:cs="Gill Sans"/>
                <w:i/>
                <w:iCs/>
                <w:color w:val="000000"/>
                <w:szCs w:val="22"/>
              </w:rPr>
              <w:t xml:space="preserve">norms and sanctions </w:t>
            </w:r>
            <w:r w:rsidRPr="00743C11">
              <w:rPr>
                <w:rFonts w:ascii="Gill Sans" w:hAnsi="Gill Sans" w:cs="Gill Sans"/>
                <w:color w:val="000000"/>
                <w:szCs w:val="22"/>
              </w:rPr>
              <w:t>that regulate relations (Harper, 2001, p. 8).</w:t>
            </w:r>
            <w:r>
              <w:rPr>
                <w:rFonts w:ascii="Gill Sans" w:hAnsi="Gill Sans" w:cs="Gill Sans"/>
                <w:color w:val="000000"/>
                <w:szCs w:val="22"/>
              </w:rPr>
              <w:t xml:space="preserve"> And Putnam’s (2000) social capital </w:t>
            </w:r>
            <w:proofErr w:type="spellStart"/>
            <w:r>
              <w:rPr>
                <w:rFonts w:ascii="Gill Sans" w:hAnsi="Gill Sans" w:cs="Gill Sans"/>
                <w:color w:val="000000"/>
                <w:szCs w:val="22"/>
              </w:rPr>
              <w:t>theorisations</w:t>
            </w:r>
            <w:proofErr w:type="spellEnd"/>
            <w:r>
              <w:rPr>
                <w:rFonts w:ascii="Gill Sans" w:hAnsi="Gill Sans" w:cs="Gill Sans"/>
                <w:color w:val="000000"/>
                <w:szCs w:val="22"/>
              </w:rPr>
              <w:t xml:space="preserve"> which focus on</w:t>
            </w:r>
            <w:r w:rsidRPr="00BD7A8C">
              <w:rPr>
                <w:rFonts w:ascii="Gill Sans" w:hAnsi="Gill Sans" w:cs="Gill Sans"/>
                <w:color w:val="000000"/>
                <w:szCs w:val="22"/>
              </w:rPr>
              <w:t xml:space="preserve"> larger structures, arguing that education is one area where the benefits of social capital can be felt at both the individual and collective level.</w:t>
            </w:r>
          </w:p>
          <w:p w14:paraId="2790E07E" w14:textId="0707B496" w:rsidR="00F934ED" w:rsidRPr="00AB3AF3" w:rsidRDefault="00F934ED" w:rsidP="00F934ED">
            <w:pPr>
              <w:rPr>
                <w:rFonts w:ascii="Gill Sans" w:hAnsi="Gill Sans" w:cs="Gill Sans"/>
                <w:color w:val="000000"/>
                <w:szCs w:val="22"/>
              </w:rPr>
            </w:pPr>
            <w:r w:rsidRPr="00076E76">
              <w:rPr>
                <w:rFonts w:ascii="Gill Sans" w:hAnsi="Gill Sans" w:cs="Gill Sans"/>
                <w:b/>
                <w:color w:val="000000"/>
                <w:szCs w:val="22"/>
                <w:lang w:val="en-AU"/>
              </w:rPr>
              <w:t xml:space="preserve">Methodology: </w:t>
            </w:r>
            <w:r>
              <w:rPr>
                <w:rFonts w:ascii="Gill Sans" w:hAnsi="Gill Sans" w:cs="Gill Sans"/>
                <w:color w:val="000000"/>
                <w:szCs w:val="22"/>
                <w:lang w:val="en-AU"/>
              </w:rPr>
              <w:t xml:space="preserve">Two vignettes from two university students taken from an </w:t>
            </w:r>
            <w:r w:rsidRPr="00AB3AF3">
              <w:rPr>
                <w:rFonts w:ascii="Gill Sans" w:hAnsi="Gill Sans" w:cs="Gill Sans"/>
                <w:color w:val="000000"/>
                <w:szCs w:val="22"/>
              </w:rPr>
              <w:t>exploratory research</w:t>
            </w:r>
            <w:r>
              <w:rPr>
                <w:rFonts w:ascii="Gill Sans" w:hAnsi="Gill Sans" w:cs="Gill Sans"/>
                <w:color w:val="000000"/>
                <w:szCs w:val="22"/>
              </w:rPr>
              <w:t xml:space="preserve"> </w:t>
            </w:r>
            <w:r w:rsidRPr="00AB3AF3">
              <w:rPr>
                <w:rFonts w:ascii="Gill Sans" w:hAnsi="Gill Sans" w:cs="Gill Sans"/>
                <w:color w:val="000000"/>
                <w:szCs w:val="22"/>
              </w:rPr>
              <w:t>study</w:t>
            </w:r>
            <w:r>
              <w:rPr>
                <w:rFonts w:ascii="Gill Sans" w:hAnsi="Gill Sans" w:cs="Gill Sans"/>
                <w:color w:val="000000"/>
                <w:szCs w:val="22"/>
              </w:rPr>
              <w:t xml:space="preserve"> </w:t>
            </w:r>
            <w:r w:rsidRPr="00AB3AF3">
              <w:rPr>
                <w:rFonts w:ascii="Gill Sans" w:hAnsi="Gill Sans" w:cs="Gill Sans"/>
                <w:color w:val="000000"/>
                <w:szCs w:val="22"/>
              </w:rPr>
              <w:t>on student experience</w:t>
            </w:r>
            <w:r>
              <w:rPr>
                <w:rFonts w:ascii="Gill Sans" w:hAnsi="Gill Sans" w:cs="Gill Sans"/>
                <w:color w:val="000000"/>
                <w:szCs w:val="22"/>
              </w:rPr>
              <w:t>,</w:t>
            </w:r>
            <w:r w:rsidRPr="00AB3AF3">
              <w:rPr>
                <w:rFonts w:ascii="Gill Sans" w:hAnsi="Gill Sans" w:cs="Gill Sans"/>
                <w:color w:val="000000"/>
                <w:szCs w:val="22"/>
              </w:rPr>
              <w:t xml:space="preserve"> </w:t>
            </w:r>
            <w:r>
              <w:rPr>
                <w:rFonts w:ascii="Gill Sans" w:hAnsi="Gill Sans" w:cs="Gill Sans"/>
                <w:color w:val="000000"/>
                <w:szCs w:val="22"/>
              </w:rPr>
              <w:t xml:space="preserve">which included </w:t>
            </w:r>
            <w:r w:rsidRPr="00AB3AF3">
              <w:rPr>
                <w:rFonts w:ascii="Gill Sans" w:hAnsi="Gill Sans" w:cs="Gill Sans"/>
                <w:color w:val="000000"/>
                <w:szCs w:val="22"/>
              </w:rPr>
              <w:t>student audio diaries</w:t>
            </w:r>
            <w:r>
              <w:rPr>
                <w:rFonts w:ascii="Gill Sans" w:hAnsi="Gill Sans" w:cs="Gill Sans"/>
                <w:color w:val="000000"/>
                <w:szCs w:val="22"/>
              </w:rPr>
              <w:t xml:space="preserve">. The study tried to capture </w:t>
            </w:r>
            <w:r w:rsidRPr="005A4338">
              <w:rPr>
                <w:rFonts w:ascii="Gill Sans" w:hAnsi="Gill Sans" w:cs="Gill Sans"/>
                <w:color w:val="000000"/>
                <w:szCs w:val="22"/>
              </w:rPr>
              <w:t>spontaneous, non-directive particularities of the students’ daily experience at university</w:t>
            </w:r>
            <w:r>
              <w:rPr>
                <w:rFonts w:ascii="Gill Sans" w:hAnsi="Gill Sans" w:cs="Gill Sans"/>
                <w:color w:val="000000"/>
                <w:szCs w:val="22"/>
              </w:rPr>
              <w:t xml:space="preserve"> and the audio diary portion was optional participation. </w:t>
            </w:r>
          </w:p>
          <w:p w14:paraId="40F41C56" w14:textId="7CD59D25" w:rsidR="00F934ED" w:rsidRPr="00CB74DA" w:rsidRDefault="00F934ED" w:rsidP="00F934ED">
            <w:pPr>
              <w:rPr>
                <w:rFonts w:ascii="Gill Sans" w:hAnsi="Gill Sans" w:cs="Gill Sans"/>
                <w:color w:val="000000"/>
                <w:szCs w:val="22"/>
              </w:rPr>
            </w:pPr>
            <w:r w:rsidRPr="00076E76">
              <w:rPr>
                <w:rFonts w:ascii="Gill Sans" w:hAnsi="Gill Sans" w:cs="Gill Sans"/>
                <w:b/>
                <w:color w:val="000000"/>
                <w:szCs w:val="22"/>
                <w:lang w:val="en-AU"/>
              </w:rPr>
              <w:t xml:space="preserve">Findings: </w:t>
            </w:r>
            <w:r>
              <w:rPr>
                <w:rFonts w:ascii="Gill Sans" w:hAnsi="Gill Sans" w:cs="Gill Sans"/>
                <w:color w:val="000000"/>
                <w:szCs w:val="22"/>
              </w:rPr>
              <w:t>F</w:t>
            </w:r>
            <w:r w:rsidRPr="00021EC4">
              <w:rPr>
                <w:rFonts w:ascii="Gill Sans" w:hAnsi="Gill Sans" w:cs="Gill Sans"/>
                <w:color w:val="000000"/>
                <w:szCs w:val="22"/>
              </w:rPr>
              <w:t>irst-year students’ transition to university is not an even, smooth process</w:t>
            </w:r>
            <w:r>
              <w:rPr>
                <w:rFonts w:ascii="Gill Sans" w:hAnsi="Gill Sans" w:cs="Gill Sans"/>
                <w:color w:val="000000"/>
                <w:szCs w:val="22"/>
              </w:rPr>
              <w:t xml:space="preserve">. In particular, students may find imposition of ‘forced socialisation’ intimidating and unhelpful. </w:t>
            </w:r>
            <w:r w:rsidRPr="00CB74DA">
              <w:rPr>
                <w:rFonts w:ascii="Gill Sans" w:hAnsi="Gill Sans" w:cs="Gill Sans"/>
                <w:color w:val="000000"/>
                <w:szCs w:val="22"/>
              </w:rPr>
              <w:t xml:space="preserve"> </w:t>
            </w:r>
            <w:r w:rsidRPr="00CB74DA">
              <w:rPr>
                <w:rFonts w:ascii="Gill Sans" w:hAnsi="Gill Sans" w:cs="Gill Sans"/>
                <w:color w:val="000000"/>
                <w:szCs w:val="22"/>
                <w:lang w:val="en-AU"/>
              </w:rPr>
              <w:br/>
            </w:r>
            <w:r w:rsidRPr="00CB74DA">
              <w:rPr>
                <w:rFonts w:ascii="Gill Sans" w:hAnsi="Gill Sans" w:cs="Gill Sans"/>
                <w:b/>
                <w:color w:val="000000"/>
                <w:szCs w:val="22"/>
                <w:lang w:val="en-AU"/>
              </w:rPr>
              <w:t xml:space="preserve">Core argument: </w:t>
            </w:r>
            <w:r w:rsidRPr="00CB74DA">
              <w:rPr>
                <w:rFonts w:ascii="Gill Sans" w:hAnsi="Gill Sans" w:cs="Gill Sans"/>
                <w:color w:val="000000"/>
                <w:szCs w:val="22"/>
                <w:lang w:val="en-AU"/>
              </w:rPr>
              <w:t xml:space="preserve">Exploring the communities and informal networks within which students are embedded requires a ‘from below’ consideration to fully understand students’ support needs.  </w:t>
            </w:r>
          </w:p>
        </w:tc>
      </w:tr>
      <w:tr w:rsidR="00F934ED" w:rsidRPr="00076E76" w14:paraId="079D2A56" w14:textId="77777777" w:rsidTr="00E22D80">
        <w:trPr>
          <w:trHeight w:val="488"/>
        </w:trPr>
        <w:tc>
          <w:tcPr>
            <w:tcW w:w="5529" w:type="dxa"/>
            <w:shd w:val="clear" w:color="auto" w:fill="auto"/>
          </w:tcPr>
          <w:p w14:paraId="2170EEB5" w14:textId="171D0AE4" w:rsidR="00F934ED" w:rsidRDefault="00F934ED" w:rsidP="00F934ED">
            <w:pPr>
              <w:rPr>
                <w:rFonts w:ascii="Gill Sans" w:hAnsi="Gill Sans" w:cs="Gill Sans"/>
                <w:szCs w:val="22"/>
              </w:rPr>
            </w:pPr>
            <w:r w:rsidRPr="00076E76">
              <w:rPr>
                <w:rFonts w:ascii="Gill Sans" w:hAnsi="Gill Sans" w:cs="Gill Sans"/>
                <w:szCs w:val="22"/>
              </w:rPr>
              <w:lastRenderedPageBreak/>
              <w:t xml:space="preserve">Murtagh, L. (2010). </w:t>
            </w:r>
            <w:hyperlink r:id="rId99" w:history="1">
              <w:r w:rsidRPr="00A86A91">
                <w:rPr>
                  <w:rStyle w:val="Hyperlink"/>
                  <w:rFonts w:ascii="Gill Sans" w:hAnsi="Gill Sans" w:cs="Gill Sans"/>
                  <w:szCs w:val="22"/>
                </w:rPr>
                <w:t>They give us homework! Transition to higher education: the case of initial teacher training</w:t>
              </w:r>
            </w:hyperlink>
            <w:r w:rsidRPr="00076E76">
              <w:rPr>
                <w:rFonts w:ascii="Gill Sans" w:hAnsi="Gill Sans" w:cs="Gill Sans"/>
                <w:szCs w:val="22"/>
              </w:rPr>
              <w:t xml:space="preserve">, </w:t>
            </w:r>
            <w:r w:rsidRPr="00076E76">
              <w:rPr>
                <w:rFonts w:ascii="Gill Sans" w:hAnsi="Gill Sans" w:cs="Gill Sans"/>
                <w:i/>
                <w:szCs w:val="22"/>
              </w:rPr>
              <w:t xml:space="preserve">Journal of Further and Higher Education, </w:t>
            </w:r>
            <w:r>
              <w:rPr>
                <w:rFonts w:ascii="Gill Sans" w:hAnsi="Gill Sans" w:cs="Gill Sans"/>
                <w:szCs w:val="22"/>
              </w:rPr>
              <w:t>34(3), 405–</w:t>
            </w:r>
            <w:r w:rsidRPr="00076E76">
              <w:rPr>
                <w:rFonts w:ascii="Gill Sans" w:hAnsi="Gill Sans" w:cs="Gill Sans"/>
                <w:szCs w:val="22"/>
              </w:rPr>
              <w:t>418.</w:t>
            </w:r>
          </w:p>
          <w:p w14:paraId="04824EEE" w14:textId="77777777" w:rsidR="00F934ED" w:rsidRDefault="00F934ED" w:rsidP="00F934ED">
            <w:pPr>
              <w:rPr>
                <w:rFonts w:ascii="Gill Sans" w:hAnsi="Gill Sans" w:cs="Gill Sans"/>
                <w:szCs w:val="22"/>
              </w:rPr>
            </w:pPr>
          </w:p>
          <w:p w14:paraId="161AA448" w14:textId="77777777" w:rsidR="00F934ED" w:rsidRDefault="00F934ED" w:rsidP="00F934ED">
            <w:pPr>
              <w:rPr>
                <w:rFonts w:ascii="Gill Sans" w:hAnsi="Gill Sans" w:cs="Gill Sans"/>
                <w:szCs w:val="22"/>
              </w:rPr>
            </w:pPr>
            <w:r>
              <w:rPr>
                <w:rFonts w:ascii="Gill Sans" w:hAnsi="Gill Sans" w:cs="Gill Sans"/>
                <w:szCs w:val="22"/>
              </w:rPr>
              <w:t>UK</w:t>
            </w:r>
          </w:p>
          <w:p w14:paraId="11DC2AE6" w14:textId="77777777" w:rsidR="00F934ED" w:rsidRDefault="00F934ED" w:rsidP="00F934ED">
            <w:pPr>
              <w:rPr>
                <w:rFonts w:ascii="Gill Sans" w:hAnsi="Gill Sans" w:cs="Gill Sans"/>
                <w:szCs w:val="22"/>
              </w:rPr>
            </w:pPr>
            <w:r>
              <w:rPr>
                <w:rFonts w:ascii="Gill Sans" w:hAnsi="Gill Sans" w:cs="Gill Sans"/>
                <w:szCs w:val="22"/>
              </w:rPr>
              <w:t xml:space="preserve">Annotation by </w:t>
            </w:r>
            <w:r w:rsidRPr="00766A56">
              <w:rPr>
                <w:rFonts w:ascii="Gill Sans" w:hAnsi="Gill Sans" w:cs="Gill Sans"/>
                <w:szCs w:val="22"/>
              </w:rPr>
              <w:t>Caitlyn McLoughlin</w:t>
            </w:r>
          </w:p>
          <w:p w14:paraId="46667A38" w14:textId="77777777" w:rsidR="00F934ED" w:rsidRDefault="00F934ED" w:rsidP="00F934ED">
            <w:pPr>
              <w:rPr>
                <w:rFonts w:ascii="Gill Sans" w:hAnsi="Gill Sans" w:cs="Gill Sans"/>
                <w:szCs w:val="22"/>
              </w:rPr>
            </w:pPr>
          </w:p>
          <w:p w14:paraId="0C1FDCEA" w14:textId="77777777" w:rsidR="00F934ED" w:rsidRPr="00766A56" w:rsidRDefault="00F934ED" w:rsidP="00F934ED">
            <w:pPr>
              <w:rPr>
                <w:rFonts w:ascii="Gill Sans" w:hAnsi="Gill Sans" w:cs="Gill Sans"/>
                <w:i/>
                <w:szCs w:val="22"/>
              </w:rPr>
            </w:pPr>
            <w:r w:rsidRPr="00766A56">
              <w:rPr>
                <w:rFonts w:ascii="Gill Sans" w:hAnsi="Gill Sans" w:cs="Gill Sans"/>
                <w:bCs/>
                <w:szCs w:val="22"/>
              </w:rPr>
              <w:t xml:space="preserve">Keywords: </w:t>
            </w:r>
            <w:r w:rsidRPr="00766A56">
              <w:rPr>
                <w:rFonts w:ascii="Gill Sans" w:hAnsi="Gill Sans" w:cs="Gill Sans"/>
                <w:i/>
                <w:szCs w:val="22"/>
              </w:rPr>
              <w:t>independent learning; assessment; transition; initial teacher training; case study</w:t>
            </w:r>
          </w:p>
          <w:p w14:paraId="24CA62EB" w14:textId="7736F183" w:rsidR="00F934ED" w:rsidRPr="00076E76" w:rsidRDefault="00F934ED" w:rsidP="00F934ED">
            <w:pPr>
              <w:rPr>
                <w:rFonts w:ascii="Gill Sans" w:hAnsi="Gill Sans" w:cs="Gill Sans"/>
                <w:szCs w:val="22"/>
              </w:rPr>
            </w:pPr>
          </w:p>
        </w:tc>
        <w:tc>
          <w:tcPr>
            <w:tcW w:w="10064" w:type="dxa"/>
          </w:tcPr>
          <w:p w14:paraId="6902D260" w14:textId="3B68658C" w:rsidR="00F934ED" w:rsidRPr="00C715B7" w:rsidRDefault="00F934ED" w:rsidP="00F934ED">
            <w:pPr>
              <w:rPr>
                <w:rFonts w:ascii="Gill Sans" w:hAnsi="Gill Sans" w:cs="Gill Sans"/>
                <w:color w:val="000000"/>
                <w:szCs w:val="22"/>
              </w:rPr>
            </w:pPr>
            <w:r w:rsidRPr="00076E76">
              <w:rPr>
                <w:rFonts w:ascii="Gill Sans" w:hAnsi="Gill Sans" w:cs="Gill Sans"/>
                <w:b/>
                <w:color w:val="000000"/>
                <w:szCs w:val="22"/>
                <w:lang w:val="en-AU"/>
              </w:rPr>
              <w:t xml:space="preserve">Context: </w:t>
            </w:r>
            <w:r>
              <w:rPr>
                <w:rFonts w:ascii="Gill Sans" w:hAnsi="Gill Sans" w:cs="Gill Sans"/>
                <w:color w:val="000000"/>
                <w:szCs w:val="22"/>
                <w:lang w:val="en-AU"/>
              </w:rPr>
              <w:t>Many students who drop out of university do so within the first year, as it is generally understood as a time of substantial and significant change and adjustment. Often expectations for students to be self-regulatory and motivated produce feelings of anxiety and stress within students. This particular university emphasises ‘</w:t>
            </w:r>
            <w:r w:rsidRPr="00C715B7">
              <w:rPr>
                <w:rFonts w:ascii="Gill Sans" w:hAnsi="Gill Sans" w:cs="Gill Sans"/>
                <w:color w:val="000000"/>
                <w:szCs w:val="22"/>
              </w:rPr>
              <w:t>independent learning and learner autonomy. Learner autonomy is pr</w:t>
            </w:r>
            <w:r>
              <w:rPr>
                <w:rFonts w:ascii="Gill Sans" w:hAnsi="Gill Sans" w:cs="Gill Sans"/>
                <w:color w:val="000000"/>
                <w:szCs w:val="22"/>
              </w:rPr>
              <w:t>imarily concerned with decision-</w:t>
            </w:r>
            <w:r w:rsidRPr="00C715B7">
              <w:rPr>
                <w:rFonts w:ascii="Gill Sans" w:hAnsi="Gill Sans" w:cs="Gill Sans"/>
                <w:color w:val="000000"/>
                <w:szCs w:val="22"/>
              </w:rPr>
              <w:t>making on the part of the learner, with the locus of control and responsibility lying in their hands (Pierson 1996)</w:t>
            </w:r>
            <w:r>
              <w:rPr>
                <w:rFonts w:ascii="Gill Sans" w:hAnsi="Gill Sans" w:cs="Gill Sans"/>
                <w:color w:val="000000"/>
                <w:szCs w:val="22"/>
              </w:rPr>
              <w:t>’ (406)</w:t>
            </w:r>
            <w:r w:rsidRPr="00C715B7">
              <w:rPr>
                <w:rFonts w:ascii="Gill Sans" w:hAnsi="Gill Sans" w:cs="Gill Sans"/>
                <w:color w:val="000000"/>
                <w:szCs w:val="22"/>
              </w:rPr>
              <w:t>.</w:t>
            </w:r>
            <w:r>
              <w:rPr>
                <w:rFonts w:ascii="Gill Sans" w:hAnsi="Gill Sans" w:cs="Gill Sans"/>
                <w:color w:val="000000"/>
                <w:szCs w:val="22"/>
              </w:rPr>
              <w:t xml:space="preserve"> However, students are often underprepared with ‘</w:t>
            </w:r>
            <w:r w:rsidRPr="004513C2">
              <w:rPr>
                <w:rFonts w:ascii="Gill Sans" w:hAnsi="Gill Sans" w:cs="Gill Sans"/>
                <w:color w:val="000000"/>
                <w:szCs w:val="22"/>
              </w:rPr>
              <w:t>little idea of what to expect and little understanding of how the university environment can affect their lives</w:t>
            </w:r>
            <w:r>
              <w:rPr>
                <w:rFonts w:ascii="Gill Sans" w:hAnsi="Gill Sans" w:cs="Gill Sans"/>
                <w:color w:val="000000"/>
                <w:szCs w:val="22"/>
              </w:rPr>
              <w:t>’ (406)</w:t>
            </w:r>
            <w:r w:rsidRPr="004513C2">
              <w:rPr>
                <w:rFonts w:ascii="Gill Sans" w:hAnsi="Gill Sans" w:cs="Gill Sans"/>
                <w:color w:val="000000"/>
                <w:szCs w:val="22"/>
              </w:rPr>
              <w:t>.</w:t>
            </w:r>
            <w:r>
              <w:rPr>
                <w:rFonts w:ascii="Gill Sans" w:hAnsi="Gill Sans" w:cs="Gill Sans"/>
                <w:color w:val="000000"/>
                <w:szCs w:val="22"/>
              </w:rPr>
              <w:t xml:space="preserve"> The move to modularization programmes to aid students’ progress through credit accumulation has been implemented more widely since the 1990s, but the effect is a summative assessment that does not happen until the end of the module, leaving little room for tutoring and student engagement with formative assessment or feedback.</w:t>
            </w:r>
          </w:p>
          <w:p w14:paraId="2C4D976D" w14:textId="29273A58" w:rsidR="00F934ED" w:rsidRPr="00724C97" w:rsidRDefault="00F934ED" w:rsidP="00F934ED">
            <w:pPr>
              <w:rPr>
                <w:rFonts w:ascii="Gill Sans" w:hAnsi="Gill Sans" w:cs="Gill Sans"/>
                <w:color w:val="000000"/>
                <w:szCs w:val="22"/>
              </w:rPr>
            </w:pPr>
            <w:r w:rsidRPr="00076E76">
              <w:rPr>
                <w:rFonts w:ascii="Gill Sans" w:hAnsi="Gill Sans" w:cs="Gill Sans"/>
                <w:b/>
                <w:color w:val="000000"/>
                <w:szCs w:val="22"/>
                <w:lang w:val="en-AU"/>
              </w:rPr>
              <w:t xml:space="preserve">Aim: </w:t>
            </w:r>
            <w:r>
              <w:rPr>
                <w:rFonts w:ascii="Gill Sans" w:hAnsi="Gill Sans" w:cs="Gill Sans"/>
                <w:color w:val="000000"/>
                <w:szCs w:val="22"/>
                <w:lang w:val="en-AU"/>
              </w:rPr>
              <w:t xml:space="preserve">To </w:t>
            </w:r>
            <w:r>
              <w:rPr>
                <w:rFonts w:ascii="Gill Sans" w:hAnsi="Gill Sans" w:cs="Gill Sans"/>
                <w:color w:val="000000"/>
                <w:szCs w:val="22"/>
              </w:rPr>
              <w:t>examine</w:t>
            </w:r>
            <w:r w:rsidRPr="00724C97">
              <w:rPr>
                <w:rFonts w:ascii="Gill Sans" w:hAnsi="Gill Sans" w:cs="Gill Sans"/>
                <w:color w:val="000000"/>
                <w:szCs w:val="22"/>
              </w:rPr>
              <w:t xml:space="preserve"> the significance of ‘preparedness’ with s</w:t>
            </w:r>
            <w:r>
              <w:rPr>
                <w:rFonts w:ascii="Gill Sans" w:hAnsi="Gill Sans" w:cs="Gill Sans"/>
                <w:color w:val="000000"/>
                <w:szCs w:val="22"/>
              </w:rPr>
              <w:t>pecific reference to assessment and t</w:t>
            </w:r>
            <w:r w:rsidRPr="00313773">
              <w:rPr>
                <w:rFonts w:ascii="Gill Sans" w:hAnsi="Gill Sans" w:cs="Gill Sans"/>
                <w:color w:val="000000"/>
                <w:szCs w:val="22"/>
              </w:rPr>
              <w:t xml:space="preserve">o ascertain any potential transitional issues and therefore any areas for development in Year 1 programmes </w:t>
            </w:r>
            <w:r>
              <w:rPr>
                <w:rFonts w:ascii="Gill Sans" w:hAnsi="Gill Sans" w:cs="Gill Sans"/>
                <w:color w:val="000000"/>
                <w:szCs w:val="22"/>
              </w:rPr>
              <w:t xml:space="preserve">at a modern university in England </w:t>
            </w:r>
            <w:r w:rsidRPr="00313773">
              <w:rPr>
                <w:rFonts w:ascii="Gill Sans" w:hAnsi="Gill Sans" w:cs="Gill Sans"/>
                <w:color w:val="000000"/>
                <w:szCs w:val="22"/>
              </w:rPr>
              <w:t>to aid student progress</w:t>
            </w:r>
            <w:r>
              <w:rPr>
                <w:rFonts w:ascii="Gill Sans" w:hAnsi="Gill Sans" w:cs="Gill Sans"/>
                <w:color w:val="000000"/>
                <w:szCs w:val="22"/>
              </w:rPr>
              <w:t xml:space="preserve"> and enhance retention (retention was a particularly fraught topic at the time of the study due to a turbulent economic climate in the UK) (405)</w:t>
            </w:r>
            <w:r w:rsidRPr="00313773">
              <w:rPr>
                <w:rFonts w:ascii="Gill Sans" w:hAnsi="Gill Sans" w:cs="Gill Sans"/>
                <w:color w:val="000000"/>
                <w:szCs w:val="22"/>
              </w:rPr>
              <w:t>.</w:t>
            </w:r>
            <w:r>
              <w:rPr>
                <w:rFonts w:ascii="Gill Sans" w:hAnsi="Gill Sans" w:cs="Gill Sans"/>
                <w:color w:val="000000"/>
                <w:szCs w:val="22"/>
              </w:rPr>
              <w:t xml:space="preserve"> Specific research questions were: ‘</w:t>
            </w:r>
            <w:r w:rsidRPr="00294E4A">
              <w:rPr>
                <w:rFonts w:ascii="Gill Sans" w:hAnsi="Gill Sans" w:cs="Gill Sans"/>
                <w:color w:val="000000"/>
                <w:szCs w:val="22"/>
              </w:rPr>
              <w:t>How are our students prepared for study and, with particular reference to this article, for assessment in HE? And similarly, how prepared are we as lecturers and as assessors of our student body?</w:t>
            </w:r>
            <w:r>
              <w:rPr>
                <w:rFonts w:ascii="Gill Sans" w:hAnsi="Gill Sans" w:cs="Gill Sans"/>
                <w:color w:val="000000"/>
                <w:szCs w:val="22"/>
              </w:rPr>
              <w:t xml:space="preserve">’ (407). </w:t>
            </w:r>
          </w:p>
          <w:p w14:paraId="37B6EF50" w14:textId="6D623F02" w:rsidR="00F934ED" w:rsidRPr="00076E76" w:rsidRDefault="00F934ED" w:rsidP="00F934ED">
            <w:pPr>
              <w:rPr>
                <w:rFonts w:ascii="Gill Sans" w:hAnsi="Gill Sans" w:cs="Gill Sans"/>
                <w:b/>
                <w:color w:val="000000"/>
                <w:szCs w:val="22"/>
                <w:lang w:val="en-AU"/>
              </w:rPr>
            </w:pPr>
            <w:r w:rsidRPr="00076E76">
              <w:rPr>
                <w:rFonts w:ascii="Gill Sans" w:hAnsi="Gill Sans" w:cs="Gill Sans"/>
                <w:b/>
                <w:color w:val="000000"/>
                <w:szCs w:val="22"/>
                <w:lang w:val="en-AU"/>
              </w:rPr>
              <w:t>Theoretical frame:</w:t>
            </w:r>
            <w:r>
              <w:rPr>
                <w:rFonts w:ascii="Gill Sans" w:hAnsi="Gill Sans" w:cs="Gill Sans"/>
                <w:b/>
                <w:color w:val="000000"/>
                <w:szCs w:val="22"/>
                <w:lang w:val="en-AU"/>
              </w:rPr>
              <w:t xml:space="preserve"> N/A</w:t>
            </w:r>
          </w:p>
          <w:p w14:paraId="0007AB2E" w14:textId="6D182FC7" w:rsidR="00F934ED" w:rsidRPr="008B46F6" w:rsidRDefault="00F934ED" w:rsidP="00F934ED">
            <w:pPr>
              <w:rPr>
                <w:rFonts w:ascii="Gill Sans" w:hAnsi="Gill Sans" w:cs="Gill Sans"/>
                <w:color w:val="000000"/>
                <w:szCs w:val="22"/>
              </w:rPr>
            </w:pPr>
            <w:r w:rsidRPr="00076E76">
              <w:rPr>
                <w:rFonts w:ascii="Gill Sans" w:hAnsi="Gill Sans" w:cs="Gill Sans"/>
                <w:b/>
                <w:color w:val="000000"/>
                <w:szCs w:val="22"/>
                <w:lang w:val="en-AU"/>
              </w:rPr>
              <w:t xml:space="preserve">Methodology: </w:t>
            </w:r>
            <w:r w:rsidRPr="008B46F6">
              <w:rPr>
                <w:rFonts w:ascii="Gill Sans" w:hAnsi="Gill Sans" w:cs="Gill Sans"/>
                <w:color w:val="000000"/>
                <w:szCs w:val="22"/>
                <w:lang w:val="en-AU"/>
              </w:rPr>
              <w:t>Qualitative –</w:t>
            </w:r>
            <w:r>
              <w:rPr>
                <w:rFonts w:ascii="Gill Sans" w:hAnsi="Gill Sans" w:cs="Gill Sans"/>
                <w:b/>
                <w:color w:val="000000"/>
                <w:szCs w:val="22"/>
                <w:lang w:val="en-AU"/>
              </w:rPr>
              <w:t xml:space="preserve"> </w:t>
            </w:r>
            <w:r w:rsidRPr="008B46F6">
              <w:rPr>
                <w:rFonts w:ascii="Gill Sans" w:hAnsi="Gill Sans" w:cs="Gill Sans"/>
                <w:color w:val="000000"/>
                <w:szCs w:val="22"/>
              </w:rPr>
              <w:t xml:space="preserve">semi-structured questionnaires distributed to Year 1 initial teacher training students and their lecturers and focused conversations with a </w:t>
            </w:r>
            <w:r>
              <w:rPr>
                <w:rFonts w:ascii="Gill Sans" w:hAnsi="Gill Sans" w:cs="Gill Sans"/>
                <w:color w:val="000000"/>
                <w:szCs w:val="22"/>
              </w:rPr>
              <w:t xml:space="preserve">small </w:t>
            </w:r>
            <w:r w:rsidRPr="008B46F6">
              <w:rPr>
                <w:rFonts w:ascii="Gill Sans" w:hAnsi="Gill Sans" w:cs="Gill Sans"/>
                <w:color w:val="000000"/>
                <w:szCs w:val="22"/>
              </w:rPr>
              <w:t>group of students.</w:t>
            </w:r>
          </w:p>
          <w:p w14:paraId="03419FD4" w14:textId="6D0EB093" w:rsidR="00F934ED" w:rsidRPr="009A6085" w:rsidRDefault="00F934ED" w:rsidP="00F934ED">
            <w:pPr>
              <w:rPr>
                <w:rFonts w:ascii="Gill Sans" w:hAnsi="Gill Sans" w:cs="Gill Sans"/>
                <w:color w:val="000000"/>
                <w:szCs w:val="22"/>
              </w:rPr>
            </w:pPr>
            <w:r w:rsidRPr="00076E76">
              <w:rPr>
                <w:rFonts w:ascii="Gill Sans" w:hAnsi="Gill Sans" w:cs="Gill Sans"/>
                <w:b/>
                <w:color w:val="000000"/>
                <w:szCs w:val="22"/>
                <w:lang w:val="en-AU"/>
              </w:rPr>
              <w:t xml:space="preserve">Findings: </w:t>
            </w:r>
            <w:r>
              <w:rPr>
                <w:rFonts w:ascii="Gill Sans" w:hAnsi="Gill Sans" w:cs="Gill Sans"/>
                <w:color w:val="000000"/>
                <w:szCs w:val="22"/>
              </w:rPr>
              <w:t>I</w:t>
            </w:r>
            <w:r w:rsidRPr="00AF4333">
              <w:rPr>
                <w:rFonts w:ascii="Gill Sans" w:hAnsi="Gill Sans" w:cs="Gill Sans"/>
                <w:color w:val="000000"/>
                <w:szCs w:val="22"/>
              </w:rPr>
              <w:t>ndependent study and assessment processes pose challenges for students in their first year at university,</w:t>
            </w:r>
            <w:r>
              <w:rPr>
                <w:rFonts w:ascii="Gill Sans" w:hAnsi="Gill Sans" w:cs="Gill Sans"/>
                <w:color w:val="000000"/>
                <w:szCs w:val="22"/>
              </w:rPr>
              <w:t xml:space="preserve"> who generally consider independent study as akin to ‘homework’. Students </w:t>
            </w:r>
            <w:r w:rsidRPr="00B673A0">
              <w:rPr>
                <w:rFonts w:ascii="Gill Sans" w:hAnsi="Gill Sans" w:cs="Gill Sans"/>
                <w:color w:val="000000"/>
                <w:szCs w:val="22"/>
              </w:rPr>
              <w:t xml:space="preserve">indicated that they were insufficiently prepared for </w:t>
            </w:r>
            <w:r>
              <w:rPr>
                <w:rFonts w:ascii="Gill Sans" w:hAnsi="Gill Sans" w:cs="Gill Sans"/>
                <w:color w:val="000000"/>
                <w:szCs w:val="22"/>
              </w:rPr>
              <w:t xml:space="preserve">the independent aspects of </w:t>
            </w:r>
            <w:r w:rsidRPr="00B673A0">
              <w:rPr>
                <w:rFonts w:ascii="Gill Sans" w:hAnsi="Gill Sans" w:cs="Gill Sans"/>
                <w:color w:val="000000"/>
                <w:szCs w:val="22"/>
              </w:rPr>
              <w:t xml:space="preserve">HE </w:t>
            </w:r>
            <w:proofErr w:type="gramStart"/>
            <w:r w:rsidRPr="00B673A0">
              <w:rPr>
                <w:rFonts w:ascii="Gill Sans" w:hAnsi="Gill Sans" w:cs="Gill Sans"/>
                <w:color w:val="000000"/>
                <w:szCs w:val="22"/>
              </w:rPr>
              <w:t>study</w:t>
            </w:r>
            <w:proofErr w:type="gramEnd"/>
            <w:r>
              <w:rPr>
                <w:rFonts w:ascii="Gill Sans" w:hAnsi="Gill Sans" w:cs="Gill Sans"/>
                <w:color w:val="000000"/>
                <w:szCs w:val="22"/>
              </w:rPr>
              <w:t xml:space="preserve"> particularly because they were ‘hand-held’ in pre-uni educational venues. Lecturers noted lack of confidence and need for significant guidance with regards to composing independent assignments. Students generally believe it is the responsibility of pre-HE institutions to prepare them. </w:t>
            </w:r>
            <w:r w:rsidRPr="00AF4333">
              <w:rPr>
                <w:rFonts w:ascii="Gill Sans" w:hAnsi="Gill Sans" w:cs="Gill Sans"/>
                <w:color w:val="000000"/>
                <w:szCs w:val="22"/>
                <w:lang w:val="en-AU"/>
              </w:rPr>
              <w:br/>
            </w:r>
            <w:r w:rsidRPr="00076E76">
              <w:rPr>
                <w:rFonts w:ascii="Gill Sans" w:hAnsi="Gill Sans" w:cs="Gill Sans"/>
                <w:b/>
                <w:color w:val="000000"/>
                <w:szCs w:val="22"/>
                <w:lang w:val="en-AU"/>
              </w:rPr>
              <w:t>Core argument:</w:t>
            </w:r>
            <w:r>
              <w:rPr>
                <w:rFonts w:ascii="Gill Sans" w:hAnsi="Gill Sans" w:cs="Gill Sans"/>
                <w:color w:val="000000"/>
                <w:szCs w:val="22"/>
                <w:lang w:val="en-AU"/>
              </w:rPr>
              <w:t xml:space="preserve"> Further consideration needs to be given to </w:t>
            </w:r>
            <w:r w:rsidRPr="009A6085">
              <w:rPr>
                <w:rFonts w:ascii="Gill Sans" w:hAnsi="Gill Sans" w:cs="Gill Sans"/>
                <w:color w:val="000000"/>
                <w:szCs w:val="22"/>
              </w:rPr>
              <w:t>the notion of independent learning</w:t>
            </w:r>
            <w:r>
              <w:rPr>
                <w:rFonts w:ascii="Gill Sans" w:hAnsi="Gill Sans" w:cs="Gill Sans"/>
                <w:color w:val="000000"/>
                <w:szCs w:val="22"/>
              </w:rPr>
              <w:t>, particularly there is ‘</w:t>
            </w:r>
            <w:r w:rsidRPr="00E7519F">
              <w:rPr>
                <w:rFonts w:ascii="Gill Sans" w:hAnsi="Gill Sans" w:cs="Gill Sans"/>
                <w:color w:val="000000"/>
                <w:szCs w:val="22"/>
              </w:rPr>
              <w:t>a need for university l</w:t>
            </w:r>
            <w:r>
              <w:rPr>
                <w:rFonts w:ascii="Gill Sans" w:hAnsi="Gill Sans" w:cs="Gill Sans"/>
                <w:color w:val="000000"/>
                <w:szCs w:val="22"/>
              </w:rPr>
              <w:t>ecturers to clarify the curric</w:t>
            </w:r>
            <w:r w:rsidRPr="00E7519F">
              <w:rPr>
                <w:rFonts w:ascii="Gill Sans" w:hAnsi="Gill Sans" w:cs="Gill Sans"/>
                <w:color w:val="000000"/>
                <w:szCs w:val="22"/>
              </w:rPr>
              <w:t xml:space="preserve">ulum of their programmes such that requirements are made explicit and the teaching, learning and assessment strategies are used to build independent learning as </w:t>
            </w:r>
            <w:proofErr w:type="spellStart"/>
            <w:r w:rsidRPr="00E7519F">
              <w:rPr>
                <w:rFonts w:ascii="Gill Sans" w:hAnsi="Gill Sans" w:cs="Gill Sans"/>
                <w:color w:val="000000"/>
                <w:szCs w:val="22"/>
              </w:rPr>
              <w:t>students</w:t>
            </w:r>
            <w:proofErr w:type="spellEnd"/>
            <w:r w:rsidRPr="00E7519F">
              <w:rPr>
                <w:rFonts w:ascii="Gill Sans" w:hAnsi="Gill Sans" w:cs="Gill Sans"/>
                <w:color w:val="000000"/>
                <w:szCs w:val="22"/>
              </w:rPr>
              <w:t xml:space="preserve"> progress from Level 4 to Level 6. Furthermore, there is evidently a need for students to have a clear notion of what independent learning is and how they can manage this themselves prior to entry to programmes</w:t>
            </w:r>
            <w:r>
              <w:rPr>
                <w:rFonts w:ascii="Gill Sans" w:hAnsi="Gill Sans" w:cs="Gill Sans"/>
                <w:color w:val="000000"/>
                <w:szCs w:val="22"/>
              </w:rPr>
              <w:t>’ (414). Overall, the author suggests transparency in assignments – both in assessment and expectations – at the pre-programme stage.</w:t>
            </w:r>
          </w:p>
        </w:tc>
      </w:tr>
      <w:tr w:rsidR="00F934ED" w:rsidRPr="00076E76" w14:paraId="280AA665" w14:textId="77777777" w:rsidTr="008A2D83">
        <w:tc>
          <w:tcPr>
            <w:tcW w:w="5529" w:type="dxa"/>
            <w:shd w:val="clear" w:color="auto" w:fill="auto"/>
          </w:tcPr>
          <w:p w14:paraId="6D342AE3" w14:textId="78D36CAE" w:rsidR="00F934ED" w:rsidRDefault="00F934ED" w:rsidP="00F934ED">
            <w:pPr>
              <w:rPr>
                <w:rFonts w:ascii="Gill Sans" w:hAnsi="Gill Sans" w:cs="Gill Sans"/>
                <w:szCs w:val="22"/>
              </w:rPr>
            </w:pPr>
            <w:proofErr w:type="spellStart"/>
            <w:r w:rsidRPr="00076E76">
              <w:rPr>
                <w:rFonts w:ascii="Gill Sans" w:hAnsi="Gill Sans" w:cs="Gill Sans"/>
                <w:szCs w:val="22"/>
              </w:rPr>
              <w:lastRenderedPageBreak/>
              <w:t>Nallaya</w:t>
            </w:r>
            <w:proofErr w:type="spellEnd"/>
            <w:r w:rsidRPr="00076E76">
              <w:rPr>
                <w:rFonts w:ascii="Gill Sans" w:hAnsi="Gill Sans" w:cs="Gill Sans"/>
                <w:szCs w:val="22"/>
              </w:rPr>
              <w:t>, S.</w:t>
            </w:r>
            <w:r>
              <w:rPr>
                <w:rFonts w:ascii="Gill Sans" w:hAnsi="Gill Sans" w:cs="Gill Sans"/>
                <w:szCs w:val="22"/>
              </w:rPr>
              <w:t xml:space="preserve"> (2018). </w:t>
            </w:r>
            <w:hyperlink r:id="rId100" w:history="1">
              <w:r w:rsidRPr="00DC366C">
                <w:rPr>
                  <w:rStyle w:val="Hyperlink"/>
                  <w:rFonts w:ascii="Gill Sans" w:hAnsi="Gill Sans" w:cs="Gill Sans"/>
                  <w:szCs w:val="22"/>
                </w:rPr>
                <w:t>An exploration of how first year students are inducted into their discipline’s academic discourses</w:t>
              </w:r>
            </w:hyperlink>
            <w:r>
              <w:rPr>
                <w:rFonts w:ascii="Gill Sans" w:hAnsi="Gill Sans" w:cs="Gill Sans"/>
                <w:szCs w:val="22"/>
              </w:rPr>
              <w:t xml:space="preserve">, </w:t>
            </w:r>
            <w:r w:rsidRPr="007C1A4B">
              <w:rPr>
                <w:rFonts w:ascii="Gill Sans" w:hAnsi="Gill Sans" w:cs="Gill Sans"/>
                <w:i/>
                <w:szCs w:val="22"/>
              </w:rPr>
              <w:t>International Journal of Educational Research</w:t>
            </w:r>
            <w:r>
              <w:rPr>
                <w:rFonts w:ascii="Gill Sans" w:hAnsi="Gill Sans" w:cs="Gill Sans"/>
                <w:szCs w:val="22"/>
              </w:rPr>
              <w:t>, 87, 57-66.</w:t>
            </w:r>
          </w:p>
          <w:p w14:paraId="08DEAD15" w14:textId="77777777" w:rsidR="00F934ED" w:rsidRDefault="00F934ED" w:rsidP="00F934ED">
            <w:pPr>
              <w:rPr>
                <w:rFonts w:ascii="Gill Sans" w:hAnsi="Gill Sans" w:cs="Gill Sans"/>
                <w:szCs w:val="22"/>
              </w:rPr>
            </w:pPr>
          </w:p>
          <w:p w14:paraId="61A2AC09" w14:textId="77777777" w:rsidR="00F934ED" w:rsidRDefault="00F934ED" w:rsidP="00F934ED">
            <w:pPr>
              <w:rPr>
                <w:rFonts w:ascii="Gill Sans" w:hAnsi="Gill Sans" w:cs="Gill Sans"/>
                <w:szCs w:val="22"/>
              </w:rPr>
            </w:pPr>
            <w:r>
              <w:rPr>
                <w:rFonts w:ascii="Gill Sans" w:hAnsi="Gill Sans" w:cs="Gill Sans"/>
                <w:szCs w:val="22"/>
              </w:rPr>
              <w:t>AUS</w:t>
            </w:r>
          </w:p>
          <w:p w14:paraId="3CC58094" w14:textId="77777777" w:rsidR="00F934ED" w:rsidRDefault="00F934ED" w:rsidP="00F934ED">
            <w:pPr>
              <w:rPr>
                <w:rFonts w:ascii="Gill Sans" w:hAnsi="Gill Sans" w:cs="Gill Sans"/>
                <w:szCs w:val="22"/>
              </w:rPr>
            </w:pPr>
            <w:r>
              <w:rPr>
                <w:rFonts w:ascii="Gill Sans" w:hAnsi="Gill Sans" w:cs="Gill Sans"/>
                <w:szCs w:val="22"/>
              </w:rPr>
              <w:t xml:space="preserve">Annotation by </w:t>
            </w:r>
            <w:r w:rsidRPr="007C1A4B">
              <w:rPr>
                <w:rFonts w:ascii="Gill Sans" w:hAnsi="Gill Sans" w:cs="Gill Sans"/>
                <w:szCs w:val="22"/>
              </w:rPr>
              <w:t>Caitlyn McLoughlin</w:t>
            </w:r>
          </w:p>
          <w:p w14:paraId="7FE2905E" w14:textId="77777777" w:rsidR="00F934ED" w:rsidRDefault="00F934ED" w:rsidP="00F934ED">
            <w:pPr>
              <w:rPr>
                <w:rFonts w:ascii="Gill Sans" w:hAnsi="Gill Sans" w:cs="Gill Sans"/>
                <w:szCs w:val="22"/>
              </w:rPr>
            </w:pPr>
          </w:p>
          <w:p w14:paraId="51E29AED" w14:textId="12CCC259" w:rsidR="00F934ED" w:rsidRPr="007C1A4B" w:rsidRDefault="00F934ED" w:rsidP="00F934ED">
            <w:pPr>
              <w:rPr>
                <w:rFonts w:ascii="Gill Sans" w:hAnsi="Gill Sans" w:cs="Gill Sans"/>
                <w:szCs w:val="22"/>
              </w:rPr>
            </w:pPr>
            <w:r w:rsidRPr="007C1A4B">
              <w:rPr>
                <w:rFonts w:ascii="Gill Sans" w:hAnsi="Gill Sans" w:cs="Gill Sans"/>
                <w:szCs w:val="22"/>
              </w:rPr>
              <w:t>Keywords:</w:t>
            </w:r>
            <w:r>
              <w:rPr>
                <w:rFonts w:ascii="Gill Sans" w:hAnsi="Gill Sans" w:cs="Gill Sans"/>
                <w:szCs w:val="22"/>
              </w:rPr>
              <w:t xml:space="preserve"> </w:t>
            </w:r>
            <w:r w:rsidRPr="007C1A4B">
              <w:rPr>
                <w:rFonts w:ascii="Gill Sans" w:hAnsi="Gill Sans" w:cs="Gill Sans"/>
                <w:i/>
                <w:szCs w:val="22"/>
              </w:rPr>
              <w:t>Induct</w:t>
            </w:r>
            <w:r w:rsidR="00500B09">
              <w:rPr>
                <w:rFonts w:ascii="Gill Sans" w:hAnsi="Gill Sans" w:cs="Gill Sans"/>
                <w:i/>
                <w:szCs w:val="22"/>
              </w:rPr>
              <w:t>; a</w:t>
            </w:r>
            <w:r w:rsidRPr="007C1A4B">
              <w:rPr>
                <w:rFonts w:ascii="Gill Sans" w:hAnsi="Gill Sans" w:cs="Gill Sans"/>
                <w:i/>
                <w:szCs w:val="22"/>
              </w:rPr>
              <w:t>cademic literacies</w:t>
            </w:r>
            <w:r w:rsidR="00500B09">
              <w:rPr>
                <w:rFonts w:ascii="Gill Sans" w:hAnsi="Gill Sans" w:cs="Gill Sans"/>
                <w:i/>
                <w:szCs w:val="22"/>
              </w:rPr>
              <w:t>;</w:t>
            </w:r>
            <w:r w:rsidRPr="007C1A4B">
              <w:rPr>
                <w:rFonts w:ascii="Gill Sans" w:hAnsi="Gill Sans" w:cs="Gill Sans"/>
                <w:i/>
                <w:szCs w:val="22"/>
              </w:rPr>
              <w:t xml:space="preserve"> </w:t>
            </w:r>
            <w:r w:rsidR="00500B09">
              <w:rPr>
                <w:rFonts w:ascii="Gill Sans" w:hAnsi="Gill Sans" w:cs="Gill Sans"/>
                <w:i/>
                <w:szCs w:val="22"/>
              </w:rPr>
              <w:t>a</w:t>
            </w:r>
            <w:r w:rsidRPr="007C1A4B">
              <w:rPr>
                <w:rFonts w:ascii="Gill Sans" w:hAnsi="Gill Sans" w:cs="Gill Sans"/>
                <w:i/>
                <w:szCs w:val="22"/>
              </w:rPr>
              <w:t>cademic discourses</w:t>
            </w:r>
            <w:r w:rsidR="00500B09">
              <w:rPr>
                <w:rFonts w:ascii="Gill Sans" w:hAnsi="Gill Sans" w:cs="Gill Sans"/>
                <w:i/>
                <w:szCs w:val="22"/>
              </w:rPr>
              <w:t>; f</w:t>
            </w:r>
            <w:r w:rsidRPr="007C1A4B">
              <w:rPr>
                <w:rFonts w:ascii="Gill Sans" w:hAnsi="Gill Sans" w:cs="Gill Sans"/>
                <w:i/>
                <w:szCs w:val="22"/>
              </w:rPr>
              <w:t>irst year students</w:t>
            </w:r>
            <w:r w:rsidR="00500B09">
              <w:rPr>
                <w:rFonts w:ascii="Gill Sans" w:hAnsi="Gill Sans" w:cs="Gill Sans"/>
                <w:i/>
                <w:szCs w:val="22"/>
              </w:rPr>
              <w:t>; s</w:t>
            </w:r>
            <w:r w:rsidRPr="007C1A4B">
              <w:rPr>
                <w:rFonts w:ascii="Gill Sans" w:hAnsi="Gill Sans" w:cs="Gill Sans"/>
                <w:i/>
                <w:szCs w:val="22"/>
              </w:rPr>
              <w:t>caffolding</w:t>
            </w:r>
          </w:p>
        </w:tc>
        <w:tc>
          <w:tcPr>
            <w:tcW w:w="10064" w:type="dxa"/>
          </w:tcPr>
          <w:p w14:paraId="7CAD2ACF" w14:textId="04FDFA7C" w:rsidR="00F934ED" w:rsidRPr="004C6A91" w:rsidRDefault="00F934ED" w:rsidP="00F934ED">
            <w:pPr>
              <w:rPr>
                <w:rFonts w:ascii="Gill Sans" w:hAnsi="Gill Sans" w:cs="Gill Sans"/>
                <w:color w:val="000000"/>
                <w:szCs w:val="22"/>
              </w:rPr>
            </w:pPr>
            <w:r w:rsidRPr="00076E76">
              <w:rPr>
                <w:rFonts w:ascii="Gill Sans" w:hAnsi="Gill Sans" w:cs="Gill Sans"/>
                <w:b/>
                <w:color w:val="000000"/>
                <w:szCs w:val="22"/>
                <w:lang w:val="en-AU"/>
              </w:rPr>
              <w:t xml:space="preserve">Context: </w:t>
            </w:r>
            <w:r>
              <w:rPr>
                <w:rFonts w:ascii="Gill Sans" w:hAnsi="Gill Sans" w:cs="Gill Sans"/>
                <w:color w:val="000000"/>
                <w:szCs w:val="22"/>
                <w:lang w:val="en-AU"/>
              </w:rPr>
              <w:t xml:space="preserve">There is an existing variance in </w:t>
            </w:r>
            <w:r w:rsidRPr="004C6A91">
              <w:rPr>
                <w:rFonts w:ascii="Gill Sans" w:hAnsi="Gill Sans" w:cs="Gill Sans"/>
                <w:color w:val="000000"/>
                <w:szCs w:val="22"/>
              </w:rPr>
              <w:t xml:space="preserve">proficiency in academic literacies amongst </w:t>
            </w:r>
            <w:r>
              <w:rPr>
                <w:rFonts w:ascii="Gill Sans" w:hAnsi="Gill Sans" w:cs="Gill Sans"/>
                <w:color w:val="000000"/>
                <w:szCs w:val="22"/>
              </w:rPr>
              <w:t>‘</w:t>
            </w:r>
            <w:r w:rsidRPr="004C6A91">
              <w:rPr>
                <w:rFonts w:ascii="Gill Sans" w:hAnsi="Gill Sans" w:cs="Gill Sans"/>
                <w:color w:val="000000"/>
                <w:szCs w:val="22"/>
              </w:rPr>
              <w:t>commencing students in HE as a consequence of the historical and social contexts of a discipline and academic abilities, language skills and cultural backgrounds of students</w:t>
            </w:r>
            <w:r>
              <w:rPr>
                <w:rFonts w:ascii="Gill Sans" w:hAnsi="Gill Sans" w:cs="Gill Sans"/>
                <w:color w:val="000000"/>
                <w:szCs w:val="22"/>
              </w:rPr>
              <w:t>’</w:t>
            </w:r>
            <w:r w:rsidRPr="004C6A91">
              <w:rPr>
                <w:rFonts w:ascii="Gill Sans" w:hAnsi="Gill Sans" w:cs="Gill Sans"/>
                <w:color w:val="000000"/>
                <w:szCs w:val="22"/>
              </w:rPr>
              <w:t xml:space="preserve"> (Elton, 2010; Goldingay et al., 2012)</w:t>
            </w:r>
            <w:r>
              <w:rPr>
                <w:rFonts w:ascii="Gill Sans" w:hAnsi="Gill Sans" w:cs="Gill Sans"/>
                <w:color w:val="000000"/>
                <w:szCs w:val="22"/>
              </w:rPr>
              <w:t xml:space="preserve">, which is crucial because academic literacies play an important role in higher ed success, including participation and engagement. Academic literacies are typically in operation within ‘sites of discourse and power’, such as higher ed institutions and are generally understood by advocates </w:t>
            </w:r>
            <w:r w:rsidRPr="006F614C">
              <w:rPr>
                <w:rFonts w:ascii="Gill Sans" w:hAnsi="Gill Sans" w:cs="Gill Sans"/>
                <w:color w:val="000000"/>
                <w:szCs w:val="22"/>
              </w:rPr>
              <w:t>at the level of epistemology and identities</w:t>
            </w:r>
            <w:r>
              <w:rPr>
                <w:rFonts w:ascii="Gill Sans" w:hAnsi="Gill Sans" w:cs="Gill Sans"/>
                <w:color w:val="000000"/>
                <w:szCs w:val="22"/>
              </w:rPr>
              <w:t>. However, a body of extant research suggests that in order for students to effectively ‘master’ academic literacies, they</w:t>
            </w:r>
            <w:r w:rsidRPr="00406FA0">
              <w:rPr>
                <w:rFonts w:ascii="Times" w:hAnsi="Times" w:cs="Times"/>
                <w:szCs w:val="22"/>
              </w:rPr>
              <w:t xml:space="preserve"> </w:t>
            </w:r>
            <w:r w:rsidRPr="00406FA0">
              <w:rPr>
                <w:rFonts w:ascii="Gill Sans" w:hAnsi="Gill Sans" w:cs="Gill Sans"/>
                <w:color w:val="000000"/>
                <w:szCs w:val="22"/>
              </w:rPr>
              <w:t>need to be made aware of what these practices are so that they are able to acquire and employ these conventions in th</w:t>
            </w:r>
            <w:r>
              <w:rPr>
                <w:rFonts w:ascii="Gill Sans" w:hAnsi="Gill Sans" w:cs="Gill Sans"/>
                <w:color w:val="000000"/>
                <w:szCs w:val="22"/>
              </w:rPr>
              <w:t>eir study program (58)</w:t>
            </w:r>
            <w:r w:rsidRPr="002E0393">
              <w:rPr>
                <w:rFonts w:ascii="Gill Sans" w:hAnsi="Gill Sans" w:cs="Gill Sans"/>
                <w:color w:val="000000"/>
                <w:szCs w:val="22"/>
              </w:rPr>
              <w:t>.</w:t>
            </w:r>
            <w:r>
              <w:rPr>
                <w:rFonts w:ascii="Gill Sans" w:hAnsi="Gill Sans" w:cs="Gill Sans"/>
                <w:color w:val="000000"/>
                <w:szCs w:val="22"/>
              </w:rPr>
              <w:t xml:space="preserve"> An increase in diverse students within higher ed institutions has made this even more of an imperative. Further, data suggests that ‘</w:t>
            </w:r>
            <w:r w:rsidRPr="009D57F7">
              <w:rPr>
                <w:rFonts w:ascii="Gill Sans" w:hAnsi="Gill Sans" w:cs="Gill Sans"/>
                <w:color w:val="000000"/>
                <w:szCs w:val="22"/>
              </w:rPr>
              <w:t>both academic literacies and professional communication are important skills that need to be scaffolded and developed in study programs so that students will be proficient in their discipline’s literacies</w:t>
            </w:r>
            <w:r>
              <w:rPr>
                <w:rFonts w:ascii="Gill Sans" w:hAnsi="Gill Sans" w:cs="Gill Sans"/>
                <w:color w:val="000000"/>
                <w:szCs w:val="22"/>
              </w:rPr>
              <w:t>’ (58)</w:t>
            </w:r>
            <w:r w:rsidRPr="009D57F7">
              <w:rPr>
                <w:rFonts w:ascii="Gill Sans" w:hAnsi="Gill Sans" w:cs="Gill Sans"/>
                <w:color w:val="000000"/>
                <w:szCs w:val="22"/>
              </w:rPr>
              <w:t>.</w:t>
            </w:r>
          </w:p>
          <w:p w14:paraId="1A505411" w14:textId="063B5115" w:rsidR="00F934ED" w:rsidRPr="00BB0FF3" w:rsidRDefault="00F934ED" w:rsidP="00F934ED">
            <w:pPr>
              <w:rPr>
                <w:rFonts w:ascii="Gill Sans" w:hAnsi="Gill Sans" w:cs="Gill Sans"/>
                <w:color w:val="000000"/>
                <w:szCs w:val="22"/>
              </w:rPr>
            </w:pPr>
            <w:r w:rsidRPr="00076E76">
              <w:rPr>
                <w:rFonts w:ascii="Gill Sans" w:hAnsi="Gill Sans" w:cs="Gill Sans"/>
                <w:b/>
                <w:color w:val="000000"/>
                <w:szCs w:val="22"/>
                <w:lang w:val="en-AU"/>
              </w:rPr>
              <w:t xml:space="preserve">Aim: </w:t>
            </w:r>
            <w:r>
              <w:rPr>
                <w:rFonts w:ascii="Gill Sans" w:hAnsi="Gill Sans" w:cs="Gill Sans"/>
                <w:color w:val="000000"/>
                <w:szCs w:val="22"/>
                <w:lang w:val="en-AU"/>
              </w:rPr>
              <w:t xml:space="preserve">To </w:t>
            </w:r>
            <w:r>
              <w:rPr>
                <w:rFonts w:ascii="Gill Sans" w:hAnsi="Gill Sans" w:cs="Gill Sans"/>
                <w:color w:val="000000"/>
                <w:szCs w:val="22"/>
              </w:rPr>
              <w:t>examine</w:t>
            </w:r>
            <w:r w:rsidRPr="00BB0FF3">
              <w:rPr>
                <w:rFonts w:ascii="Gill Sans" w:hAnsi="Gill Sans" w:cs="Gill Sans"/>
                <w:color w:val="000000"/>
                <w:szCs w:val="22"/>
              </w:rPr>
              <w:t xml:space="preserve"> how first year students are inducted into their discipline</w:t>
            </w:r>
            <w:r>
              <w:rPr>
                <w:rFonts w:ascii="Gill Sans" w:hAnsi="Gill Sans" w:cs="Gill Sans"/>
                <w:color w:val="000000"/>
                <w:szCs w:val="22"/>
              </w:rPr>
              <w:t>s by identifying</w:t>
            </w:r>
            <w:r w:rsidRPr="000E412E">
              <w:rPr>
                <w:rFonts w:ascii="Gill Sans" w:hAnsi="Gill Sans" w:cs="Gill Sans"/>
                <w:color w:val="000000"/>
                <w:szCs w:val="22"/>
              </w:rPr>
              <w:t xml:space="preserve"> lecturers and students’ insights</w:t>
            </w:r>
            <w:r>
              <w:rPr>
                <w:rFonts w:ascii="Gill Sans" w:hAnsi="Gill Sans" w:cs="Gill Sans"/>
                <w:color w:val="000000"/>
                <w:szCs w:val="22"/>
              </w:rPr>
              <w:t xml:space="preserve"> free from prior assumptions</w:t>
            </w:r>
            <w:r w:rsidRPr="000E412E">
              <w:rPr>
                <w:rFonts w:ascii="Gill Sans" w:hAnsi="Gill Sans" w:cs="Gill Sans"/>
                <w:color w:val="000000"/>
                <w:szCs w:val="22"/>
              </w:rPr>
              <w:t xml:space="preserve"> about how the development of academic literacies occurs in a study program.</w:t>
            </w:r>
          </w:p>
          <w:p w14:paraId="16B5D63D" w14:textId="6792C261" w:rsidR="00F934ED" w:rsidRPr="00E16C70" w:rsidRDefault="00F934ED" w:rsidP="00F934ED">
            <w:pPr>
              <w:rPr>
                <w:rFonts w:ascii="Gill Sans" w:hAnsi="Gill Sans" w:cs="Gill Sans"/>
                <w:color w:val="000000"/>
                <w:szCs w:val="22"/>
              </w:rPr>
            </w:pPr>
            <w:r w:rsidRPr="00076E76">
              <w:rPr>
                <w:rFonts w:ascii="Gill Sans" w:hAnsi="Gill Sans" w:cs="Gill Sans"/>
                <w:b/>
                <w:color w:val="000000"/>
                <w:szCs w:val="22"/>
                <w:lang w:val="en-AU"/>
              </w:rPr>
              <w:t>Theoretical frame:</w:t>
            </w:r>
            <w:r>
              <w:rPr>
                <w:rFonts w:ascii="Gill Sans" w:hAnsi="Gill Sans" w:cs="Gill Sans"/>
                <w:b/>
                <w:color w:val="000000"/>
                <w:szCs w:val="22"/>
                <w:lang w:val="en-AU"/>
              </w:rPr>
              <w:t xml:space="preserve"> </w:t>
            </w:r>
            <w:r>
              <w:rPr>
                <w:rFonts w:ascii="Gill Sans" w:hAnsi="Gill Sans" w:cs="Gill Sans"/>
                <w:color w:val="000000"/>
                <w:szCs w:val="22"/>
              </w:rPr>
              <w:t>A</w:t>
            </w:r>
            <w:r w:rsidRPr="00E16C70">
              <w:rPr>
                <w:rFonts w:ascii="Gill Sans" w:hAnsi="Gill Sans" w:cs="Gill Sans"/>
                <w:color w:val="000000"/>
                <w:szCs w:val="22"/>
              </w:rPr>
              <w:t>cademic literacies approach</w:t>
            </w:r>
            <w:r>
              <w:rPr>
                <w:rFonts w:ascii="Gill Sans" w:hAnsi="Gill Sans" w:cs="Gill Sans"/>
                <w:color w:val="000000"/>
                <w:szCs w:val="22"/>
              </w:rPr>
              <w:t xml:space="preserve"> which are understood as</w:t>
            </w:r>
            <w:r w:rsidRPr="00E16C70">
              <w:rPr>
                <w:rFonts w:ascii="Gill Sans" w:hAnsi="Gill Sans" w:cs="Gill Sans"/>
                <w:color w:val="000000"/>
                <w:szCs w:val="22"/>
              </w:rPr>
              <w:t xml:space="preserve"> distinct skills</w:t>
            </w:r>
            <w:r>
              <w:rPr>
                <w:rFonts w:ascii="Gill Sans" w:hAnsi="Gill Sans" w:cs="Gill Sans"/>
                <w:color w:val="000000"/>
                <w:szCs w:val="22"/>
              </w:rPr>
              <w:t>/practices (as opposed to texts)</w:t>
            </w:r>
            <w:r w:rsidRPr="00E16C70">
              <w:rPr>
                <w:rFonts w:ascii="Gill Sans" w:hAnsi="Gill Sans" w:cs="Gill Sans"/>
                <w:color w:val="000000"/>
                <w:szCs w:val="22"/>
              </w:rPr>
              <w:t xml:space="preserve"> that students </w:t>
            </w:r>
            <w:r>
              <w:rPr>
                <w:rFonts w:ascii="Gill Sans" w:hAnsi="Gill Sans" w:cs="Gill Sans"/>
                <w:color w:val="000000"/>
                <w:szCs w:val="22"/>
              </w:rPr>
              <w:t>can</w:t>
            </w:r>
            <w:r w:rsidRPr="00E16C70">
              <w:rPr>
                <w:rFonts w:ascii="Gill Sans" w:hAnsi="Gill Sans" w:cs="Gill Sans"/>
                <w:color w:val="000000"/>
                <w:szCs w:val="22"/>
              </w:rPr>
              <w:t xml:space="preserve"> master</w:t>
            </w:r>
            <w:r>
              <w:rPr>
                <w:rFonts w:ascii="Gill Sans" w:hAnsi="Gill Sans" w:cs="Gill Sans"/>
                <w:color w:val="000000"/>
                <w:szCs w:val="22"/>
              </w:rPr>
              <w:t xml:space="preserve"> which are</w:t>
            </w:r>
            <w:r w:rsidRPr="00E16C70">
              <w:rPr>
                <w:rFonts w:ascii="Gill Sans" w:hAnsi="Gill Sans" w:cs="Gill Sans"/>
                <w:color w:val="000000"/>
                <w:szCs w:val="22"/>
              </w:rPr>
              <w:t xml:space="preserve"> devoid of “language and communication...that are privileged, expected, cult</w:t>
            </w:r>
            <w:r>
              <w:rPr>
                <w:rFonts w:ascii="Gill Sans" w:hAnsi="Gill Sans" w:cs="Gill Sans"/>
                <w:color w:val="000000"/>
                <w:szCs w:val="22"/>
              </w:rPr>
              <w:t xml:space="preserve">ivated, </w:t>
            </w:r>
            <w:proofErr w:type="spellStart"/>
            <w:r>
              <w:rPr>
                <w:rFonts w:ascii="Gill Sans" w:hAnsi="Gill Sans" w:cs="Gill Sans"/>
                <w:color w:val="000000"/>
                <w:szCs w:val="22"/>
              </w:rPr>
              <w:t>conventionalised</w:t>
            </w:r>
            <w:proofErr w:type="spellEnd"/>
            <w:r>
              <w:rPr>
                <w:rFonts w:ascii="Gill Sans" w:hAnsi="Gill Sans" w:cs="Gill Sans"/>
                <w:color w:val="000000"/>
                <w:szCs w:val="22"/>
              </w:rPr>
              <w:t xml:space="preserve"> or </w:t>
            </w:r>
            <w:proofErr w:type="spellStart"/>
            <w:r>
              <w:rPr>
                <w:rFonts w:ascii="Gill Sans" w:hAnsi="Gill Sans" w:cs="Gill Sans"/>
                <w:color w:val="000000"/>
                <w:szCs w:val="22"/>
              </w:rPr>
              <w:t>ri</w:t>
            </w:r>
            <w:r w:rsidRPr="00E16C70">
              <w:rPr>
                <w:rFonts w:ascii="Gill Sans" w:hAnsi="Gill Sans" w:cs="Gill Sans"/>
                <w:color w:val="000000"/>
                <w:szCs w:val="22"/>
              </w:rPr>
              <w:t>tualised</w:t>
            </w:r>
            <w:proofErr w:type="spellEnd"/>
            <w:r w:rsidRPr="00E16C70">
              <w:rPr>
                <w:rFonts w:ascii="Gill Sans" w:hAnsi="Gill Sans" w:cs="Gill Sans"/>
                <w:color w:val="000000"/>
                <w:szCs w:val="22"/>
              </w:rPr>
              <w:t>” (Duff, 2010, p. 175).</w:t>
            </w:r>
            <w:r>
              <w:rPr>
                <w:rFonts w:ascii="Gill Sans" w:hAnsi="Gill Sans" w:cs="Gill Sans"/>
                <w:color w:val="000000"/>
                <w:szCs w:val="22"/>
              </w:rPr>
              <w:t xml:space="preserve"> </w:t>
            </w:r>
          </w:p>
          <w:p w14:paraId="58E88F44" w14:textId="61DF6AF5" w:rsidR="00F934ED" w:rsidRPr="00BC6711" w:rsidRDefault="00F934ED" w:rsidP="00F934ED">
            <w:pPr>
              <w:rPr>
                <w:rFonts w:ascii="Gill Sans" w:hAnsi="Gill Sans" w:cs="Gill Sans"/>
                <w:color w:val="000000"/>
                <w:szCs w:val="22"/>
              </w:rPr>
            </w:pPr>
            <w:r w:rsidRPr="00076E76">
              <w:rPr>
                <w:rFonts w:ascii="Gill Sans" w:hAnsi="Gill Sans" w:cs="Gill Sans"/>
                <w:b/>
                <w:color w:val="000000"/>
                <w:szCs w:val="22"/>
                <w:lang w:val="en-AU"/>
              </w:rPr>
              <w:t xml:space="preserve">Methodology: </w:t>
            </w:r>
            <w:r w:rsidRPr="00BC6711">
              <w:rPr>
                <w:rFonts w:ascii="Gill Sans" w:hAnsi="Gill Sans" w:cs="Gill Sans"/>
                <w:color w:val="000000"/>
                <w:szCs w:val="22"/>
              </w:rPr>
              <w:t>Phenomenography</w:t>
            </w:r>
            <w:r>
              <w:rPr>
                <w:rFonts w:ascii="Gill Sans" w:hAnsi="Gill Sans" w:cs="Gill Sans"/>
                <w:color w:val="000000"/>
                <w:szCs w:val="22"/>
              </w:rPr>
              <w:t xml:space="preserve"> (a qualitative </w:t>
            </w:r>
            <w:r w:rsidRPr="00BC6711">
              <w:rPr>
                <w:rFonts w:ascii="Gill Sans" w:hAnsi="Gill Sans" w:cs="Gill Sans"/>
                <w:color w:val="000000"/>
                <w:szCs w:val="22"/>
              </w:rPr>
              <w:t>approach that is used to identify the different ways a group of people experience and understand a phenomenon</w:t>
            </w:r>
            <w:r>
              <w:rPr>
                <w:rFonts w:ascii="Gill Sans" w:hAnsi="Gill Sans" w:cs="Gill Sans"/>
                <w:color w:val="000000"/>
                <w:szCs w:val="22"/>
              </w:rPr>
              <w:t>). The study participants were comprised of ‘</w:t>
            </w:r>
            <w:r w:rsidRPr="000F3998">
              <w:rPr>
                <w:rFonts w:ascii="Gill Sans" w:hAnsi="Gill Sans" w:cs="Gill Sans"/>
                <w:color w:val="000000"/>
                <w:szCs w:val="22"/>
              </w:rPr>
              <w:t>students and lecturers from the Bachelor of Teaching (MBET) program in the research context. Open-ended questions were asked in the interviews and participants were encouraged to speak freely and give concrete examples about their experience of the phenomenon which was: how MBET students developed their d</w:t>
            </w:r>
            <w:r>
              <w:rPr>
                <w:rFonts w:ascii="Gill Sans" w:hAnsi="Gill Sans" w:cs="Gill Sans"/>
                <w:color w:val="000000"/>
                <w:szCs w:val="22"/>
              </w:rPr>
              <w:t xml:space="preserve">isciplinary academic literacies’ (59). The main objective was to understand how the participants ‘made meaning’ from the phenomenon. </w:t>
            </w:r>
          </w:p>
          <w:p w14:paraId="7D5E5C5F" w14:textId="0C248BE8" w:rsidR="00F934ED" w:rsidRPr="00322F9A" w:rsidRDefault="00F934ED" w:rsidP="00F934ED">
            <w:pPr>
              <w:rPr>
                <w:rFonts w:ascii="Gill Sans" w:hAnsi="Gill Sans" w:cs="Gill Sans"/>
                <w:color w:val="000000"/>
                <w:szCs w:val="22"/>
              </w:rPr>
            </w:pPr>
            <w:r w:rsidRPr="00076E76">
              <w:rPr>
                <w:rFonts w:ascii="Gill Sans" w:hAnsi="Gill Sans" w:cs="Gill Sans"/>
                <w:b/>
                <w:color w:val="000000"/>
                <w:szCs w:val="22"/>
                <w:lang w:val="en-AU"/>
              </w:rPr>
              <w:t xml:space="preserve">Findings: </w:t>
            </w:r>
            <w:r>
              <w:rPr>
                <w:rFonts w:ascii="Gill Sans" w:hAnsi="Gill Sans" w:cs="Gill Sans"/>
                <w:color w:val="000000"/>
                <w:szCs w:val="22"/>
                <w:lang w:val="en-AU"/>
              </w:rPr>
              <w:t>‘</w:t>
            </w:r>
            <w:r w:rsidRPr="007C1A4B">
              <w:rPr>
                <w:rFonts w:ascii="Gill Sans" w:hAnsi="Gill Sans" w:cs="Gill Sans"/>
                <w:color w:val="000000"/>
                <w:szCs w:val="22"/>
              </w:rPr>
              <w:t>1) t</w:t>
            </w:r>
            <w:r>
              <w:rPr>
                <w:rFonts w:ascii="Gill Sans" w:hAnsi="Gill Sans" w:cs="Gill Sans"/>
                <w:color w:val="000000"/>
                <w:szCs w:val="22"/>
              </w:rPr>
              <w:t>here was disparity between dif</w:t>
            </w:r>
            <w:r w:rsidRPr="007C1A4B">
              <w:rPr>
                <w:rFonts w:ascii="Gill Sans" w:hAnsi="Gill Sans" w:cs="Gill Sans"/>
                <w:color w:val="000000"/>
                <w:szCs w:val="22"/>
              </w:rPr>
              <w:t xml:space="preserve">ferent stakeholders’ expectations about the learning and teaching needs of students in Higher Education; 2) not all first year students had the expected academic literacies to engage in the discourses of their discipline; 3) scaffolding of disciplinary literacies was not being undertaken consistently; and 4) lecturers were uncertain about the level of </w:t>
            </w:r>
            <w:r>
              <w:rPr>
                <w:rFonts w:ascii="Gill Sans" w:hAnsi="Gill Sans" w:cs="Gill Sans"/>
                <w:color w:val="000000"/>
                <w:szCs w:val="22"/>
              </w:rPr>
              <w:t xml:space="preserve">scaffolding that should be provided to first year students’ (57). </w:t>
            </w:r>
            <w:r w:rsidRPr="007C1A4B">
              <w:rPr>
                <w:rFonts w:ascii="Gill Sans" w:hAnsi="Gill Sans" w:cs="Gill Sans"/>
                <w:color w:val="000000"/>
                <w:szCs w:val="22"/>
                <w:lang w:val="en-AU"/>
              </w:rPr>
              <w:br/>
            </w:r>
            <w:r w:rsidRPr="00076E76">
              <w:rPr>
                <w:rFonts w:ascii="Gill Sans" w:hAnsi="Gill Sans" w:cs="Gill Sans"/>
                <w:b/>
                <w:color w:val="000000"/>
                <w:szCs w:val="22"/>
                <w:lang w:val="en-AU"/>
              </w:rPr>
              <w:t>Core argument:</w:t>
            </w:r>
            <w:r>
              <w:rPr>
                <w:rFonts w:ascii="Gill Sans" w:hAnsi="Gill Sans" w:cs="Gill Sans"/>
                <w:b/>
                <w:color w:val="000000"/>
                <w:szCs w:val="22"/>
                <w:lang w:val="en-AU"/>
              </w:rPr>
              <w:t xml:space="preserve"> </w:t>
            </w:r>
            <w:r>
              <w:rPr>
                <w:rFonts w:ascii="Gill Sans" w:hAnsi="Gill Sans" w:cs="Gill Sans"/>
                <w:color w:val="000000"/>
                <w:szCs w:val="22"/>
                <w:lang w:val="en-AU"/>
              </w:rPr>
              <w:t xml:space="preserve">The development of academic literacies through scaffolding by students should be a deliberate goal of lecturers at higher ed institutions. </w:t>
            </w:r>
          </w:p>
        </w:tc>
      </w:tr>
      <w:tr w:rsidR="00F934ED" w:rsidRPr="00076E76" w14:paraId="4840D3A0" w14:textId="77777777" w:rsidTr="002E557C">
        <w:tc>
          <w:tcPr>
            <w:tcW w:w="5529" w:type="dxa"/>
          </w:tcPr>
          <w:p w14:paraId="1BB9B083" w14:textId="41E1557B" w:rsidR="00F934ED" w:rsidRPr="00076E76" w:rsidRDefault="00F934ED" w:rsidP="00F934ED">
            <w:pPr>
              <w:rPr>
                <w:rFonts w:ascii="Gill Sans" w:hAnsi="Gill Sans" w:cs="Gill Sans"/>
                <w:szCs w:val="22"/>
              </w:rPr>
            </w:pPr>
            <w:r w:rsidRPr="00076E76">
              <w:rPr>
                <w:rFonts w:ascii="Gill Sans" w:hAnsi="Gill Sans" w:cs="Gill Sans"/>
                <w:szCs w:val="22"/>
              </w:rPr>
              <w:lastRenderedPageBreak/>
              <w:t>Nelson, K.; Smith, J. &amp; Clarke, J. (2012).</w:t>
            </w:r>
            <w:hyperlink r:id="rId101" w:history="1">
              <w:r w:rsidRPr="00EF678F">
                <w:rPr>
                  <w:rStyle w:val="Hyperlink"/>
                  <w:rFonts w:ascii="Gill Sans" w:hAnsi="Gill Sans" w:cs="Gill Sans"/>
                  <w:szCs w:val="22"/>
                </w:rPr>
                <w:t xml:space="preserve"> Enhancing the transition of commencing students into university: an institution-wide approach</w:t>
              </w:r>
            </w:hyperlink>
            <w:r w:rsidRPr="00076E76">
              <w:rPr>
                <w:rFonts w:ascii="Gill Sans" w:hAnsi="Gill Sans" w:cs="Gill Sans"/>
                <w:szCs w:val="22"/>
              </w:rPr>
              <w:t xml:space="preserve">, </w:t>
            </w:r>
            <w:r w:rsidRPr="00076E76">
              <w:rPr>
                <w:rFonts w:ascii="Gill Sans" w:hAnsi="Gill Sans" w:cs="Gill Sans"/>
                <w:i/>
                <w:szCs w:val="22"/>
              </w:rPr>
              <w:t xml:space="preserve">Higher Education Research &amp; Development, </w:t>
            </w:r>
            <w:r w:rsidRPr="00076E76">
              <w:rPr>
                <w:rFonts w:ascii="Gill Sans" w:hAnsi="Gill Sans" w:cs="Gill Sans"/>
                <w:szCs w:val="22"/>
              </w:rPr>
              <w:t>31(2)</w:t>
            </w:r>
            <w:r>
              <w:rPr>
                <w:rFonts w:ascii="Gill Sans" w:hAnsi="Gill Sans" w:cs="Gill Sans"/>
                <w:szCs w:val="22"/>
              </w:rPr>
              <w:t>, 185–</w:t>
            </w:r>
            <w:r w:rsidRPr="00076E76">
              <w:rPr>
                <w:rFonts w:ascii="Gill Sans" w:hAnsi="Gill Sans" w:cs="Gill Sans"/>
                <w:szCs w:val="22"/>
              </w:rPr>
              <w:t>199.</w:t>
            </w:r>
          </w:p>
          <w:p w14:paraId="6E5B2C84" w14:textId="77777777" w:rsidR="00F934ED" w:rsidRPr="00076E76" w:rsidRDefault="00F934ED" w:rsidP="00F934ED">
            <w:pPr>
              <w:rPr>
                <w:rFonts w:ascii="Gill Sans" w:hAnsi="Gill Sans" w:cs="Gill Sans"/>
                <w:szCs w:val="22"/>
              </w:rPr>
            </w:pPr>
          </w:p>
          <w:p w14:paraId="3AC7C641" w14:textId="77777777" w:rsidR="00F934ED" w:rsidRPr="00076E76" w:rsidRDefault="00F934ED" w:rsidP="00F934ED">
            <w:pPr>
              <w:rPr>
                <w:rFonts w:ascii="Gill Sans" w:hAnsi="Gill Sans" w:cs="Gill Sans"/>
                <w:szCs w:val="22"/>
              </w:rPr>
            </w:pPr>
            <w:r w:rsidRPr="00076E76">
              <w:rPr>
                <w:rFonts w:ascii="Gill Sans" w:hAnsi="Gill Sans" w:cs="Gill Sans"/>
                <w:szCs w:val="22"/>
              </w:rPr>
              <w:t>AUS</w:t>
            </w:r>
          </w:p>
          <w:p w14:paraId="298214E9"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2A0D8D17" w14:textId="77777777" w:rsidR="00F934ED" w:rsidRPr="00076E76" w:rsidRDefault="00F934ED" w:rsidP="00F934ED">
            <w:pPr>
              <w:rPr>
                <w:rFonts w:ascii="Gill Sans" w:hAnsi="Gill Sans" w:cs="Gill Sans"/>
                <w:szCs w:val="22"/>
              </w:rPr>
            </w:pPr>
          </w:p>
          <w:p w14:paraId="2E3ADE37" w14:textId="691600EE" w:rsidR="00F934ED" w:rsidRPr="00076E76" w:rsidRDefault="00F934ED" w:rsidP="00F934ED">
            <w:pPr>
              <w:rPr>
                <w:rFonts w:ascii="Gill Sans" w:hAnsi="Gill Sans" w:cs="Gill Sans"/>
                <w:i/>
                <w:szCs w:val="22"/>
              </w:rPr>
            </w:pPr>
            <w:r w:rsidRPr="00076E76">
              <w:rPr>
                <w:rFonts w:ascii="Gill Sans" w:hAnsi="Gill Sans" w:cs="Gill Sans"/>
                <w:szCs w:val="22"/>
              </w:rPr>
              <w:t xml:space="preserve">Keywords: </w:t>
            </w:r>
            <w:r w:rsidRPr="00076E76">
              <w:rPr>
                <w:rFonts w:ascii="Gill Sans" w:hAnsi="Gill Sans" w:cs="Gill Sans"/>
                <w:i/>
                <w:szCs w:val="22"/>
              </w:rPr>
              <w:t>engagement</w:t>
            </w:r>
            <w:r w:rsidR="00500B09">
              <w:rPr>
                <w:rFonts w:ascii="Gill Sans" w:hAnsi="Gill Sans" w:cs="Gill Sans"/>
                <w:i/>
                <w:szCs w:val="22"/>
              </w:rPr>
              <w:t xml:space="preserve">; </w:t>
            </w:r>
            <w:r w:rsidRPr="00076E76">
              <w:rPr>
                <w:rFonts w:ascii="Gill Sans" w:hAnsi="Gill Sans" w:cs="Gill Sans"/>
                <w:i/>
                <w:szCs w:val="22"/>
              </w:rPr>
              <w:t>first year experience</w:t>
            </w:r>
            <w:r w:rsidR="00500B09">
              <w:rPr>
                <w:rFonts w:ascii="Gill Sans" w:hAnsi="Gill Sans" w:cs="Gill Sans"/>
                <w:i/>
                <w:szCs w:val="22"/>
              </w:rPr>
              <w:t xml:space="preserve">; </w:t>
            </w:r>
            <w:r w:rsidRPr="00076E76">
              <w:rPr>
                <w:rFonts w:ascii="Gill Sans" w:hAnsi="Gill Sans" w:cs="Gill Sans"/>
                <w:i/>
                <w:szCs w:val="22"/>
              </w:rPr>
              <w:t>retention</w:t>
            </w:r>
            <w:r w:rsidR="00500B09">
              <w:rPr>
                <w:rFonts w:ascii="Gill Sans" w:hAnsi="Gill Sans" w:cs="Gill Sans"/>
                <w:i/>
                <w:szCs w:val="22"/>
              </w:rPr>
              <w:t xml:space="preserve">; </w:t>
            </w:r>
            <w:r w:rsidRPr="00076E76">
              <w:rPr>
                <w:rFonts w:ascii="Gill Sans" w:hAnsi="Gill Sans" w:cs="Gill Sans"/>
                <w:i/>
                <w:szCs w:val="22"/>
              </w:rPr>
              <w:t>transition</w:t>
            </w:r>
          </w:p>
          <w:p w14:paraId="236BAAF1" w14:textId="77777777" w:rsidR="00F934ED" w:rsidRPr="00076E76" w:rsidRDefault="00F934ED" w:rsidP="00F934ED">
            <w:pPr>
              <w:rPr>
                <w:rFonts w:ascii="Gill Sans" w:hAnsi="Gill Sans" w:cs="Gill Sans"/>
                <w:i/>
                <w:szCs w:val="22"/>
              </w:rPr>
            </w:pPr>
          </w:p>
          <w:p w14:paraId="741FA54F" w14:textId="0C2E8966" w:rsidR="00F934ED" w:rsidRPr="00076E76" w:rsidRDefault="00F934ED" w:rsidP="00F934ED">
            <w:pPr>
              <w:rPr>
                <w:rFonts w:ascii="Gill Sans" w:hAnsi="Gill Sans" w:cs="Gill Sans"/>
                <w:szCs w:val="22"/>
              </w:rPr>
            </w:pPr>
          </w:p>
        </w:tc>
        <w:tc>
          <w:tcPr>
            <w:tcW w:w="10064" w:type="dxa"/>
          </w:tcPr>
          <w:p w14:paraId="5A8CE1E0" w14:textId="664B41D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sidRPr="00076E76">
              <w:rPr>
                <w:rFonts w:ascii="Gill Sans" w:hAnsi="Gill Sans" w:cs="Gill Sans"/>
                <w:color w:val="000000"/>
                <w:szCs w:val="22"/>
                <w:lang w:val="en-AU"/>
              </w:rPr>
              <w:t xml:space="preserve">First Year Experience (FYE) in QUT: ‘Transitions in Project’ (TIP) – institution-wide program implementation = “premised on a holistic view of students and their university experience – specifically their FYE – and attempted to identify and embed good practice that focused on engaging students across an institution in a way that was sustainable beyond the life of the project” (p.186). Draws on literature from Krause et al. (2005), Lawrence (2005), Tinto (2005), Wylie (2005) to discuss the disconnected nature of transition approaches until Sally </w:t>
            </w:r>
            <w:proofErr w:type="spellStart"/>
            <w:r w:rsidRPr="00076E76">
              <w:rPr>
                <w:rFonts w:ascii="Gill Sans" w:hAnsi="Gill Sans" w:cs="Gill Sans"/>
                <w:color w:val="000000"/>
                <w:szCs w:val="22"/>
                <w:lang w:val="en-AU"/>
              </w:rPr>
              <w:t>Kift’s</w:t>
            </w:r>
            <w:proofErr w:type="spellEnd"/>
            <w:r w:rsidRPr="00076E76">
              <w:rPr>
                <w:rFonts w:ascii="Gill Sans" w:hAnsi="Gill Sans" w:cs="Gill Sans"/>
                <w:color w:val="000000"/>
                <w:szCs w:val="22"/>
                <w:lang w:val="en-AU"/>
              </w:rPr>
              <w:t xml:space="preserve"> transition pedagogy. Offers overview of QUT and TIP and its 4 aims</w:t>
            </w:r>
          </w:p>
          <w:p w14:paraId="78E8C2F7" w14:textId="3964233C"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sidRPr="00076E76">
              <w:rPr>
                <w:rFonts w:ascii="Gill Sans" w:hAnsi="Gill Sans" w:cs="Gill Sans"/>
                <w:color w:val="000000"/>
                <w:szCs w:val="22"/>
                <w:lang w:val="en-AU"/>
              </w:rPr>
              <w:t>To describe TIP and report on its evaluations</w:t>
            </w:r>
          </w:p>
          <w:p w14:paraId="148C6E93" w14:textId="0B893C9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Theoretical frame: </w:t>
            </w:r>
            <w:r w:rsidRPr="00076E76">
              <w:rPr>
                <w:rFonts w:ascii="Gill Sans" w:hAnsi="Gill Sans" w:cs="Gill Sans"/>
                <w:color w:val="000000"/>
                <w:szCs w:val="22"/>
                <w:lang w:val="en-AU"/>
              </w:rPr>
              <w:t>Biggs 3P model (Presage-Process-Product), 1999</w:t>
            </w:r>
          </w:p>
          <w:p w14:paraId="6A7AC628" w14:textId="51A87FE0"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Description</w:t>
            </w:r>
          </w:p>
          <w:p w14:paraId="7D15CC05" w14:textId="7E68EB68"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Core argument: </w:t>
            </w:r>
            <w:r w:rsidRPr="00076E76">
              <w:rPr>
                <w:rFonts w:ascii="Gill Sans" w:hAnsi="Gill Sans" w:cs="Gill Sans"/>
                <w:color w:val="000000"/>
                <w:szCs w:val="22"/>
                <w:lang w:val="en-AU"/>
              </w:rPr>
              <w:t>Transition pedagogy and six curriculum design principles = useful for implementing whole-of-institution approach to FYE</w:t>
            </w:r>
          </w:p>
        </w:tc>
      </w:tr>
      <w:tr w:rsidR="00F934ED" w:rsidRPr="00076E76" w14:paraId="7BE00BDC" w14:textId="77777777" w:rsidTr="002E557C">
        <w:tc>
          <w:tcPr>
            <w:tcW w:w="5529" w:type="dxa"/>
          </w:tcPr>
          <w:p w14:paraId="666204CA" w14:textId="3691884E" w:rsidR="00F934ED" w:rsidRPr="00076E76" w:rsidRDefault="00F934ED" w:rsidP="00F934ED">
            <w:pPr>
              <w:rPr>
                <w:rFonts w:ascii="Gill Sans" w:hAnsi="Gill Sans" w:cs="Gill Sans"/>
                <w:szCs w:val="22"/>
              </w:rPr>
            </w:pPr>
            <w:r w:rsidRPr="00076E76">
              <w:rPr>
                <w:rFonts w:ascii="Gill Sans" w:hAnsi="Gill Sans" w:cs="Gill Sans"/>
                <w:szCs w:val="22"/>
              </w:rPr>
              <w:t xml:space="preserve">Neve, H.; </w:t>
            </w:r>
            <w:proofErr w:type="spellStart"/>
            <w:r w:rsidRPr="00076E76">
              <w:rPr>
                <w:rFonts w:ascii="Gill Sans" w:hAnsi="Gill Sans" w:cs="Gill Sans"/>
                <w:szCs w:val="22"/>
              </w:rPr>
              <w:t>Llody</w:t>
            </w:r>
            <w:proofErr w:type="spellEnd"/>
            <w:r w:rsidRPr="00076E76">
              <w:rPr>
                <w:rFonts w:ascii="Gill Sans" w:hAnsi="Gill Sans" w:cs="Gill Sans"/>
                <w:szCs w:val="22"/>
              </w:rPr>
              <w:t xml:space="preserve">, H. &amp; Collett, T. (2016). </w:t>
            </w:r>
            <w:hyperlink r:id="rId102" w:history="1">
              <w:r w:rsidRPr="00EF678F">
                <w:rPr>
                  <w:rStyle w:val="Hyperlink"/>
                  <w:rFonts w:ascii="Gill Sans" w:hAnsi="Gill Sans" w:cs="Gill Sans"/>
                  <w:szCs w:val="22"/>
                </w:rPr>
                <w:t>Understanding students’ experiences of professionalism learning: a ‘threshold’ approach</w:t>
              </w:r>
            </w:hyperlink>
            <w:r w:rsidRPr="00076E76">
              <w:rPr>
                <w:rFonts w:ascii="Gill Sans" w:hAnsi="Gill Sans" w:cs="Gill Sans"/>
                <w:szCs w:val="22"/>
              </w:rPr>
              <w:t xml:space="preserve">, </w:t>
            </w:r>
            <w:r w:rsidRPr="00076E76">
              <w:rPr>
                <w:rFonts w:ascii="Gill Sans" w:hAnsi="Gill Sans" w:cs="Gill Sans"/>
                <w:i/>
                <w:szCs w:val="22"/>
              </w:rPr>
              <w:t xml:space="preserve">Teaching in Higher Education, </w:t>
            </w:r>
            <w:r w:rsidRPr="00076E76">
              <w:rPr>
                <w:rFonts w:ascii="Gill Sans" w:hAnsi="Gill Sans" w:cs="Gill Sans"/>
                <w:szCs w:val="22"/>
              </w:rPr>
              <w:t>DOI</w:t>
            </w:r>
          </w:p>
          <w:p w14:paraId="595EB5D6" w14:textId="77777777" w:rsidR="00F934ED" w:rsidRPr="00076E76" w:rsidRDefault="00F934ED" w:rsidP="00F934ED">
            <w:pPr>
              <w:rPr>
                <w:rFonts w:ascii="Gill Sans" w:hAnsi="Gill Sans" w:cs="Gill Sans"/>
                <w:szCs w:val="22"/>
              </w:rPr>
            </w:pPr>
          </w:p>
          <w:p w14:paraId="2E613289" w14:textId="77777777" w:rsidR="00F934ED" w:rsidRPr="00076E76" w:rsidRDefault="00F934ED" w:rsidP="00F934ED">
            <w:pPr>
              <w:rPr>
                <w:rFonts w:ascii="Gill Sans" w:hAnsi="Gill Sans" w:cs="Gill Sans"/>
                <w:szCs w:val="22"/>
              </w:rPr>
            </w:pPr>
            <w:r w:rsidRPr="00076E76">
              <w:rPr>
                <w:rFonts w:ascii="Gill Sans" w:hAnsi="Gill Sans" w:cs="Gill Sans"/>
                <w:szCs w:val="22"/>
              </w:rPr>
              <w:t>UK</w:t>
            </w:r>
          </w:p>
          <w:p w14:paraId="1A1C00E6"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61DC8ED4" w14:textId="77777777" w:rsidR="00F934ED" w:rsidRPr="00076E76" w:rsidRDefault="00F934ED" w:rsidP="00F934ED">
            <w:pPr>
              <w:rPr>
                <w:rFonts w:ascii="Gill Sans" w:hAnsi="Gill Sans" w:cs="Gill Sans"/>
                <w:szCs w:val="22"/>
              </w:rPr>
            </w:pPr>
          </w:p>
          <w:p w14:paraId="46C323FB" w14:textId="38D39F53" w:rsidR="00F934ED" w:rsidRPr="00076E76" w:rsidRDefault="00F934ED" w:rsidP="00F934ED">
            <w:pPr>
              <w:rPr>
                <w:rFonts w:ascii="Gill Sans" w:hAnsi="Gill Sans" w:cs="Gill Sans"/>
                <w:i/>
                <w:szCs w:val="22"/>
              </w:rPr>
            </w:pPr>
            <w:r w:rsidRPr="00076E76">
              <w:rPr>
                <w:rFonts w:ascii="Gill Sans" w:hAnsi="Gill Sans" w:cs="Gill Sans"/>
                <w:szCs w:val="22"/>
              </w:rPr>
              <w:t xml:space="preserve">Keywords: </w:t>
            </w:r>
            <w:r w:rsidRPr="00076E76">
              <w:rPr>
                <w:rFonts w:ascii="Gill Sans" w:hAnsi="Gill Sans" w:cs="Gill Sans"/>
                <w:i/>
                <w:szCs w:val="22"/>
              </w:rPr>
              <w:t>Threshold concepts; professionalism learning;</w:t>
            </w:r>
          </w:p>
          <w:p w14:paraId="39C27CCC" w14:textId="77777777" w:rsidR="00F934ED" w:rsidRPr="00076E76" w:rsidRDefault="00F934ED" w:rsidP="00F934ED">
            <w:pPr>
              <w:rPr>
                <w:rFonts w:ascii="Gill Sans" w:hAnsi="Gill Sans" w:cs="Gill Sans"/>
                <w:i/>
                <w:szCs w:val="22"/>
              </w:rPr>
            </w:pPr>
            <w:r w:rsidRPr="00076E76">
              <w:rPr>
                <w:rFonts w:ascii="Gill Sans" w:hAnsi="Gill Sans" w:cs="Gill Sans"/>
                <w:i/>
                <w:szCs w:val="22"/>
              </w:rPr>
              <w:t>professional identity; small group learning; audio-diaries</w:t>
            </w:r>
          </w:p>
          <w:p w14:paraId="5CEE644F" w14:textId="77777777" w:rsidR="00F934ED" w:rsidRPr="00076E76" w:rsidRDefault="00F934ED" w:rsidP="00F934ED">
            <w:pPr>
              <w:rPr>
                <w:rFonts w:ascii="Gill Sans" w:hAnsi="Gill Sans" w:cs="Gill Sans"/>
                <w:szCs w:val="22"/>
              </w:rPr>
            </w:pPr>
          </w:p>
          <w:p w14:paraId="6F8724DC" w14:textId="7059C6D9" w:rsidR="00F934ED" w:rsidRPr="00076E76" w:rsidRDefault="00F934ED" w:rsidP="00F934ED">
            <w:pPr>
              <w:rPr>
                <w:rFonts w:ascii="Gill Sans" w:hAnsi="Gill Sans" w:cs="Gill Sans"/>
                <w:szCs w:val="22"/>
              </w:rPr>
            </w:pPr>
          </w:p>
        </w:tc>
        <w:tc>
          <w:tcPr>
            <w:tcW w:w="10064" w:type="dxa"/>
          </w:tcPr>
          <w:p w14:paraId="4AC63771" w14:textId="75DDCE1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sidRPr="00076E76">
              <w:rPr>
                <w:rFonts w:ascii="Gill Sans" w:hAnsi="Gill Sans" w:cs="Gill Sans"/>
                <w:color w:val="000000"/>
                <w:szCs w:val="22"/>
                <w:lang w:val="en-AU"/>
              </w:rPr>
              <w:t>Professional learning in UK higher education</w:t>
            </w:r>
          </w:p>
          <w:p w14:paraId="3149D281" w14:textId="59A99B56"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sidRPr="00076E76">
              <w:rPr>
                <w:rFonts w:ascii="Gill Sans" w:hAnsi="Gill Sans" w:cs="Gill Sans"/>
                <w:color w:val="000000"/>
                <w:szCs w:val="22"/>
                <w:lang w:val="en-AU"/>
              </w:rPr>
              <w:t xml:space="preserve">To unpack the teaching of professionalism: </w:t>
            </w:r>
          </w:p>
          <w:p w14:paraId="00BC9058" w14:textId="7777777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rPr>
              <w:t>(1) explore threshold concepts associated with professionalism and</w:t>
            </w:r>
          </w:p>
          <w:p w14:paraId="7E5399DE" w14:textId="4A6A9E6C"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rPr>
              <w:t>(2) identify factors that might enable students to ‘get’ such concepts (p.3).</w:t>
            </w:r>
          </w:p>
          <w:p w14:paraId="781D5A47" w14:textId="50430E1E"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Theoretical frame: </w:t>
            </w:r>
            <w:r w:rsidRPr="00076E76">
              <w:rPr>
                <w:rFonts w:ascii="Gill Sans" w:hAnsi="Gill Sans" w:cs="Gill Sans"/>
                <w:color w:val="000000"/>
                <w:szCs w:val="22"/>
                <w:lang w:val="en-AU"/>
              </w:rPr>
              <w:t>Threshold concepts (Meyer and Land, 2003) = core concepts = transformative, changing learners’ ways of being and integrative, bringing different aspects of subject together making hidden connections visible = “</w:t>
            </w:r>
            <w:r w:rsidRPr="00076E76">
              <w:rPr>
                <w:rFonts w:ascii="Gill Sans" w:hAnsi="Gill Sans" w:cs="Gill Sans"/>
                <w:color w:val="000000"/>
                <w:szCs w:val="22"/>
              </w:rPr>
              <w:t xml:space="preserve">‘aha’ moment” (p.2) and = irreversible. </w:t>
            </w:r>
            <w:proofErr w:type="gramStart"/>
            <w:r w:rsidRPr="00076E76">
              <w:rPr>
                <w:rFonts w:ascii="Gill Sans" w:hAnsi="Gill Sans" w:cs="Gill Sans"/>
                <w:color w:val="000000"/>
                <w:szCs w:val="22"/>
              </w:rPr>
              <w:t>Also</w:t>
            </w:r>
            <w:proofErr w:type="gramEnd"/>
            <w:r w:rsidRPr="00076E76">
              <w:rPr>
                <w:rFonts w:ascii="Gill Sans" w:hAnsi="Gill Sans" w:cs="Gill Sans"/>
                <w:color w:val="000000"/>
                <w:szCs w:val="22"/>
              </w:rPr>
              <w:t xml:space="preserve"> likely to include troublesome knowledge = can lead to students feeling “uncomfortable and unsettling, leading students to become stuck, avoid a topic or just give up” (p.2) – keeps students in liminal space, oscillating between old and new understandings = see Cousin 2006.</w:t>
            </w:r>
          </w:p>
          <w:p w14:paraId="191D5792" w14:textId="18EF920B"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Auto-diary methodology: audio diaries kept by 15 x students and 7 x tutors (Medical School) over 2 x terms. Data = qualitatively analysed for threshold concepts (</w:t>
            </w:r>
            <w:r w:rsidRPr="00076E76">
              <w:rPr>
                <w:rFonts w:ascii="Gill Sans" w:hAnsi="Gill Sans" w:cs="Gill Sans"/>
                <w:color w:val="000000"/>
                <w:szCs w:val="22"/>
              </w:rPr>
              <w:t>where language indicated that learning was troublesome, integrative or transformative)</w:t>
            </w:r>
          </w:p>
          <w:p w14:paraId="510F51AD"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Findings: </w:t>
            </w:r>
            <w:r w:rsidRPr="00076E76">
              <w:rPr>
                <w:rFonts w:ascii="Gill Sans" w:hAnsi="Gill Sans" w:cs="Gill Sans"/>
                <w:color w:val="000000"/>
                <w:szCs w:val="22"/>
                <w:lang w:val="en-AU"/>
              </w:rPr>
              <w:t>Seven potential threshold concepts identified relating to students’ professional identities:</w:t>
            </w:r>
          </w:p>
          <w:p w14:paraId="20CFDE69" w14:textId="77777777" w:rsidR="00F934ED" w:rsidRPr="00076E76" w:rsidRDefault="00F934ED" w:rsidP="00F934ED">
            <w:pPr>
              <w:rPr>
                <w:rFonts w:ascii="Gill Sans" w:hAnsi="Gill Sans" w:cs="Gill Sans"/>
                <w:i/>
              </w:rPr>
            </w:pPr>
            <w:r w:rsidRPr="00076E76">
              <w:rPr>
                <w:rFonts w:ascii="Gill Sans" w:hAnsi="Gill Sans" w:cs="Gill Sans"/>
                <w:i/>
              </w:rPr>
              <w:t xml:space="preserve">Threshold 1: there is a professional culture and </w:t>
            </w:r>
            <w:proofErr w:type="spellStart"/>
            <w:r w:rsidRPr="00076E76">
              <w:rPr>
                <w:rFonts w:ascii="Gill Sans" w:hAnsi="Gill Sans" w:cs="Gill Sans"/>
                <w:i/>
              </w:rPr>
              <w:t>i</w:t>
            </w:r>
            <w:proofErr w:type="spellEnd"/>
            <w:r w:rsidRPr="00076E76">
              <w:rPr>
                <w:rFonts w:ascii="Gill Sans" w:hAnsi="Gill Sans" w:cs="Gill Sans"/>
                <w:i/>
              </w:rPr>
              <w:t xml:space="preserve"> am becoming part of it</w:t>
            </w:r>
          </w:p>
          <w:p w14:paraId="3AD07773" w14:textId="77777777" w:rsidR="00F934ED" w:rsidRPr="00076E76" w:rsidRDefault="00F934ED" w:rsidP="00F934ED">
            <w:pPr>
              <w:rPr>
                <w:rFonts w:ascii="Gill Sans" w:hAnsi="Gill Sans" w:cs="Gill Sans"/>
                <w:i/>
              </w:rPr>
            </w:pPr>
            <w:r w:rsidRPr="00076E76">
              <w:rPr>
                <w:rFonts w:ascii="Gill Sans" w:hAnsi="Gill Sans" w:cs="Gill Sans"/>
                <w:i/>
              </w:rPr>
              <w:t xml:space="preserve">Threshold 2: consider the whole person </w:t>
            </w:r>
          </w:p>
          <w:p w14:paraId="3AFBFA46" w14:textId="77777777" w:rsidR="00F934ED" w:rsidRPr="00076E76" w:rsidRDefault="00F934ED" w:rsidP="00F934ED">
            <w:pPr>
              <w:rPr>
                <w:rFonts w:ascii="Gill Sans" w:hAnsi="Gill Sans" w:cs="Gill Sans"/>
                <w:i/>
              </w:rPr>
            </w:pPr>
            <w:r w:rsidRPr="00076E76">
              <w:rPr>
                <w:rFonts w:ascii="Gill Sans" w:hAnsi="Gill Sans" w:cs="Gill Sans"/>
                <w:i/>
              </w:rPr>
              <w:t>Threshold 3. I don’t need to know everything</w:t>
            </w:r>
          </w:p>
          <w:p w14:paraId="70BBA878" w14:textId="77777777" w:rsidR="00F934ED" w:rsidRPr="00076E76" w:rsidRDefault="00F934ED" w:rsidP="00F934ED">
            <w:pPr>
              <w:rPr>
                <w:rFonts w:ascii="Gill Sans" w:hAnsi="Gill Sans" w:cs="Gill Sans"/>
                <w:i/>
              </w:rPr>
            </w:pPr>
            <w:r w:rsidRPr="00076E76">
              <w:rPr>
                <w:rFonts w:ascii="Gill Sans" w:hAnsi="Gill Sans" w:cs="Gill Sans"/>
                <w:i/>
              </w:rPr>
              <w:t>Threshold 4: consider the bigger picture</w:t>
            </w:r>
          </w:p>
          <w:p w14:paraId="23B618A1" w14:textId="77777777" w:rsidR="00F934ED" w:rsidRPr="00076E76" w:rsidRDefault="00F934ED" w:rsidP="00F934ED">
            <w:pPr>
              <w:rPr>
                <w:rFonts w:ascii="Gill Sans" w:hAnsi="Gill Sans" w:cs="Gill Sans"/>
                <w:i/>
              </w:rPr>
            </w:pPr>
            <w:r w:rsidRPr="00076E76">
              <w:rPr>
                <w:rFonts w:ascii="Gill Sans" w:hAnsi="Gill Sans" w:cs="Gill Sans"/>
                <w:i/>
              </w:rPr>
              <w:t>Threshold 5: we have to work with uncertainty</w:t>
            </w:r>
          </w:p>
          <w:p w14:paraId="6149E008" w14:textId="77777777" w:rsidR="00F934ED" w:rsidRPr="00076E76" w:rsidRDefault="00F934ED" w:rsidP="00F934ED">
            <w:pPr>
              <w:rPr>
                <w:rFonts w:ascii="Gill Sans" w:hAnsi="Gill Sans" w:cs="Gill Sans"/>
                <w:i/>
              </w:rPr>
            </w:pPr>
            <w:r w:rsidRPr="00076E76">
              <w:rPr>
                <w:rFonts w:ascii="Gill Sans" w:hAnsi="Gill Sans" w:cs="Gill Sans"/>
                <w:i/>
              </w:rPr>
              <w:t>Threshold 6: people have different expectations</w:t>
            </w:r>
          </w:p>
          <w:p w14:paraId="2E9DEED4" w14:textId="41EDBBE6" w:rsidR="00F934ED" w:rsidRPr="00DF63D4" w:rsidRDefault="00F934ED" w:rsidP="00F934ED">
            <w:pPr>
              <w:rPr>
                <w:rFonts w:ascii="Gill Sans" w:hAnsi="Gill Sans" w:cs="Gill Sans"/>
                <w:color w:val="000000"/>
                <w:szCs w:val="22"/>
                <w:lang w:val="en-AU"/>
              </w:rPr>
            </w:pPr>
            <w:r w:rsidRPr="00076E76">
              <w:rPr>
                <w:rFonts w:ascii="Gill Sans" w:hAnsi="Gill Sans" w:cs="Gill Sans"/>
                <w:i/>
              </w:rPr>
              <w:lastRenderedPageBreak/>
              <w:t>Threshold 7: emotional intelligence</w:t>
            </w:r>
            <w:r w:rsidRPr="00076E76">
              <w:rPr>
                <w:rFonts w:ascii="Gill Sans" w:hAnsi="Gill Sans" w:cs="Gill Sans"/>
                <w:b/>
                <w:color w:val="000000"/>
                <w:szCs w:val="22"/>
                <w:lang w:val="en-AU"/>
              </w:rPr>
              <w:br/>
              <w:t xml:space="preserve">Core argument: </w:t>
            </w:r>
            <w:r w:rsidR="00DF63D4">
              <w:rPr>
                <w:rFonts w:ascii="Gill Sans" w:hAnsi="Gill Sans" w:cs="Gill Sans"/>
                <w:color w:val="000000"/>
                <w:szCs w:val="22"/>
                <w:lang w:val="en-AU"/>
              </w:rPr>
              <w:t xml:space="preserve">None explicit. </w:t>
            </w:r>
          </w:p>
        </w:tc>
      </w:tr>
      <w:tr w:rsidR="00F934ED" w:rsidRPr="00076E76" w14:paraId="53A0F89B" w14:textId="77777777" w:rsidTr="002E557C">
        <w:tc>
          <w:tcPr>
            <w:tcW w:w="5529" w:type="dxa"/>
          </w:tcPr>
          <w:p w14:paraId="30618AB5" w14:textId="1B0964EB" w:rsidR="00F934ED" w:rsidRPr="00076E76" w:rsidRDefault="00F934ED" w:rsidP="00F934ED">
            <w:pPr>
              <w:rPr>
                <w:rFonts w:ascii="Gill Sans" w:hAnsi="Gill Sans" w:cs="Gill Sans"/>
                <w:szCs w:val="22"/>
              </w:rPr>
            </w:pPr>
            <w:r w:rsidRPr="00076E76">
              <w:rPr>
                <w:rFonts w:ascii="Gill Sans" w:hAnsi="Gill Sans" w:cs="Gill Sans"/>
                <w:szCs w:val="22"/>
              </w:rPr>
              <w:lastRenderedPageBreak/>
              <w:t xml:space="preserve">O’Donnell, M.; Wallace, M.; </w:t>
            </w:r>
            <w:proofErr w:type="spellStart"/>
            <w:r w:rsidRPr="00076E76">
              <w:rPr>
                <w:rFonts w:ascii="Gill Sans" w:hAnsi="Gill Sans" w:cs="Gill Sans"/>
                <w:szCs w:val="22"/>
              </w:rPr>
              <w:t>Melano</w:t>
            </w:r>
            <w:proofErr w:type="spellEnd"/>
            <w:r w:rsidRPr="00076E76">
              <w:rPr>
                <w:rFonts w:ascii="Gill Sans" w:hAnsi="Gill Sans" w:cs="Gill Sans"/>
                <w:szCs w:val="22"/>
              </w:rPr>
              <w:t xml:space="preserve">, A.; Lawson, R. &amp; Leinonen, E. (2015). </w:t>
            </w:r>
            <w:hyperlink r:id="rId103" w:history="1">
              <w:r w:rsidRPr="00EF678F">
                <w:rPr>
                  <w:rStyle w:val="Hyperlink"/>
                  <w:rFonts w:ascii="Gill Sans" w:hAnsi="Gill Sans" w:cs="Gill Sans"/>
                  <w:szCs w:val="22"/>
                </w:rPr>
                <w:t>Putting transition at the centre of whole-of-curriculum transformation</w:t>
              </w:r>
            </w:hyperlink>
            <w:r w:rsidRPr="00076E76">
              <w:rPr>
                <w:rFonts w:ascii="Gill Sans" w:hAnsi="Gill Sans" w:cs="Gill Sans"/>
                <w:szCs w:val="22"/>
              </w:rPr>
              <w:t xml:space="preserve">, </w:t>
            </w:r>
            <w:r w:rsidRPr="00076E76">
              <w:rPr>
                <w:rFonts w:ascii="Gill Sans" w:hAnsi="Gill Sans" w:cs="Gill Sans"/>
                <w:i/>
                <w:szCs w:val="22"/>
              </w:rPr>
              <w:t xml:space="preserve">Student Success, </w:t>
            </w:r>
            <w:r>
              <w:rPr>
                <w:rFonts w:ascii="Gill Sans" w:hAnsi="Gill Sans" w:cs="Gill Sans"/>
                <w:szCs w:val="22"/>
              </w:rPr>
              <w:t>6(2), 73–</w:t>
            </w:r>
            <w:r w:rsidRPr="00076E76">
              <w:rPr>
                <w:rFonts w:ascii="Gill Sans" w:hAnsi="Gill Sans" w:cs="Gill Sans"/>
                <w:szCs w:val="22"/>
              </w:rPr>
              <w:t>79.</w:t>
            </w:r>
          </w:p>
          <w:p w14:paraId="5B2DBDE0" w14:textId="77777777" w:rsidR="00F934ED" w:rsidRPr="00076E76" w:rsidRDefault="00F934ED" w:rsidP="00F934ED">
            <w:pPr>
              <w:rPr>
                <w:rFonts w:ascii="Gill Sans" w:hAnsi="Gill Sans" w:cs="Gill Sans"/>
                <w:szCs w:val="22"/>
              </w:rPr>
            </w:pPr>
          </w:p>
          <w:p w14:paraId="04DA1DCF" w14:textId="77777777" w:rsidR="00F934ED" w:rsidRPr="00076E76" w:rsidRDefault="00F934ED" w:rsidP="00F934ED">
            <w:pPr>
              <w:rPr>
                <w:rFonts w:ascii="Gill Sans" w:hAnsi="Gill Sans" w:cs="Gill Sans"/>
                <w:szCs w:val="22"/>
              </w:rPr>
            </w:pPr>
            <w:r w:rsidRPr="00076E76">
              <w:rPr>
                <w:rFonts w:ascii="Gill Sans" w:hAnsi="Gill Sans" w:cs="Gill Sans"/>
                <w:szCs w:val="22"/>
              </w:rPr>
              <w:t>AUS</w:t>
            </w:r>
          </w:p>
          <w:p w14:paraId="3F5B44CE"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6ABF0E74" w14:textId="77777777" w:rsidR="00F934ED" w:rsidRPr="00076E76" w:rsidRDefault="00F934ED" w:rsidP="00F934ED">
            <w:pPr>
              <w:rPr>
                <w:rFonts w:ascii="Gill Sans" w:hAnsi="Gill Sans" w:cs="Gill Sans"/>
                <w:szCs w:val="22"/>
              </w:rPr>
            </w:pPr>
          </w:p>
          <w:p w14:paraId="2517CEB7" w14:textId="3F2E66E5" w:rsidR="00F934ED" w:rsidRPr="00076E76" w:rsidRDefault="00F934ED" w:rsidP="00F934ED">
            <w:pPr>
              <w:rPr>
                <w:rFonts w:ascii="Gill Sans" w:hAnsi="Gill Sans" w:cs="Gill Sans"/>
                <w:b/>
                <w:szCs w:val="22"/>
              </w:rPr>
            </w:pPr>
          </w:p>
        </w:tc>
        <w:tc>
          <w:tcPr>
            <w:tcW w:w="10064" w:type="dxa"/>
          </w:tcPr>
          <w:p w14:paraId="31B7B2A1" w14:textId="1C7D05E9"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sidRPr="00076E76">
              <w:rPr>
                <w:rFonts w:ascii="Gill Sans" w:hAnsi="Gill Sans" w:cs="Gill Sans"/>
                <w:color w:val="000000"/>
                <w:szCs w:val="22"/>
                <w:lang w:val="en-AU"/>
              </w:rPr>
              <w:t>Australian higher education/ University of Wollongong’s ‘Curriculum Transformation Project’ (CTP)</w:t>
            </w:r>
          </w:p>
          <w:p w14:paraId="6F4C9FD4" w14:textId="5480E1EC"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sidRPr="00076E76">
              <w:rPr>
                <w:rFonts w:ascii="Gill Sans" w:hAnsi="Gill Sans" w:cs="Gill Sans"/>
                <w:color w:val="000000"/>
                <w:szCs w:val="22"/>
                <w:lang w:val="en-AU"/>
              </w:rPr>
              <w:t xml:space="preserve">To describe </w:t>
            </w:r>
            <w:proofErr w:type="spellStart"/>
            <w:r w:rsidRPr="00076E76">
              <w:rPr>
                <w:rFonts w:ascii="Gill Sans" w:hAnsi="Gill Sans" w:cs="Gill Sans"/>
                <w:color w:val="000000"/>
                <w:szCs w:val="22"/>
                <w:lang w:val="en-AU"/>
              </w:rPr>
              <w:t>UoW</w:t>
            </w:r>
            <w:proofErr w:type="spellEnd"/>
            <w:r w:rsidRPr="00076E76">
              <w:rPr>
                <w:rFonts w:ascii="Gill Sans" w:hAnsi="Gill Sans" w:cs="Gill Sans"/>
                <w:color w:val="000000"/>
                <w:szCs w:val="22"/>
                <w:lang w:val="en-AU"/>
              </w:rPr>
              <w:t xml:space="preserve"> whole-of-curriculum transition intervention; to extend notion of transition pedagogy</w:t>
            </w:r>
          </w:p>
          <w:p w14:paraId="699C83F2" w14:textId="77A7259A"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Theoretical frame: </w:t>
            </w:r>
            <w:proofErr w:type="spellStart"/>
            <w:r w:rsidRPr="00076E76">
              <w:rPr>
                <w:rFonts w:ascii="Gill Sans" w:hAnsi="Gill Sans" w:cs="Gill Sans"/>
                <w:color w:val="000000"/>
                <w:szCs w:val="22"/>
                <w:lang w:val="en-AU"/>
              </w:rPr>
              <w:t>Kift’s</w:t>
            </w:r>
            <w:proofErr w:type="spellEnd"/>
            <w:r w:rsidRPr="00076E76">
              <w:rPr>
                <w:rFonts w:ascii="Gill Sans" w:hAnsi="Gill Sans" w:cs="Gill Sans"/>
                <w:color w:val="000000"/>
                <w:szCs w:val="22"/>
                <w:lang w:val="en-AU"/>
              </w:rPr>
              <w:t xml:space="preserve"> transition pedagogy</w:t>
            </w:r>
          </w:p>
          <w:p w14:paraId="347EC58A" w14:textId="076AE739"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Contribution: </w:t>
            </w:r>
            <w:r w:rsidRPr="00076E76">
              <w:rPr>
                <w:rFonts w:ascii="Gill Sans" w:hAnsi="Gill Sans" w:cs="Gill Sans"/>
                <w:color w:val="000000"/>
                <w:szCs w:val="22"/>
                <w:lang w:val="en-AU"/>
              </w:rPr>
              <w:t>Description</w:t>
            </w:r>
          </w:p>
          <w:p w14:paraId="2B351ED8"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Findings: </w:t>
            </w:r>
          </w:p>
          <w:p w14:paraId="76C5B122" w14:textId="6741705F" w:rsidR="00F934ED" w:rsidRPr="00076E76" w:rsidRDefault="00F934ED" w:rsidP="00F934ED">
            <w:pPr>
              <w:rPr>
                <w:rFonts w:ascii="Gill Sans" w:hAnsi="Gill Sans" w:cs="Gill Sans"/>
                <w:i/>
                <w:color w:val="000000"/>
                <w:szCs w:val="22"/>
                <w:lang w:val="en-AU"/>
              </w:rPr>
            </w:pPr>
            <w:r w:rsidRPr="00076E76">
              <w:rPr>
                <w:rFonts w:ascii="Gill Sans" w:hAnsi="Gill Sans" w:cs="Gill Sans"/>
                <w:color w:val="000000"/>
                <w:szCs w:val="22"/>
                <w:lang w:val="en-AU"/>
              </w:rPr>
              <w:t xml:space="preserve">UOW CTP = 3 design principles: </w:t>
            </w:r>
            <w:r w:rsidRPr="00076E76">
              <w:rPr>
                <w:rFonts w:ascii="Gill Sans" w:hAnsi="Gill Sans" w:cs="Gill Sans"/>
                <w:i/>
                <w:color w:val="000000"/>
                <w:szCs w:val="22"/>
                <w:lang w:val="en-AU"/>
              </w:rPr>
              <w:t xml:space="preserve">transition, synthesis, broadening, </w:t>
            </w:r>
            <w:r w:rsidRPr="00076E76">
              <w:rPr>
                <w:rFonts w:ascii="Gill Sans" w:hAnsi="Gill Sans" w:cs="Gill Sans"/>
                <w:color w:val="000000"/>
                <w:szCs w:val="22"/>
                <w:lang w:val="en-AU"/>
              </w:rPr>
              <w:t xml:space="preserve">with sub-principles of assessment (assisted by Chris Rust and David </w:t>
            </w:r>
            <w:proofErr w:type="spellStart"/>
            <w:r w:rsidRPr="00076E76">
              <w:rPr>
                <w:rFonts w:ascii="Gill Sans" w:hAnsi="Gill Sans" w:cs="Gill Sans"/>
                <w:color w:val="000000"/>
                <w:szCs w:val="22"/>
                <w:lang w:val="en-AU"/>
              </w:rPr>
              <w:t>Boud</w:t>
            </w:r>
            <w:proofErr w:type="spellEnd"/>
            <w:r w:rsidRPr="00076E76">
              <w:rPr>
                <w:rFonts w:ascii="Gill Sans" w:hAnsi="Gill Sans" w:cs="Gill Sans"/>
                <w:color w:val="000000"/>
                <w:szCs w:val="22"/>
                <w:lang w:val="en-AU"/>
              </w:rPr>
              <w:t>), co-curricular award program, CPD</w:t>
            </w:r>
            <w:r w:rsidRPr="00076E76">
              <w:rPr>
                <w:rFonts w:ascii="Gill Sans" w:hAnsi="Gill Sans" w:cs="Gill Sans"/>
                <w:i/>
                <w:color w:val="000000"/>
                <w:szCs w:val="22"/>
                <w:lang w:val="en-AU"/>
              </w:rPr>
              <w:t>.</w:t>
            </w:r>
          </w:p>
          <w:p w14:paraId="09DFA3DD" w14:textId="77777777" w:rsidR="00F934ED" w:rsidRPr="00076E76" w:rsidRDefault="00F934ED" w:rsidP="00F934ED">
            <w:pPr>
              <w:rPr>
                <w:rFonts w:ascii="Gill Sans" w:hAnsi="Gill Sans" w:cs="Gill Sans"/>
                <w:b/>
                <w:color w:val="000000"/>
                <w:szCs w:val="22"/>
                <w:lang w:val="en-AU"/>
              </w:rPr>
            </w:pPr>
            <w:r w:rsidRPr="00076E76">
              <w:rPr>
                <w:rFonts w:ascii="Gill Sans" w:hAnsi="Gill Sans" w:cs="Gill Sans"/>
                <w:b/>
                <w:color w:val="000000"/>
                <w:szCs w:val="22"/>
                <w:lang w:val="en-AU"/>
              </w:rPr>
              <w:t>Proposed additions to transition pedagogy:</w:t>
            </w:r>
          </w:p>
          <w:p w14:paraId="5491E1A3"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1) Narratives of purpose – make relevance of particular curricula choices so students can see overarching narrative of degree/ higher education</w:t>
            </w:r>
          </w:p>
          <w:p w14:paraId="6AF1C82E"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 xml:space="preserve">2) Reflection </w:t>
            </w:r>
          </w:p>
          <w:p w14:paraId="4B2844CD"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3) Assessment literacy – developmental view of assessment (beyond dichotomy of formative/ summative)</w:t>
            </w:r>
          </w:p>
          <w:p w14:paraId="2681B054"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 xml:space="preserve">4) Capacity </w:t>
            </w:r>
            <w:proofErr w:type="gramStart"/>
            <w:r w:rsidRPr="00076E76">
              <w:rPr>
                <w:rFonts w:ascii="Gill Sans" w:hAnsi="Gill Sans" w:cs="Gill Sans"/>
                <w:color w:val="000000"/>
                <w:szCs w:val="22"/>
                <w:lang w:val="en-AU"/>
              </w:rPr>
              <w:t>building .</w:t>
            </w:r>
            <w:proofErr w:type="gramEnd"/>
          </w:p>
          <w:p w14:paraId="0085653B" w14:textId="4570C634"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Transition pedagogy = embedded in following ways at UOW (see p.78):</w:t>
            </w:r>
          </w:p>
          <w:p w14:paraId="655BB957"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FYE</w:t>
            </w:r>
          </w:p>
          <w:p w14:paraId="6A038282"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My Portfolio</w:t>
            </w:r>
          </w:p>
          <w:p w14:paraId="127094FB"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Hybrid Learning</w:t>
            </w:r>
          </w:p>
          <w:p w14:paraId="3D688F96"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Connections Subjects</w:t>
            </w:r>
          </w:p>
          <w:p w14:paraId="12FF80B5" w14:textId="5123F01B"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Capstone Experience</w:t>
            </w:r>
            <w:r w:rsidRPr="00076E76">
              <w:rPr>
                <w:rFonts w:ascii="Gill Sans" w:hAnsi="Gill Sans" w:cs="Gill Sans"/>
                <w:b/>
                <w:color w:val="000000"/>
                <w:szCs w:val="22"/>
                <w:lang w:val="en-AU"/>
              </w:rPr>
              <w:br/>
              <w:t xml:space="preserve">Core argument: </w:t>
            </w:r>
            <w:r w:rsidRPr="00076E76">
              <w:rPr>
                <w:rFonts w:ascii="Gill Sans" w:hAnsi="Gill Sans" w:cs="Gill Sans"/>
                <w:color w:val="000000"/>
                <w:szCs w:val="22"/>
                <w:lang w:val="en-AU"/>
              </w:rPr>
              <w:t>Updated version of transition pedagogy proposed by authors = p.77</w:t>
            </w:r>
          </w:p>
          <w:p w14:paraId="1D576AFA" w14:textId="25F5AF52" w:rsidR="00F934ED" w:rsidRPr="00076E76" w:rsidRDefault="00F934ED" w:rsidP="00F934ED">
            <w:pPr>
              <w:pStyle w:val="ListParagraph"/>
              <w:numPr>
                <w:ilvl w:val="0"/>
                <w:numId w:val="19"/>
              </w:numPr>
              <w:rPr>
                <w:rFonts w:ascii="Gill Sans" w:hAnsi="Gill Sans" w:cs="Gill Sans"/>
                <w:color w:val="000000"/>
                <w:szCs w:val="22"/>
              </w:rPr>
            </w:pPr>
            <w:r w:rsidRPr="00076E76">
              <w:rPr>
                <w:rFonts w:ascii="Gill Sans" w:hAnsi="Gill Sans" w:cs="Gill Sans"/>
                <w:color w:val="000000"/>
                <w:szCs w:val="22"/>
                <w:lang w:val="en-AU"/>
              </w:rPr>
              <w:t>“</w:t>
            </w:r>
            <w:r w:rsidRPr="00076E76">
              <w:rPr>
                <w:rFonts w:ascii="Gill Sans" w:hAnsi="Gill Sans" w:cs="Gill Sans"/>
                <w:color w:val="000000"/>
                <w:szCs w:val="22"/>
              </w:rPr>
              <w:t xml:space="preserve">recognises and facilitates the needs of </w:t>
            </w:r>
            <w:proofErr w:type="gramStart"/>
            <w:r w:rsidRPr="00076E76">
              <w:rPr>
                <w:rFonts w:ascii="Gill Sans" w:hAnsi="Gill Sans" w:cs="Gill Sans"/>
                <w:color w:val="000000"/>
                <w:szCs w:val="22"/>
              </w:rPr>
              <w:t>diverse  student</w:t>
            </w:r>
            <w:proofErr w:type="gramEnd"/>
            <w:r w:rsidRPr="00076E76">
              <w:rPr>
                <w:rFonts w:ascii="Gill Sans" w:hAnsi="Gill Sans" w:cs="Gill Sans"/>
                <w:color w:val="000000"/>
                <w:szCs w:val="22"/>
              </w:rPr>
              <w:t xml:space="preserve"> cohorts;</w:t>
            </w:r>
          </w:p>
          <w:p w14:paraId="20021D20" w14:textId="1C3E5286" w:rsidR="00F934ED" w:rsidRPr="00076E76" w:rsidRDefault="00F934ED" w:rsidP="00F934ED">
            <w:pPr>
              <w:pStyle w:val="ListParagraph"/>
              <w:numPr>
                <w:ilvl w:val="0"/>
                <w:numId w:val="19"/>
              </w:numPr>
              <w:rPr>
                <w:rFonts w:ascii="Gill Sans" w:hAnsi="Gill Sans" w:cs="Gill Sans"/>
                <w:color w:val="000000"/>
                <w:szCs w:val="22"/>
              </w:rPr>
            </w:pPr>
            <w:r w:rsidRPr="00076E76">
              <w:rPr>
                <w:rFonts w:ascii="Gill Sans" w:hAnsi="Gill Sans" w:cs="Gill Sans"/>
                <w:color w:val="000000"/>
                <w:szCs w:val="22"/>
              </w:rPr>
              <w:t xml:space="preserve">is facilitated by focused capacity </w:t>
            </w:r>
            <w:proofErr w:type="gramStart"/>
            <w:r w:rsidRPr="00076E76">
              <w:rPr>
                <w:rFonts w:ascii="Gill Sans" w:hAnsi="Gill Sans" w:cs="Gill Sans"/>
                <w:color w:val="000000"/>
                <w:szCs w:val="22"/>
              </w:rPr>
              <w:t>building  opportunities</w:t>
            </w:r>
            <w:proofErr w:type="gramEnd"/>
            <w:r w:rsidRPr="00076E76">
              <w:rPr>
                <w:rFonts w:ascii="Gill Sans" w:hAnsi="Gill Sans" w:cs="Gill Sans"/>
                <w:color w:val="000000"/>
                <w:szCs w:val="22"/>
              </w:rPr>
              <w:t xml:space="preserve"> for both staff and students;</w:t>
            </w:r>
          </w:p>
          <w:p w14:paraId="67E0B85E" w14:textId="7A1EB1F9" w:rsidR="00F934ED" w:rsidRPr="00076E76" w:rsidRDefault="00F934ED" w:rsidP="00F934ED">
            <w:pPr>
              <w:pStyle w:val="ListParagraph"/>
              <w:numPr>
                <w:ilvl w:val="0"/>
                <w:numId w:val="19"/>
              </w:numPr>
              <w:rPr>
                <w:rFonts w:ascii="Gill Sans" w:hAnsi="Gill Sans" w:cs="Gill Sans"/>
                <w:color w:val="000000"/>
                <w:szCs w:val="22"/>
              </w:rPr>
            </w:pPr>
            <w:r w:rsidRPr="00076E76">
              <w:rPr>
                <w:rFonts w:ascii="Gill Sans" w:hAnsi="Gill Sans" w:cs="Gill Sans"/>
                <w:color w:val="000000"/>
                <w:szCs w:val="22"/>
              </w:rPr>
              <w:t xml:space="preserve">introduces and develops knowledge, skills, and attitudes through a linked </w:t>
            </w:r>
            <w:proofErr w:type="gramStart"/>
            <w:r w:rsidRPr="00076E76">
              <w:rPr>
                <w:rFonts w:ascii="Gill Sans" w:hAnsi="Gill Sans" w:cs="Gill Sans"/>
                <w:color w:val="000000"/>
                <w:szCs w:val="22"/>
              </w:rPr>
              <w:t>sequence  of</w:t>
            </w:r>
            <w:proofErr w:type="gramEnd"/>
            <w:r w:rsidRPr="00076E76">
              <w:rPr>
                <w:rFonts w:ascii="Gill Sans" w:hAnsi="Gill Sans" w:cs="Gill Sans"/>
                <w:color w:val="000000"/>
                <w:szCs w:val="22"/>
              </w:rPr>
              <w:t xml:space="preserve"> learning opportunities;</w:t>
            </w:r>
          </w:p>
          <w:p w14:paraId="66504FDD" w14:textId="3C4CEF1A" w:rsidR="00F934ED" w:rsidRPr="00076E76" w:rsidRDefault="00F934ED" w:rsidP="00F934ED">
            <w:pPr>
              <w:pStyle w:val="ListParagraph"/>
              <w:numPr>
                <w:ilvl w:val="0"/>
                <w:numId w:val="19"/>
              </w:numPr>
              <w:rPr>
                <w:rFonts w:ascii="Gill Sans" w:hAnsi="Gill Sans" w:cs="Gill Sans"/>
                <w:color w:val="000000"/>
                <w:szCs w:val="22"/>
              </w:rPr>
            </w:pPr>
            <w:r w:rsidRPr="00076E76">
              <w:rPr>
                <w:rFonts w:ascii="Gill Sans" w:hAnsi="Gill Sans" w:cs="Gill Sans"/>
                <w:color w:val="000000"/>
                <w:szCs w:val="22"/>
              </w:rPr>
              <w:t xml:space="preserve">builds </w:t>
            </w:r>
            <w:proofErr w:type="gramStart"/>
            <w:r w:rsidRPr="00076E76">
              <w:rPr>
                <w:rFonts w:ascii="Gill Sans" w:hAnsi="Gill Sans" w:cs="Gill Sans"/>
                <w:color w:val="000000"/>
                <w:szCs w:val="22"/>
              </w:rPr>
              <w:t>engagement  and</w:t>
            </w:r>
            <w:proofErr w:type="gramEnd"/>
            <w:r w:rsidRPr="00076E76">
              <w:rPr>
                <w:rFonts w:ascii="Gill Sans" w:hAnsi="Gill Sans" w:cs="Gill Sans"/>
                <w:color w:val="000000"/>
                <w:szCs w:val="22"/>
              </w:rPr>
              <w:t xml:space="preserve"> belonging  through active and collaborative learning;</w:t>
            </w:r>
          </w:p>
          <w:p w14:paraId="04C6AAC5" w14:textId="1BEFDB29" w:rsidR="00F934ED" w:rsidRPr="00076E76" w:rsidRDefault="00F934ED" w:rsidP="00F934ED">
            <w:pPr>
              <w:pStyle w:val="ListParagraph"/>
              <w:numPr>
                <w:ilvl w:val="0"/>
                <w:numId w:val="19"/>
              </w:numPr>
              <w:rPr>
                <w:rFonts w:ascii="Gill Sans" w:hAnsi="Gill Sans" w:cs="Gill Sans"/>
                <w:color w:val="000000"/>
                <w:szCs w:val="22"/>
              </w:rPr>
            </w:pPr>
            <w:r w:rsidRPr="00076E76">
              <w:rPr>
                <w:rFonts w:ascii="Gill Sans" w:hAnsi="Gill Sans" w:cs="Gill Sans"/>
                <w:color w:val="000000"/>
                <w:szCs w:val="22"/>
              </w:rPr>
              <w:t xml:space="preserve">builds assessment </w:t>
            </w:r>
            <w:proofErr w:type="gramStart"/>
            <w:r w:rsidRPr="00076E76">
              <w:rPr>
                <w:rFonts w:ascii="Gill Sans" w:hAnsi="Gill Sans" w:cs="Gill Sans"/>
                <w:color w:val="000000"/>
                <w:szCs w:val="22"/>
              </w:rPr>
              <w:t>literacy  that</w:t>
            </w:r>
            <w:proofErr w:type="gramEnd"/>
            <w:r w:rsidRPr="00076E76">
              <w:rPr>
                <w:rFonts w:ascii="Gill Sans" w:hAnsi="Gill Sans" w:cs="Gill Sans"/>
                <w:color w:val="000000"/>
                <w:szCs w:val="22"/>
              </w:rPr>
              <w:t xml:space="preserve"> develops student’s capacity to </w:t>
            </w:r>
            <w:proofErr w:type="spellStart"/>
            <w:r w:rsidRPr="00076E76">
              <w:rPr>
                <w:rFonts w:ascii="Gill Sans" w:hAnsi="Gill Sans" w:cs="Gill Sans"/>
                <w:color w:val="000000"/>
                <w:szCs w:val="22"/>
              </w:rPr>
              <w:t>self assess</w:t>
            </w:r>
            <w:proofErr w:type="spellEnd"/>
            <w:r w:rsidRPr="00076E76">
              <w:rPr>
                <w:rFonts w:ascii="Gill Sans" w:hAnsi="Gill Sans" w:cs="Gill Sans"/>
                <w:color w:val="000000"/>
                <w:szCs w:val="22"/>
              </w:rPr>
              <w:t xml:space="preserve"> and engage in sustainable lifelong learning;</w:t>
            </w:r>
          </w:p>
          <w:p w14:paraId="3361CF09" w14:textId="3E774A45" w:rsidR="00F934ED" w:rsidRPr="00076E76" w:rsidRDefault="00F934ED" w:rsidP="00F934ED">
            <w:pPr>
              <w:pStyle w:val="ListParagraph"/>
              <w:numPr>
                <w:ilvl w:val="0"/>
                <w:numId w:val="19"/>
              </w:numPr>
              <w:rPr>
                <w:rFonts w:ascii="Gill Sans" w:hAnsi="Gill Sans" w:cs="Gill Sans"/>
                <w:color w:val="000000"/>
                <w:szCs w:val="22"/>
              </w:rPr>
            </w:pPr>
            <w:r w:rsidRPr="00076E76">
              <w:rPr>
                <w:rFonts w:ascii="Gill Sans" w:hAnsi="Gill Sans" w:cs="Gill Sans"/>
                <w:color w:val="000000"/>
                <w:szCs w:val="22"/>
              </w:rPr>
              <w:t xml:space="preserve">establishes </w:t>
            </w:r>
            <w:proofErr w:type="gramStart"/>
            <w:r w:rsidRPr="00076E76">
              <w:rPr>
                <w:rFonts w:ascii="Gill Sans" w:hAnsi="Gill Sans" w:cs="Gill Sans"/>
                <w:color w:val="000000"/>
                <w:szCs w:val="22"/>
              </w:rPr>
              <w:t>closure  at</w:t>
            </w:r>
            <w:proofErr w:type="gramEnd"/>
            <w:r w:rsidRPr="00076E76">
              <w:rPr>
                <w:rFonts w:ascii="Gill Sans" w:hAnsi="Gill Sans" w:cs="Gill Sans"/>
                <w:color w:val="000000"/>
                <w:szCs w:val="22"/>
              </w:rPr>
              <w:t xml:space="preserve"> key points of the learning journey to allow students to integrate and </w:t>
            </w:r>
            <w:proofErr w:type="spellStart"/>
            <w:r w:rsidRPr="00076E76">
              <w:rPr>
                <w:rFonts w:ascii="Gill Sans" w:hAnsi="Gill Sans" w:cs="Gill Sans"/>
                <w:color w:val="000000"/>
                <w:szCs w:val="22"/>
              </w:rPr>
              <w:t>synthesise</w:t>
            </w:r>
            <w:proofErr w:type="spellEnd"/>
            <w:r w:rsidRPr="00076E76">
              <w:rPr>
                <w:rFonts w:ascii="Gill Sans" w:hAnsi="Gill Sans" w:cs="Gill Sans"/>
                <w:color w:val="000000"/>
                <w:szCs w:val="22"/>
              </w:rPr>
              <w:t xml:space="preserve"> knowledge, skills, and attitudes;</w:t>
            </w:r>
          </w:p>
          <w:p w14:paraId="31EF9C47" w14:textId="5A4A33F9" w:rsidR="00F934ED" w:rsidRPr="00076E76" w:rsidRDefault="00F934ED" w:rsidP="00F934ED">
            <w:pPr>
              <w:pStyle w:val="ListParagraph"/>
              <w:numPr>
                <w:ilvl w:val="0"/>
                <w:numId w:val="19"/>
              </w:numPr>
              <w:rPr>
                <w:rFonts w:ascii="Gill Sans" w:hAnsi="Gill Sans" w:cs="Gill Sans"/>
                <w:color w:val="000000"/>
                <w:szCs w:val="22"/>
              </w:rPr>
            </w:pPr>
            <w:r w:rsidRPr="00076E76">
              <w:rPr>
                <w:rFonts w:ascii="Gill Sans" w:hAnsi="Gill Sans" w:cs="Gill Sans"/>
                <w:color w:val="000000"/>
                <w:szCs w:val="22"/>
              </w:rPr>
              <w:lastRenderedPageBreak/>
              <w:t xml:space="preserve">facilitates </w:t>
            </w:r>
            <w:proofErr w:type="gramStart"/>
            <w:r w:rsidRPr="00076E76">
              <w:rPr>
                <w:rFonts w:ascii="Gill Sans" w:hAnsi="Gill Sans" w:cs="Gill Sans"/>
                <w:color w:val="000000"/>
                <w:szCs w:val="22"/>
              </w:rPr>
              <w:t>reflection  that</w:t>
            </w:r>
            <w:proofErr w:type="gramEnd"/>
            <w:r w:rsidRPr="00076E76">
              <w:rPr>
                <w:rFonts w:ascii="Gill Sans" w:hAnsi="Gill Sans" w:cs="Gill Sans"/>
                <w:color w:val="000000"/>
                <w:szCs w:val="22"/>
              </w:rPr>
              <w:t xml:space="preserve"> allows students to recognise, assess and integrate their capabilities and performance;</w:t>
            </w:r>
          </w:p>
          <w:p w14:paraId="0AC1450B" w14:textId="1D9AE477" w:rsidR="00F934ED" w:rsidRPr="00076E76" w:rsidRDefault="00F934ED" w:rsidP="00F934ED">
            <w:pPr>
              <w:pStyle w:val="ListParagraph"/>
              <w:numPr>
                <w:ilvl w:val="0"/>
                <w:numId w:val="19"/>
              </w:numPr>
              <w:rPr>
                <w:rFonts w:ascii="Gill Sans" w:hAnsi="Gill Sans" w:cs="Gill Sans"/>
                <w:color w:val="000000"/>
                <w:szCs w:val="22"/>
              </w:rPr>
            </w:pPr>
            <w:r w:rsidRPr="00076E76">
              <w:rPr>
                <w:rFonts w:ascii="Gill Sans" w:hAnsi="Gill Sans" w:cs="Gill Sans"/>
                <w:color w:val="000000"/>
                <w:szCs w:val="22"/>
              </w:rPr>
              <w:t xml:space="preserve">creates transparent sense-making </w:t>
            </w:r>
            <w:proofErr w:type="gramStart"/>
            <w:r w:rsidRPr="00076E76">
              <w:rPr>
                <w:rFonts w:ascii="Gill Sans" w:hAnsi="Gill Sans" w:cs="Gill Sans"/>
                <w:color w:val="000000"/>
                <w:szCs w:val="22"/>
              </w:rPr>
              <w:t>narratives  through</w:t>
            </w:r>
            <w:proofErr w:type="gramEnd"/>
            <w:r w:rsidRPr="00076E76">
              <w:rPr>
                <w:rFonts w:ascii="Gill Sans" w:hAnsi="Gill Sans" w:cs="Gill Sans"/>
                <w:color w:val="000000"/>
                <w:szCs w:val="22"/>
              </w:rPr>
              <w:t xml:space="preserve"> negotiating clear objectives and learning processes and making explicit links between a range of learning activities to build a sense of purpose ;</w:t>
            </w:r>
          </w:p>
          <w:p w14:paraId="6498EE06" w14:textId="41756D7A" w:rsidR="00F934ED" w:rsidRPr="00076E76" w:rsidRDefault="00F934ED" w:rsidP="00F934ED">
            <w:pPr>
              <w:pStyle w:val="ListParagraph"/>
              <w:numPr>
                <w:ilvl w:val="0"/>
                <w:numId w:val="19"/>
              </w:numPr>
              <w:rPr>
                <w:rFonts w:ascii="Gill Sans" w:hAnsi="Gill Sans" w:cs="Gill Sans"/>
                <w:color w:val="000000"/>
                <w:szCs w:val="22"/>
              </w:rPr>
            </w:pPr>
            <w:r w:rsidRPr="00076E76">
              <w:rPr>
                <w:rFonts w:ascii="Gill Sans" w:hAnsi="Gill Sans" w:cs="Gill Sans"/>
                <w:color w:val="000000"/>
                <w:szCs w:val="22"/>
              </w:rPr>
              <w:t>creates integrated pathways between curricular and co-curricular learning opportunities and supports;</w:t>
            </w:r>
          </w:p>
          <w:p w14:paraId="06040279" w14:textId="2ABD2B72" w:rsidR="00F934ED" w:rsidRPr="00076E76" w:rsidRDefault="00F934ED" w:rsidP="00F934ED">
            <w:pPr>
              <w:pStyle w:val="ListParagraph"/>
              <w:numPr>
                <w:ilvl w:val="0"/>
                <w:numId w:val="19"/>
              </w:numPr>
              <w:rPr>
                <w:rFonts w:ascii="Gill Sans" w:hAnsi="Gill Sans" w:cs="Gill Sans"/>
                <w:color w:val="000000"/>
                <w:szCs w:val="22"/>
              </w:rPr>
            </w:pPr>
            <w:r w:rsidRPr="00076E76">
              <w:rPr>
                <w:rFonts w:ascii="Gill Sans" w:hAnsi="Gill Sans" w:cs="Gill Sans"/>
                <w:color w:val="000000"/>
                <w:szCs w:val="22"/>
              </w:rPr>
              <w:t xml:space="preserve">integrates a variety of </w:t>
            </w:r>
            <w:proofErr w:type="gramStart"/>
            <w:r w:rsidRPr="00076E76">
              <w:rPr>
                <w:rFonts w:ascii="Gill Sans" w:hAnsi="Gill Sans" w:cs="Gill Sans"/>
                <w:color w:val="000000"/>
                <w:szCs w:val="22"/>
              </w:rPr>
              <w:t>monitoring  processes</w:t>
            </w:r>
            <w:proofErr w:type="gramEnd"/>
            <w:r w:rsidRPr="00076E76">
              <w:rPr>
                <w:rFonts w:ascii="Gill Sans" w:hAnsi="Gill Sans" w:cs="Gill Sans"/>
                <w:color w:val="000000"/>
                <w:szCs w:val="22"/>
              </w:rPr>
              <w:t xml:space="preserve"> that include subject-based formative feedback and subject and</w:t>
            </w:r>
          </w:p>
          <w:p w14:paraId="6CB56952" w14:textId="3ACB49D1" w:rsidR="00F934ED" w:rsidRPr="00076E76" w:rsidRDefault="00F934ED" w:rsidP="00F934ED">
            <w:pPr>
              <w:pStyle w:val="ListParagraph"/>
              <w:numPr>
                <w:ilvl w:val="0"/>
                <w:numId w:val="19"/>
              </w:numPr>
              <w:rPr>
                <w:rFonts w:ascii="Gill Sans" w:hAnsi="Gill Sans" w:cs="Gill Sans"/>
                <w:color w:val="000000"/>
                <w:szCs w:val="22"/>
              </w:rPr>
            </w:pPr>
            <w:r w:rsidRPr="00076E76">
              <w:rPr>
                <w:rFonts w:ascii="Gill Sans" w:hAnsi="Gill Sans" w:cs="Gill Sans"/>
                <w:color w:val="000000"/>
                <w:szCs w:val="22"/>
              </w:rPr>
              <w:t>course-based data analytics to enable tracking of individual student experience and tailoring of appropriate support; and</w:t>
            </w:r>
          </w:p>
          <w:p w14:paraId="1D61FFD9" w14:textId="3697BF9F" w:rsidR="00F934ED" w:rsidRPr="00076E76" w:rsidRDefault="00F934ED" w:rsidP="00F934ED">
            <w:pPr>
              <w:pStyle w:val="ListParagraph"/>
              <w:numPr>
                <w:ilvl w:val="0"/>
                <w:numId w:val="19"/>
              </w:numPr>
              <w:rPr>
                <w:rFonts w:ascii="Gill Sans" w:hAnsi="Gill Sans" w:cs="Gill Sans"/>
                <w:color w:val="000000"/>
                <w:szCs w:val="22"/>
                <w:lang w:val="en-AU"/>
              </w:rPr>
            </w:pPr>
            <w:r w:rsidRPr="00076E76">
              <w:rPr>
                <w:rFonts w:ascii="Gill Sans" w:hAnsi="Gill Sans" w:cs="Gill Sans"/>
                <w:color w:val="000000"/>
                <w:szCs w:val="22"/>
              </w:rPr>
              <w:t xml:space="preserve">engages in a rigorous cycle of evaluation and </w:t>
            </w:r>
            <w:proofErr w:type="gramStart"/>
            <w:r w:rsidRPr="00076E76">
              <w:rPr>
                <w:rFonts w:ascii="Gill Sans" w:hAnsi="Gill Sans" w:cs="Gill Sans"/>
                <w:color w:val="000000"/>
                <w:szCs w:val="22"/>
              </w:rPr>
              <w:t>renewal  that</w:t>
            </w:r>
            <w:proofErr w:type="gramEnd"/>
            <w:r w:rsidRPr="00076E76">
              <w:rPr>
                <w:rFonts w:ascii="Gill Sans" w:hAnsi="Gill Sans" w:cs="Gill Sans"/>
                <w:color w:val="000000"/>
                <w:szCs w:val="22"/>
              </w:rPr>
              <w:t xml:space="preserve"> measures effectiveness of the curriculum and informs its iterative redesign”.</w:t>
            </w:r>
          </w:p>
        </w:tc>
      </w:tr>
      <w:tr w:rsidR="00F934ED" w:rsidRPr="00076E76" w14:paraId="71A4BD7B" w14:textId="77777777" w:rsidTr="002E557C">
        <w:tc>
          <w:tcPr>
            <w:tcW w:w="5529" w:type="dxa"/>
          </w:tcPr>
          <w:p w14:paraId="2E482E34" w14:textId="0F7F2D20" w:rsidR="00F934ED" w:rsidRPr="00076E76" w:rsidRDefault="00F934ED" w:rsidP="00F934ED">
            <w:pPr>
              <w:rPr>
                <w:rFonts w:ascii="Gill Sans" w:hAnsi="Gill Sans" w:cs="Gill Sans"/>
                <w:szCs w:val="22"/>
              </w:rPr>
            </w:pPr>
            <w:r w:rsidRPr="00076E76">
              <w:rPr>
                <w:rFonts w:ascii="Gill Sans" w:hAnsi="Gill Sans" w:cs="Gill Sans"/>
                <w:szCs w:val="22"/>
              </w:rPr>
              <w:lastRenderedPageBreak/>
              <w:t xml:space="preserve">O’Donnell, V. &amp; </w:t>
            </w:r>
            <w:proofErr w:type="spellStart"/>
            <w:r w:rsidRPr="00076E76">
              <w:rPr>
                <w:rFonts w:ascii="Gill Sans" w:hAnsi="Gill Sans" w:cs="Gill Sans"/>
                <w:szCs w:val="22"/>
              </w:rPr>
              <w:t>Tobbell</w:t>
            </w:r>
            <w:proofErr w:type="spellEnd"/>
            <w:r w:rsidRPr="00076E76">
              <w:rPr>
                <w:rFonts w:ascii="Gill Sans" w:hAnsi="Gill Sans" w:cs="Gill Sans"/>
                <w:szCs w:val="22"/>
              </w:rPr>
              <w:t xml:space="preserve">, J. (2007). </w:t>
            </w:r>
            <w:hyperlink r:id="rId104" w:history="1">
              <w:r w:rsidRPr="00EF678F">
                <w:rPr>
                  <w:rStyle w:val="Hyperlink"/>
                  <w:rFonts w:ascii="Gill Sans" w:hAnsi="Gill Sans" w:cs="Gill Sans"/>
                  <w:szCs w:val="22"/>
                </w:rPr>
                <w:t xml:space="preserve">The Transition of Adult Students </w:t>
              </w:r>
              <w:proofErr w:type="gramStart"/>
              <w:r w:rsidRPr="00EF678F">
                <w:rPr>
                  <w:rStyle w:val="Hyperlink"/>
                  <w:rFonts w:ascii="Gill Sans" w:hAnsi="Gill Sans" w:cs="Gill Sans"/>
                  <w:szCs w:val="22"/>
                </w:rPr>
                <w:t>To</w:t>
              </w:r>
              <w:proofErr w:type="gramEnd"/>
              <w:r w:rsidRPr="00EF678F">
                <w:rPr>
                  <w:rStyle w:val="Hyperlink"/>
                  <w:rFonts w:ascii="Gill Sans" w:hAnsi="Gill Sans" w:cs="Gill Sans"/>
                  <w:szCs w:val="22"/>
                </w:rPr>
                <w:t xml:space="preserve"> Higher Education: Legitimate Peripheral Participation In A Community Of Practice</w:t>
              </w:r>
            </w:hyperlink>
            <w:r w:rsidRPr="00076E76">
              <w:rPr>
                <w:rFonts w:ascii="Gill Sans" w:hAnsi="Gill Sans" w:cs="Gill Sans"/>
                <w:szCs w:val="22"/>
              </w:rPr>
              <w:t xml:space="preserve">, </w:t>
            </w:r>
            <w:r w:rsidRPr="00076E76">
              <w:rPr>
                <w:rFonts w:ascii="Gill Sans" w:hAnsi="Gill Sans" w:cs="Gill Sans"/>
                <w:i/>
                <w:szCs w:val="22"/>
              </w:rPr>
              <w:t xml:space="preserve">Adult Education Quarterly, </w:t>
            </w:r>
            <w:r>
              <w:rPr>
                <w:rFonts w:ascii="Gill Sans" w:hAnsi="Gill Sans" w:cs="Gill Sans"/>
                <w:szCs w:val="22"/>
              </w:rPr>
              <w:t>57(4), 312–</w:t>
            </w:r>
            <w:r w:rsidRPr="00076E76">
              <w:rPr>
                <w:rFonts w:ascii="Gill Sans" w:hAnsi="Gill Sans" w:cs="Gill Sans"/>
                <w:szCs w:val="22"/>
              </w:rPr>
              <w:t>328.</w:t>
            </w:r>
          </w:p>
          <w:p w14:paraId="22215A95" w14:textId="77777777" w:rsidR="00F934ED" w:rsidRPr="00076E76" w:rsidRDefault="00F934ED" w:rsidP="00F934ED">
            <w:pPr>
              <w:rPr>
                <w:rFonts w:ascii="Gill Sans" w:hAnsi="Gill Sans" w:cs="Gill Sans"/>
                <w:szCs w:val="22"/>
              </w:rPr>
            </w:pPr>
          </w:p>
          <w:p w14:paraId="51421357" w14:textId="6EECD12F" w:rsidR="00F934ED" w:rsidRPr="00076E76" w:rsidRDefault="00F934ED" w:rsidP="00F934ED">
            <w:pPr>
              <w:rPr>
                <w:rFonts w:ascii="Gill Sans" w:hAnsi="Gill Sans" w:cs="Gill Sans"/>
                <w:szCs w:val="22"/>
              </w:rPr>
            </w:pPr>
            <w:r w:rsidRPr="00076E76">
              <w:rPr>
                <w:rFonts w:ascii="Gill Sans" w:hAnsi="Gill Sans" w:cs="Gill Sans"/>
                <w:szCs w:val="22"/>
              </w:rPr>
              <w:t>UK</w:t>
            </w:r>
          </w:p>
          <w:p w14:paraId="2B6B7717"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153E78ED" w14:textId="77777777" w:rsidR="00F934ED" w:rsidRPr="00076E76" w:rsidRDefault="00F934ED" w:rsidP="00F934ED">
            <w:pPr>
              <w:rPr>
                <w:rFonts w:ascii="Gill Sans" w:hAnsi="Gill Sans" w:cs="Gill Sans"/>
                <w:szCs w:val="22"/>
              </w:rPr>
            </w:pPr>
          </w:p>
          <w:p w14:paraId="412AC7F0" w14:textId="3A3EDE2E" w:rsidR="00F934ED" w:rsidRPr="00076E76" w:rsidRDefault="00F934ED" w:rsidP="00F934ED">
            <w:pPr>
              <w:rPr>
                <w:rFonts w:ascii="Gill Sans" w:hAnsi="Gill Sans" w:cs="Gill Sans"/>
                <w:szCs w:val="22"/>
              </w:rPr>
            </w:pPr>
            <w:r w:rsidRPr="00076E76">
              <w:rPr>
                <w:rFonts w:ascii="Gill Sans" w:hAnsi="Gill Sans" w:cs="Gill Sans"/>
                <w:szCs w:val="22"/>
              </w:rPr>
              <w:t xml:space="preserve">Keywords: </w:t>
            </w:r>
            <w:r w:rsidRPr="00076E76">
              <w:rPr>
                <w:rFonts w:ascii="Gill Sans" w:hAnsi="Gill Sans" w:cs="Gill Sans"/>
                <w:i/>
                <w:szCs w:val="22"/>
              </w:rPr>
              <w:t>educational transitions; communities of practice; higher education; adult learning; nontraditional students; identity; participation</w:t>
            </w:r>
          </w:p>
        </w:tc>
        <w:tc>
          <w:tcPr>
            <w:tcW w:w="10064" w:type="dxa"/>
          </w:tcPr>
          <w:p w14:paraId="1DB44461" w14:textId="2F58375B"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sidRPr="00076E76">
              <w:rPr>
                <w:rFonts w:ascii="Gill Sans" w:hAnsi="Gill Sans" w:cs="Gill Sans"/>
                <w:color w:val="000000"/>
                <w:szCs w:val="22"/>
                <w:lang w:val="en-AU"/>
              </w:rPr>
              <w:t>Set in context of WP = increased participation of adult learners in HE – makes case that transition = relatively well researched but no so much for adult learners, who are “potentially more vulnerable to difficulties in the management of these transitions” (p.313)</w:t>
            </w:r>
          </w:p>
          <w:p w14:paraId="27AFECF8" w14:textId="29EF54B6"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sidRPr="00076E76">
              <w:rPr>
                <w:rFonts w:ascii="Gill Sans" w:hAnsi="Gill Sans" w:cs="Gill Sans"/>
                <w:color w:val="000000"/>
                <w:szCs w:val="22"/>
                <w:lang w:val="en-AU"/>
              </w:rPr>
              <w:t>To examine past experiences of adult learners (historical context) and current experiences in HE (present context) who were taking an access course; “to examine how adult students experience the transition to HE in terms of learning, participation in practices, and identity…</w:t>
            </w:r>
            <w:r w:rsidRPr="00076E76">
              <w:rPr>
                <w:rFonts w:ascii="Gill Sans" w:hAnsi="Gill Sans" w:cs="Gill Sans"/>
              </w:rPr>
              <w:t xml:space="preserve"> </w:t>
            </w:r>
            <w:r w:rsidRPr="00076E76">
              <w:rPr>
                <w:rFonts w:ascii="Gill Sans" w:hAnsi="Gill Sans" w:cs="Gill Sans"/>
                <w:color w:val="000000"/>
                <w:szCs w:val="22"/>
                <w:lang w:val="en-AU"/>
              </w:rPr>
              <w:t>to know about the extent to which they perceive themselves to have become participants in the community of HE, their thoughts on the practices which may serve to include and exclude them from participation, the ways in which they understand learning in the community, and reflections on participation, identity, and identity trajectories” (p.316)</w:t>
            </w:r>
          </w:p>
          <w:p w14:paraId="2322B49F" w14:textId="61A1C47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Theoretical frame: </w:t>
            </w:r>
            <w:r w:rsidRPr="00076E76">
              <w:rPr>
                <w:rFonts w:ascii="Gill Sans" w:hAnsi="Gill Sans" w:cs="Gill Sans"/>
                <w:color w:val="000000"/>
                <w:szCs w:val="22"/>
                <w:lang w:val="en-AU"/>
              </w:rPr>
              <w:t>Communities of practice and legitimate peripheral participation (Lave and Wenger, 1991; Wenger, 1998; Lave, 1997): rather than individual activity, learning = “becomes a process distributed across person, time, place, and activity” (p.315) = pushes responsibility onto institution to attend to wider practices at play, as well as attending to students’ prior experiences. Participation = “ontological imperative” (p.316)</w:t>
            </w:r>
          </w:p>
          <w:p w14:paraId="0577F907" w14:textId="0705768B"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Qualitative: semi-structured interviews with 17 adults (12 = f, 5= m; aged 23-57) participating in alternative access course located in UK university (underpinned by epistemology = human beings = interpreters of own meaning). Data analysed using ‘constant comparative technique’ (see p.317)</w:t>
            </w:r>
          </w:p>
          <w:p w14:paraId="77A17854"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Findings: </w:t>
            </w:r>
            <w:r w:rsidRPr="00076E76">
              <w:rPr>
                <w:rFonts w:ascii="Gill Sans" w:hAnsi="Gill Sans" w:cs="Gill Sans"/>
                <w:color w:val="000000"/>
                <w:szCs w:val="22"/>
                <w:lang w:val="en-AU"/>
              </w:rPr>
              <w:t>Themes = informed by CoP theory</w:t>
            </w:r>
          </w:p>
          <w:p w14:paraId="710F495B"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i/>
                <w:color w:val="000000"/>
                <w:szCs w:val="22"/>
                <w:lang w:val="en-AU"/>
              </w:rPr>
              <w:t>Peripheral participation</w:t>
            </w:r>
            <w:r w:rsidRPr="00076E76">
              <w:rPr>
                <w:rFonts w:ascii="Gill Sans" w:hAnsi="Gill Sans" w:cs="Gill Sans"/>
                <w:color w:val="000000"/>
                <w:szCs w:val="22"/>
                <w:lang w:val="en-AU"/>
              </w:rPr>
              <w:t xml:space="preserve">: alternative/ adult access courses = by nature peripheral of mainstream = potential for contradiction (in uni but at arm’s length) – physical location = set away from main campus (experienced as </w:t>
            </w:r>
            <w:r w:rsidRPr="00076E76">
              <w:rPr>
                <w:rFonts w:ascii="Gill Sans" w:hAnsi="Gill Sans" w:cs="Gill Sans"/>
                <w:color w:val="000000"/>
                <w:szCs w:val="22"/>
                <w:lang w:val="en-AU"/>
              </w:rPr>
              <w:lastRenderedPageBreak/>
              <w:t>both a positive and negative by participants); unable to access central services (producing feelings of being ‘lepers’, see p.318) because not fully enrolled/ matriculated students of university</w:t>
            </w:r>
          </w:p>
          <w:p w14:paraId="03408140"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i/>
                <w:color w:val="000000"/>
                <w:szCs w:val="22"/>
                <w:lang w:val="en-AU"/>
              </w:rPr>
              <w:t xml:space="preserve">Learning by </w:t>
            </w:r>
            <w:proofErr w:type="gramStart"/>
            <w:r w:rsidRPr="00076E76">
              <w:rPr>
                <w:rFonts w:ascii="Gill Sans" w:hAnsi="Gill Sans" w:cs="Gill Sans"/>
                <w:i/>
                <w:color w:val="000000"/>
                <w:szCs w:val="22"/>
                <w:lang w:val="en-AU"/>
              </w:rPr>
              <w:t>doing</w:t>
            </w:r>
            <w:r w:rsidRPr="00076E76">
              <w:rPr>
                <w:rFonts w:ascii="Gill Sans" w:hAnsi="Gill Sans" w:cs="Gill Sans"/>
                <w:color w:val="000000"/>
                <w:szCs w:val="22"/>
                <w:lang w:val="en-AU"/>
              </w:rPr>
              <w:t>:</w:t>
            </w:r>
            <w:proofErr w:type="gramEnd"/>
            <w:r w:rsidRPr="00076E76">
              <w:rPr>
                <w:rFonts w:ascii="Gill Sans" w:hAnsi="Gill Sans" w:cs="Gill Sans"/>
                <w:color w:val="000000"/>
                <w:szCs w:val="22"/>
                <w:lang w:val="en-AU"/>
              </w:rPr>
              <w:t xml:space="preserve"> students responded well to learning about studying at university through engagement with practices of HE (e.g. essay writing, note taking) = study skills (abstract, decontextualized) approach = not considered to be useful.</w:t>
            </w:r>
          </w:p>
          <w:p w14:paraId="7AFCFDFB"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i/>
                <w:color w:val="000000"/>
                <w:szCs w:val="22"/>
                <w:lang w:val="en-AU"/>
              </w:rPr>
              <w:t>Preparation for undergraduate academic practices</w:t>
            </w:r>
            <w:r w:rsidRPr="00076E76">
              <w:rPr>
                <w:rFonts w:ascii="Gill Sans" w:hAnsi="Gill Sans" w:cs="Gill Sans"/>
                <w:color w:val="000000"/>
                <w:szCs w:val="22"/>
                <w:lang w:val="en-AU"/>
              </w:rPr>
              <w:t xml:space="preserve">: developing independence and being ‘eased in’, learning a ‘new language’. Authors note that language = key to learning in </w:t>
            </w:r>
            <w:proofErr w:type="gramStart"/>
            <w:r w:rsidRPr="00076E76">
              <w:rPr>
                <w:rFonts w:ascii="Gill Sans" w:hAnsi="Gill Sans" w:cs="Gill Sans"/>
                <w:color w:val="000000"/>
                <w:szCs w:val="22"/>
                <w:lang w:val="en-AU"/>
              </w:rPr>
              <w:t>CoP  and</w:t>
            </w:r>
            <w:proofErr w:type="gramEnd"/>
            <w:r w:rsidRPr="00076E76">
              <w:rPr>
                <w:rFonts w:ascii="Gill Sans" w:hAnsi="Gill Sans" w:cs="Gill Sans"/>
                <w:color w:val="000000"/>
                <w:szCs w:val="22"/>
                <w:lang w:val="en-AU"/>
              </w:rPr>
              <w:t xml:space="preserve"> “talking about practices is not the same as talking within those practices” (p.322).</w:t>
            </w:r>
          </w:p>
          <w:p w14:paraId="6FE45CA8"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Belonging: most students experienced feeling of not belonging at first; perceptions/ expectations of ‘who’ a uni student is created sense of being ‘outsiders’</w:t>
            </w:r>
          </w:p>
          <w:p w14:paraId="03D58C77"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Labelling and identity: some students wanted to take on the label of students (e.g. girl who preferred it to label of ‘unemployed’; other girl who went to student bar, p.324) but brevity of course (2 hours a week) = prevented some from feeling like a ‘proper’ student. Age = significant</w:t>
            </w:r>
            <w:r w:rsidRPr="00076E76">
              <w:rPr>
                <w:rFonts w:ascii="Gill Sans" w:hAnsi="Gill Sans" w:cs="Gill Sans"/>
                <w:b/>
                <w:color w:val="000000"/>
                <w:szCs w:val="22"/>
                <w:lang w:val="en-AU"/>
              </w:rPr>
              <w:br/>
              <w:t xml:space="preserve">Core argument: </w:t>
            </w:r>
            <w:r w:rsidRPr="00076E76">
              <w:rPr>
                <w:rFonts w:ascii="Gill Sans" w:hAnsi="Gill Sans" w:cs="Gill Sans"/>
                <w:color w:val="000000"/>
                <w:szCs w:val="22"/>
                <w:lang w:val="en-AU"/>
              </w:rPr>
              <w:t>Theory of CoP and peripheral participation = useful for understanding students’ historical and current contexts as they transition into HE: “adults in this course were peripheral participants in the institution’s HE community, that academic practices were an important part of their transition into HE and that learning of these occurred primarily through engagement in practice, and that identity changes were mediated by a sense of belonging” (p.326).</w:t>
            </w:r>
          </w:p>
          <w:p w14:paraId="214510DD" w14:textId="29683C5E"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There is no shortcut to full participation in a community (p.327) – only happens through engagement in sociocultural practices</w:t>
            </w:r>
          </w:p>
        </w:tc>
      </w:tr>
      <w:tr w:rsidR="00F934ED" w:rsidRPr="00076E76" w14:paraId="6B6EB085" w14:textId="77777777" w:rsidTr="002E557C">
        <w:tc>
          <w:tcPr>
            <w:tcW w:w="5529" w:type="dxa"/>
          </w:tcPr>
          <w:p w14:paraId="7A29F1AD" w14:textId="065C04C0" w:rsidR="00F934ED" w:rsidRPr="00076E76" w:rsidRDefault="00F934ED" w:rsidP="00F934ED">
            <w:pPr>
              <w:rPr>
                <w:rFonts w:ascii="Gill Sans" w:hAnsi="Gill Sans" w:cs="Gill Sans"/>
                <w:szCs w:val="22"/>
              </w:rPr>
            </w:pPr>
            <w:r w:rsidRPr="00076E76">
              <w:rPr>
                <w:rFonts w:ascii="Gill Sans" w:hAnsi="Gill Sans" w:cs="Gill Sans"/>
                <w:szCs w:val="22"/>
              </w:rPr>
              <w:lastRenderedPageBreak/>
              <w:t xml:space="preserve">O’Donnell, V.; </w:t>
            </w:r>
            <w:proofErr w:type="spellStart"/>
            <w:r w:rsidRPr="00076E76">
              <w:rPr>
                <w:rFonts w:ascii="Gill Sans" w:hAnsi="Gill Sans" w:cs="Gill Sans"/>
                <w:szCs w:val="22"/>
              </w:rPr>
              <w:t>Tobbell</w:t>
            </w:r>
            <w:proofErr w:type="spellEnd"/>
            <w:r w:rsidRPr="00076E76">
              <w:rPr>
                <w:rFonts w:ascii="Gill Sans" w:hAnsi="Gill Sans" w:cs="Gill Sans"/>
                <w:szCs w:val="22"/>
              </w:rPr>
              <w:t xml:space="preserve">, J.; </w:t>
            </w:r>
            <w:proofErr w:type="spellStart"/>
            <w:r w:rsidRPr="00076E76">
              <w:rPr>
                <w:rFonts w:ascii="Gill Sans" w:hAnsi="Gill Sans" w:cs="Gill Sans"/>
                <w:szCs w:val="22"/>
              </w:rPr>
              <w:t>Lawthom</w:t>
            </w:r>
            <w:proofErr w:type="spellEnd"/>
            <w:r w:rsidRPr="00076E76">
              <w:rPr>
                <w:rFonts w:ascii="Gill Sans" w:hAnsi="Gill Sans" w:cs="Gill Sans"/>
                <w:szCs w:val="22"/>
              </w:rPr>
              <w:t xml:space="preserve">, R.; &amp; Zammit, M. (2009). </w:t>
            </w:r>
            <w:hyperlink r:id="rId105" w:history="1">
              <w:r w:rsidRPr="006224C5">
                <w:rPr>
                  <w:rStyle w:val="Hyperlink"/>
                  <w:rFonts w:ascii="Gill Sans" w:hAnsi="Gill Sans" w:cs="Gill Sans"/>
                  <w:szCs w:val="22"/>
                </w:rPr>
                <w:t>Transition to postgraduate study: Practice, participation and the widening participation agenda</w:t>
              </w:r>
            </w:hyperlink>
            <w:r w:rsidRPr="00076E76">
              <w:rPr>
                <w:rFonts w:ascii="Gill Sans" w:hAnsi="Gill Sans" w:cs="Gill Sans"/>
                <w:szCs w:val="22"/>
              </w:rPr>
              <w:t xml:space="preserve">, </w:t>
            </w:r>
            <w:r w:rsidRPr="00076E76">
              <w:rPr>
                <w:rFonts w:ascii="Gill Sans" w:hAnsi="Gill Sans" w:cs="Gill Sans"/>
                <w:i/>
                <w:szCs w:val="22"/>
              </w:rPr>
              <w:t>Active Learning in Higher Education</w:t>
            </w:r>
            <w:r>
              <w:rPr>
                <w:rFonts w:ascii="Gill Sans" w:hAnsi="Gill Sans" w:cs="Gill Sans"/>
                <w:szCs w:val="22"/>
              </w:rPr>
              <w:t>, 10(1), 26–</w:t>
            </w:r>
            <w:r w:rsidRPr="00076E76">
              <w:rPr>
                <w:rFonts w:ascii="Gill Sans" w:hAnsi="Gill Sans" w:cs="Gill Sans"/>
                <w:szCs w:val="22"/>
              </w:rPr>
              <w:t>40.</w:t>
            </w:r>
          </w:p>
          <w:p w14:paraId="36297568" w14:textId="77777777" w:rsidR="00F934ED" w:rsidRPr="00076E76" w:rsidRDefault="00F934ED" w:rsidP="00F934ED">
            <w:pPr>
              <w:rPr>
                <w:rFonts w:ascii="Gill Sans" w:hAnsi="Gill Sans" w:cs="Gill Sans"/>
                <w:szCs w:val="22"/>
              </w:rPr>
            </w:pPr>
          </w:p>
          <w:p w14:paraId="15340F2B" w14:textId="77777777" w:rsidR="00F934ED" w:rsidRPr="00076E76" w:rsidRDefault="00F934ED" w:rsidP="00F934ED">
            <w:pPr>
              <w:rPr>
                <w:rFonts w:ascii="Gill Sans" w:hAnsi="Gill Sans" w:cs="Gill Sans"/>
                <w:szCs w:val="22"/>
              </w:rPr>
            </w:pPr>
            <w:r w:rsidRPr="00076E76">
              <w:rPr>
                <w:rFonts w:ascii="Gill Sans" w:hAnsi="Gill Sans" w:cs="Gill Sans"/>
                <w:szCs w:val="22"/>
              </w:rPr>
              <w:t xml:space="preserve">UK </w:t>
            </w:r>
          </w:p>
          <w:p w14:paraId="54C4888B" w14:textId="0936933B"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7814F1DF" w14:textId="6F89DE7C" w:rsidR="00F934ED" w:rsidRPr="00076E76" w:rsidRDefault="00F934ED" w:rsidP="00F934ED">
            <w:pPr>
              <w:rPr>
                <w:rFonts w:ascii="Gill Sans" w:hAnsi="Gill Sans" w:cs="Gill Sans"/>
                <w:szCs w:val="22"/>
              </w:rPr>
            </w:pPr>
          </w:p>
        </w:tc>
        <w:tc>
          <w:tcPr>
            <w:tcW w:w="10064" w:type="dxa"/>
          </w:tcPr>
          <w:p w14:paraId="172934BC"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sidRPr="00076E76">
              <w:rPr>
                <w:rFonts w:ascii="Gill Sans" w:hAnsi="Gill Sans" w:cs="Gill Sans"/>
                <w:color w:val="000000"/>
                <w:szCs w:val="22"/>
                <w:lang w:val="en-AU"/>
              </w:rPr>
              <w:t>Report on then ongoing Higher Education Academy- funded project on PG transition (aimed at exploring gap in the literature). Discusses WP/ offers definition p.27-8.</w:t>
            </w:r>
          </w:p>
          <w:p w14:paraId="22D8C32D"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sidRPr="00076E76">
              <w:rPr>
                <w:rFonts w:ascii="Gill Sans" w:hAnsi="Gill Sans" w:cs="Gill Sans"/>
                <w:color w:val="000000"/>
                <w:szCs w:val="22"/>
                <w:lang w:val="en-AU"/>
              </w:rPr>
              <w:t>To explore transition in postgraduate (UK) context/ unpack assumptions</w:t>
            </w:r>
          </w:p>
          <w:p w14:paraId="70C455A2"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Theoretical frame: </w:t>
            </w:r>
            <w:r w:rsidRPr="00076E76">
              <w:rPr>
                <w:rFonts w:ascii="Gill Sans" w:hAnsi="Gill Sans" w:cs="Gill Sans"/>
                <w:color w:val="000000"/>
                <w:szCs w:val="22"/>
                <w:lang w:val="en-AU"/>
              </w:rPr>
              <w:t>Located in Communities of Practice framework – expansive view of transition to include learning, identity and participation</w:t>
            </w:r>
          </w:p>
          <w:p w14:paraId="37162236"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Qualitative ethnographic methodology within critical realist frame. Used semi-structured interviews with postgrad (Master/ PhD) students on commencement and then fortnightly email interviews for first term, then monthly emails. Also conducted interviews with 6 staff members responsible for PG teaching/supervision. Analysis: grounded theory/ CoP framework</w:t>
            </w:r>
          </w:p>
          <w:p w14:paraId="672B3CEB" w14:textId="77777777" w:rsidR="00F934ED" w:rsidRPr="00076E76" w:rsidRDefault="00F934ED" w:rsidP="00F934ED">
            <w:pPr>
              <w:rPr>
                <w:rFonts w:ascii="Gill Sans" w:hAnsi="Gill Sans" w:cs="Gill Sans"/>
                <w:i/>
              </w:rPr>
            </w:pPr>
            <w:r w:rsidRPr="00076E76">
              <w:rPr>
                <w:rFonts w:ascii="Gill Sans" w:hAnsi="Gill Sans" w:cs="Gill Sans"/>
                <w:b/>
                <w:color w:val="000000"/>
                <w:szCs w:val="22"/>
                <w:lang w:val="en-AU"/>
              </w:rPr>
              <w:t xml:space="preserve">Findings: </w:t>
            </w:r>
            <w:r w:rsidRPr="00076E76">
              <w:rPr>
                <w:rFonts w:ascii="Gill Sans" w:hAnsi="Gill Sans" w:cs="Gill Sans"/>
                <w:color w:val="000000"/>
                <w:szCs w:val="22"/>
                <w:lang w:val="en-AU"/>
              </w:rPr>
              <w:t>1) heterogeneity of PG students: implementation of WP agenda needs to recognise diversity of student body – often PG students are assumed to be relatively homogeneous: “</w:t>
            </w:r>
            <w:r w:rsidRPr="00076E76">
              <w:rPr>
                <w:rFonts w:ascii="Gill Sans" w:hAnsi="Gill Sans" w:cs="Gill Sans"/>
                <w:i/>
              </w:rPr>
              <w:t xml:space="preserve">This inaccurate assumption may arise from the idea that having an undergraduate degree means that students are skilled in the practices necessary for </w:t>
            </w:r>
            <w:r w:rsidRPr="00076E76">
              <w:rPr>
                <w:rFonts w:ascii="Gill Sans" w:hAnsi="Gill Sans" w:cs="Gill Sans"/>
                <w:i/>
              </w:rPr>
              <w:lastRenderedPageBreak/>
              <w:t>success in HE, and thus that there is little (if any) further transition to be made by that stage…. For all of them, difficulties in the transition to postgraduate study were experienced as difficulties in</w:t>
            </w:r>
          </w:p>
          <w:p w14:paraId="00CCF245" w14:textId="77777777" w:rsidR="00F934ED" w:rsidRPr="00076E76" w:rsidRDefault="00F934ED" w:rsidP="00F934ED">
            <w:pPr>
              <w:rPr>
                <w:rFonts w:ascii="Gill Sans" w:hAnsi="Gill Sans" w:cs="Gill Sans"/>
              </w:rPr>
            </w:pPr>
            <w:r w:rsidRPr="00076E76">
              <w:rPr>
                <w:rFonts w:ascii="Gill Sans" w:hAnsi="Gill Sans" w:cs="Gill Sans"/>
                <w:i/>
              </w:rPr>
              <w:t>the mastery of key skills or academic practices, suggesting that postgraduate students do not come ‘equipped’ for their studies in higher education” (p.31</w:t>
            </w:r>
            <w:r w:rsidRPr="00076E76">
              <w:rPr>
                <w:rFonts w:ascii="Gill Sans" w:hAnsi="Gill Sans" w:cs="Gill Sans"/>
              </w:rPr>
              <w:t xml:space="preserve">). Academic practices appear to be excluding some PG students. Discuss increasing student numbers in context of ‘credential inflation’ (Van de </w:t>
            </w:r>
            <w:proofErr w:type="spellStart"/>
            <w:r w:rsidRPr="00076E76">
              <w:rPr>
                <w:rFonts w:ascii="Gill Sans" w:hAnsi="Gill Sans" w:cs="Gill Sans"/>
              </w:rPr>
              <w:t>Werfhost</w:t>
            </w:r>
            <w:proofErr w:type="spellEnd"/>
            <w:r w:rsidRPr="00076E76">
              <w:rPr>
                <w:rFonts w:ascii="Gill Sans" w:hAnsi="Gill Sans" w:cs="Gill Sans"/>
              </w:rPr>
              <w:t xml:space="preserve"> &amp; Anderson, 2005) – PG quals likely to become more popular. PG students could have gap between UG (if studied at all) and PG course. Struggles with tech also problematic. Also changing into different discipline area experienced as challenging.</w:t>
            </w:r>
          </w:p>
          <w:p w14:paraId="5176EDF3" w14:textId="77777777" w:rsidR="00F934ED" w:rsidRPr="00076E76" w:rsidRDefault="00F934ED" w:rsidP="00F934ED">
            <w:pPr>
              <w:widowControl w:val="0"/>
              <w:autoSpaceDE w:val="0"/>
              <w:autoSpaceDN w:val="0"/>
              <w:adjustRightInd w:val="0"/>
              <w:rPr>
                <w:rFonts w:ascii="Gill Sans" w:hAnsi="Gill Sans" w:cs="Gill Sans"/>
                <w:color w:val="000000"/>
                <w:szCs w:val="22"/>
                <w:lang w:val="en-AU"/>
              </w:rPr>
            </w:pPr>
            <w:r w:rsidRPr="00076E76">
              <w:rPr>
                <w:rFonts w:ascii="Gill Sans" w:hAnsi="Gill Sans" w:cs="Gill Sans"/>
              </w:rPr>
              <w:t>2) teaching and learning at PG level: more independent learning (than for UG study) cited by students and staff but its translation into practice = unsatisfactory: “</w:t>
            </w:r>
            <w:r w:rsidRPr="00076E76">
              <w:rPr>
                <w:rFonts w:ascii="Gill Sans" w:hAnsi="Gill Sans" w:cs="Gill Sans"/>
                <w:i/>
              </w:rPr>
              <w:t>Clearly it will be difficult for postgraduate students to engage in the level of independent study that is expected and required of them, when the academic practices which they encounter do not assist them in the development of such skills</w:t>
            </w:r>
            <w:r w:rsidRPr="00076E76">
              <w:rPr>
                <w:rFonts w:ascii="Gill Sans" w:hAnsi="Gill Sans" w:cs="Gill Sans"/>
              </w:rPr>
              <w:t>” (p.37).</w:t>
            </w:r>
          </w:p>
          <w:p w14:paraId="5A93558C" w14:textId="77777777" w:rsidR="00F934ED" w:rsidRPr="00076E76" w:rsidRDefault="00F934ED" w:rsidP="00F934ED">
            <w:pPr>
              <w:rPr>
                <w:rFonts w:ascii="Gill Sans" w:hAnsi="Gill Sans" w:cs="Gill Sans"/>
                <w:i/>
              </w:rPr>
            </w:pPr>
            <w:r w:rsidRPr="00076E76">
              <w:rPr>
                <w:rFonts w:ascii="Gill Sans" w:hAnsi="Gill Sans" w:cs="Gill Sans"/>
                <w:b/>
                <w:color w:val="000000"/>
                <w:szCs w:val="22"/>
                <w:lang w:val="en-AU"/>
              </w:rPr>
              <w:t xml:space="preserve">Relevance to PGCW/ equity: </w:t>
            </w:r>
            <w:r w:rsidRPr="00076E76">
              <w:rPr>
                <w:rFonts w:ascii="Gill Sans" w:hAnsi="Gill Sans" w:cs="Gill Sans"/>
                <w:color w:val="000000"/>
                <w:szCs w:val="22"/>
                <w:lang w:val="en-AU"/>
              </w:rPr>
              <w:t>Makes case that PG study is underpinned by assumptions about a homogeneous student body who have studied UG degree in same discipline and who have technological practices and familiarity with academic practices. Teaching and learning practices do not appear to do much to support students to become more independent learners: “</w:t>
            </w:r>
            <w:r w:rsidRPr="00076E76">
              <w:rPr>
                <w:rFonts w:ascii="Gill Sans" w:hAnsi="Gill Sans" w:cs="Gill Sans"/>
                <w:i/>
              </w:rPr>
              <w:t>At present, participation, and so success, is undermined by</w:t>
            </w:r>
          </w:p>
          <w:p w14:paraId="6145D218"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i/>
              </w:rPr>
              <w:t>university processes which do not account for individual knowledge and skill bases which serve to undermine successful postgraduate trajectories</w:t>
            </w:r>
            <w:r w:rsidRPr="00076E76">
              <w:rPr>
                <w:rFonts w:ascii="Gill Sans" w:hAnsi="Gill Sans" w:cs="Gill Sans"/>
              </w:rPr>
              <w:t>” (p.38).</w:t>
            </w:r>
          </w:p>
          <w:p w14:paraId="4E99D4AF"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Pedagogical intervention suggested? </w:t>
            </w:r>
            <w:r w:rsidRPr="00076E76">
              <w:rPr>
                <w:rFonts w:ascii="Gill Sans" w:hAnsi="Gill Sans" w:cs="Gill Sans"/>
                <w:color w:val="000000"/>
                <w:szCs w:val="22"/>
                <w:lang w:val="en-AU"/>
              </w:rPr>
              <w:t>Nothing specific</w:t>
            </w:r>
          </w:p>
          <w:p w14:paraId="568FF31E" w14:textId="7E8121FA" w:rsidR="00F934ED" w:rsidRPr="00076E76" w:rsidRDefault="00F934ED" w:rsidP="00F934ED">
            <w:pPr>
              <w:rPr>
                <w:rFonts w:ascii="Gill Sans" w:hAnsi="Gill Sans" w:cs="Gill Sans"/>
                <w:b/>
                <w:color w:val="000000"/>
                <w:szCs w:val="22"/>
                <w:lang w:val="en-AU"/>
              </w:rPr>
            </w:pPr>
            <w:r w:rsidRPr="00076E76">
              <w:rPr>
                <w:rFonts w:ascii="Gill Sans" w:hAnsi="Gill Sans" w:cs="Gill Sans"/>
                <w:b/>
                <w:color w:val="000000"/>
                <w:szCs w:val="22"/>
                <w:lang w:val="en-AU"/>
              </w:rPr>
              <w:t xml:space="preserve">Points to future research agenda? </w:t>
            </w:r>
            <w:r w:rsidRPr="00076E76">
              <w:rPr>
                <w:rFonts w:ascii="Gill Sans" w:hAnsi="Gill Sans" w:cs="Gill Sans"/>
                <w:color w:val="000000"/>
                <w:szCs w:val="22"/>
                <w:lang w:val="en-AU"/>
              </w:rPr>
              <w:t>No</w:t>
            </w:r>
          </w:p>
        </w:tc>
      </w:tr>
      <w:tr w:rsidR="00F934ED" w:rsidRPr="00076E76" w14:paraId="6E4D9213" w14:textId="77777777" w:rsidTr="002E557C">
        <w:tc>
          <w:tcPr>
            <w:tcW w:w="5529" w:type="dxa"/>
          </w:tcPr>
          <w:p w14:paraId="588F90E5" w14:textId="083184A0" w:rsidR="00F934ED" w:rsidRPr="00076E76" w:rsidRDefault="00F934ED" w:rsidP="00F934ED">
            <w:pPr>
              <w:rPr>
                <w:rFonts w:ascii="Gill Sans" w:hAnsi="Gill Sans" w:cs="Gill Sans"/>
                <w:bCs/>
                <w:szCs w:val="22"/>
              </w:rPr>
            </w:pPr>
            <w:r w:rsidRPr="00076E76">
              <w:rPr>
                <w:rFonts w:ascii="Gill Sans" w:hAnsi="Gill Sans" w:cs="Gill Sans"/>
                <w:bCs/>
                <w:szCs w:val="22"/>
              </w:rPr>
              <w:lastRenderedPageBreak/>
              <w:t xml:space="preserve">O’Shea, S. (2013). </w:t>
            </w:r>
            <w:hyperlink r:id="rId106" w:history="1">
              <w:r w:rsidRPr="00076E76">
                <w:rPr>
                  <w:rStyle w:val="Hyperlink"/>
                  <w:rFonts w:ascii="Gill Sans" w:hAnsi="Gill Sans" w:cs="Gill Sans"/>
                  <w:bCs/>
                  <w:szCs w:val="22"/>
                </w:rPr>
                <w:t>Transitions and turning points: exploring how first-in-family female students story their transition to university and student identity formation</w:t>
              </w:r>
            </w:hyperlink>
            <w:r w:rsidRPr="00076E76">
              <w:rPr>
                <w:rFonts w:ascii="Gill Sans" w:hAnsi="Gill Sans" w:cs="Gill Sans"/>
                <w:bCs/>
                <w:szCs w:val="22"/>
              </w:rPr>
              <w:t xml:space="preserve">, </w:t>
            </w:r>
            <w:r w:rsidRPr="00076E76">
              <w:rPr>
                <w:rFonts w:ascii="Gill Sans" w:hAnsi="Gill Sans" w:cs="Gill Sans"/>
                <w:bCs/>
                <w:i/>
                <w:iCs/>
                <w:szCs w:val="22"/>
              </w:rPr>
              <w:t>International Journal of Qualitative Studies in Education</w:t>
            </w:r>
            <w:r>
              <w:rPr>
                <w:rFonts w:ascii="Gill Sans" w:hAnsi="Gill Sans" w:cs="Gill Sans"/>
                <w:bCs/>
                <w:szCs w:val="22"/>
              </w:rPr>
              <w:t>, 1–</w:t>
            </w:r>
            <w:r w:rsidRPr="00076E76">
              <w:rPr>
                <w:rFonts w:ascii="Gill Sans" w:hAnsi="Gill Sans" w:cs="Gill Sans"/>
                <w:bCs/>
                <w:szCs w:val="22"/>
              </w:rPr>
              <w:t xml:space="preserve">24. </w:t>
            </w:r>
          </w:p>
          <w:p w14:paraId="16B681A1" w14:textId="77777777" w:rsidR="00F934ED" w:rsidRPr="00076E76" w:rsidRDefault="00F934ED" w:rsidP="00F934ED">
            <w:pPr>
              <w:rPr>
                <w:rFonts w:ascii="Gill Sans" w:hAnsi="Gill Sans" w:cs="Gill Sans"/>
                <w:bCs/>
                <w:szCs w:val="22"/>
              </w:rPr>
            </w:pPr>
          </w:p>
          <w:p w14:paraId="7297A832" w14:textId="77777777" w:rsidR="00F934ED" w:rsidRPr="00076E76" w:rsidRDefault="00F934ED" w:rsidP="00F934ED">
            <w:pPr>
              <w:rPr>
                <w:rFonts w:ascii="Gill Sans" w:hAnsi="Gill Sans" w:cs="Gill Sans"/>
                <w:bCs/>
                <w:szCs w:val="22"/>
              </w:rPr>
            </w:pPr>
            <w:r w:rsidRPr="00076E76">
              <w:rPr>
                <w:rFonts w:ascii="Gill Sans" w:hAnsi="Gill Sans" w:cs="Gill Sans"/>
                <w:bCs/>
                <w:szCs w:val="22"/>
              </w:rPr>
              <w:t>AUS</w:t>
            </w:r>
          </w:p>
          <w:p w14:paraId="1E7468A6"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3F1C7489" w14:textId="77777777" w:rsidR="00F934ED" w:rsidRPr="00076E76" w:rsidRDefault="00F934ED" w:rsidP="00F934ED">
            <w:pPr>
              <w:rPr>
                <w:rFonts w:ascii="Gill Sans" w:hAnsi="Gill Sans" w:cs="Gill Sans"/>
                <w:bCs/>
                <w:szCs w:val="22"/>
              </w:rPr>
            </w:pPr>
          </w:p>
          <w:p w14:paraId="7149AF77" w14:textId="41AF74AD" w:rsidR="00F934ED" w:rsidRPr="00076E76" w:rsidRDefault="00F934ED" w:rsidP="00F934ED">
            <w:pPr>
              <w:rPr>
                <w:rFonts w:ascii="Gill Sans" w:hAnsi="Gill Sans" w:cs="Gill Sans"/>
                <w:szCs w:val="22"/>
              </w:rPr>
            </w:pPr>
            <w:r w:rsidRPr="00076E76">
              <w:rPr>
                <w:rFonts w:ascii="Gill Sans" w:hAnsi="Gill Sans" w:cs="Gill Sans"/>
                <w:bCs/>
                <w:szCs w:val="22"/>
              </w:rPr>
              <w:t xml:space="preserve">Keywords: </w:t>
            </w:r>
            <w:r w:rsidRPr="00076E76">
              <w:rPr>
                <w:rFonts w:ascii="Gill Sans" w:hAnsi="Gill Sans" w:cs="Gill Sans"/>
                <w:bCs/>
                <w:i/>
                <w:szCs w:val="22"/>
              </w:rPr>
              <w:t>transition to university; first-in-family students; mature-age students</w:t>
            </w:r>
          </w:p>
        </w:tc>
        <w:tc>
          <w:tcPr>
            <w:tcW w:w="10064" w:type="dxa"/>
          </w:tcPr>
          <w:p w14:paraId="031BE093"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sidRPr="00076E76">
              <w:rPr>
                <w:rFonts w:ascii="Gill Sans" w:hAnsi="Gill Sans" w:cs="Gill Sans"/>
                <w:color w:val="000000"/>
                <w:szCs w:val="22"/>
                <w:lang w:val="en-AU"/>
              </w:rPr>
              <w:t xml:space="preserve">Transition into higher education study for female, mature age and first in family students, who are described as defining themselves as ‘imposters’ in O’Donnell &amp; </w:t>
            </w:r>
            <w:proofErr w:type="spellStart"/>
            <w:r w:rsidRPr="00076E76">
              <w:rPr>
                <w:rFonts w:ascii="Gill Sans" w:hAnsi="Gill Sans" w:cs="Gill Sans"/>
                <w:color w:val="000000"/>
                <w:szCs w:val="22"/>
                <w:lang w:val="en-AU"/>
              </w:rPr>
              <w:t>Tobbell’s</w:t>
            </w:r>
            <w:proofErr w:type="spellEnd"/>
            <w:r w:rsidRPr="00076E76">
              <w:rPr>
                <w:rFonts w:ascii="Gill Sans" w:hAnsi="Gill Sans" w:cs="Gill Sans"/>
                <w:color w:val="000000"/>
                <w:szCs w:val="22"/>
                <w:lang w:val="en-AU"/>
              </w:rPr>
              <w:t xml:space="preserve"> (2007) study. Scopes gender divide in HE and scopes literature on women returners. Also navigates literature on identity/ies in HE (p.137-8). Transition = risky (see p.138). Social class also important frame </w:t>
            </w:r>
          </w:p>
          <w:p w14:paraId="5F832511"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sidRPr="00076E76">
              <w:rPr>
                <w:rFonts w:ascii="Gill Sans" w:hAnsi="Gill Sans" w:cs="Gill Sans"/>
                <w:color w:val="000000"/>
                <w:szCs w:val="22"/>
                <w:lang w:val="en-AU"/>
              </w:rPr>
              <w:t>To offer insight into women’s perceptions of their social world of the university and negotiations with the university; how the participants managed their transitions and their identity positions</w:t>
            </w:r>
          </w:p>
          <w:p w14:paraId="4531E9D3"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Theoretical frame: </w:t>
            </w:r>
            <w:r w:rsidRPr="00076E76">
              <w:rPr>
                <w:rFonts w:ascii="Gill Sans" w:hAnsi="Gill Sans" w:cs="Gill Sans"/>
                <w:color w:val="000000"/>
                <w:szCs w:val="22"/>
                <w:lang w:val="en-AU"/>
              </w:rPr>
              <w:t xml:space="preserve">Learning identity (Johnston &amp; Merrill, 2009) = complex/ contradictory (intersectional): “Learning identities may have been forged in previous educational environments and so entry into higher education may either confirm them or disrupt them, prompting a renegotiation” (p.138); ‘turning points’ (see </w:t>
            </w:r>
            <w:proofErr w:type="spellStart"/>
            <w:r w:rsidRPr="00076E76">
              <w:rPr>
                <w:rFonts w:ascii="Gill Sans" w:hAnsi="Gill Sans" w:cs="Gill Sans"/>
                <w:color w:val="000000"/>
                <w:szCs w:val="22"/>
              </w:rPr>
              <w:t>Cappeliez</w:t>
            </w:r>
            <w:proofErr w:type="spellEnd"/>
            <w:r w:rsidRPr="00076E76">
              <w:rPr>
                <w:rFonts w:ascii="Gill Sans" w:hAnsi="Gill Sans" w:cs="Gill Sans"/>
                <w:color w:val="000000"/>
                <w:szCs w:val="22"/>
              </w:rPr>
              <w:t>, Beaupre, and Robitaille, 2008) and ‘becoming’</w:t>
            </w:r>
          </w:p>
          <w:p w14:paraId="26E41CAB"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 xml:space="preserve">Narrative inquiry/ repeat interviews with mature age, female and FinF students (n=17). </w:t>
            </w:r>
            <w:r w:rsidRPr="00076E76">
              <w:rPr>
                <w:rFonts w:ascii="Gill Sans" w:hAnsi="Gill Sans" w:cs="Gill Sans"/>
                <w:color w:val="000000"/>
                <w:szCs w:val="22"/>
                <w:lang w:val="en-AU"/>
              </w:rPr>
              <w:lastRenderedPageBreak/>
              <w:t xml:space="preserve">Ontology = symbolic interactionism. Longitudinal nature (one year) allowed O’Shea to “journey with the participants in order to explore the various critical stages encountered as they themselves were experiencing them” (p.141). Age range of participants = 18-47 (average age = 32). 9/17 had finished HSC; 10/17 had completed some form of post-school education (VET/ Access to gain access). 4/17 completed STAT test. </w:t>
            </w:r>
          </w:p>
          <w:p w14:paraId="182C9DDF"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Iterative process of analysis, a “circuitous process” (p.144)</w:t>
            </w:r>
          </w:p>
          <w:p w14:paraId="02B12E03"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Findings: </w:t>
            </w:r>
            <w:r w:rsidRPr="00076E76">
              <w:rPr>
                <w:rFonts w:ascii="Gill Sans" w:hAnsi="Gill Sans" w:cs="Gill Sans"/>
                <w:color w:val="000000"/>
                <w:szCs w:val="22"/>
                <w:lang w:val="en-AU"/>
              </w:rPr>
              <w:t>Three themes: Coming to university, Persisting in the university environment, Changes in thinking</w:t>
            </w:r>
          </w:p>
          <w:p w14:paraId="623ECCD4"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i/>
                <w:color w:val="000000"/>
                <w:szCs w:val="22"/>
                <w:lang w:val="en-AU"/>
              </w:rPr>
              <w:t>Coming to university</w:t>
            </w:r>
            <w:r w:rsidRPr="00076E76">
              <w:rPr>
                <w:rFonts w:ascii="Gill Sans" w:hAnsi="Gill Sans" w:cs="Gill Sans"/>
                <w:color w:val="000000"/>
                <w:szCs w:val="22"/>
                <w:lang w:val="en-AU"/>
              </w:rPr>
              <w:t>: Decision to enrol at university = major, often with resistance from family members. Only 2/17 had experienced joy and excitement from partner. Turning points = varied between women but marked a point where university became a possibility/ necessity (e.g., an escape from dysfunction, possibility of getting more out of life, fulfilment, shift away from domestic space). Compromise =needed to manage dynamics with family.</w:t>
            </w:r>
          </w:p>
          <w:p w14:paraId="1E44D383"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Initial interactions with university = complicated and intimidating (p.148). Persistence = characterised as series of turning points.</w:t>
            </w:r>
          </w:p>
          <w:p w14:paraId="517301AF" w14:textId="7777777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lang w:val="en-AU"/>
              </w:rPr>
              <w:t>P</w:t>
            </w:r>
            <w:r w:rsidRPr="00076E76">
              <w:rPr>
                <w:rFonts w:ascii="Gill Sans" w:hAnsi="Gill Sans" w:cs="Gill Sans"/>
                <w:i/>
                <w:color w:val="000000"/>
                <w:szCs w:val="22"/>
                <w:lang w:val="en-AU"/>
              </w:rPr>
              <w:t>ersisting in the university environment</w:t>
            </w:r>
            <w:r w:rsidRPr="00076E76">
              <w:rPr>
                <w:rFonts w:ascii="Gill Sans" w:hAnsi="Gill Sans" w:cs="Gill Sans"/>
                <w:color w:val="000000"/>
                <w:szCs w:val="22"/>
                <w:lang w:val="en-AU"/>
              </w:rPr>
              <w:t>: reflecting on ‘highs’ and ‘lows’, assessment featured prominently/ = significant turning points. At the beginning of Year 1, the idea of failing an assignment was the biggest fear (15/17 students); “</w:t>
            </w:r>
            <w:r w:rsidRPr="00076E76">
              <w:rPr>
                <w:rFonts w:ascii="Gill Sans" w:hAnsi="Gill Sans" w:cs="Gill Sans"/>
                <w:color w:val="000000"/>
                <w:szCs w:val="22"/>
              </w:rPr>
              <w:t>This was related to both the financial implications of failure but also the personal and public repercussions such as diminished self-confidence as well as disappointment from self and others” (p.149).</w:t>
            </w:r>
          </w:p>
          <w:p w14:paraId="44148026" w14:textId="7777777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rPr>
              <w:t>Perception of transition = relational to prior educational experiences and perceptions of learning selves and knowledge of university and culture (‘culture shock’, p.150)</w:t>
            </w:r>
          </w:p>
          <w:p w14:paraId="32DD4930" w14:textId="61850905" w:rsidR="00F934ED" w:rsidRPr="00076E76" w:rsidRDefault="00F934ED" w:rsidP="00F934ED">
            <w:pPr>
              <w:rPr>
                <w:rFonts w:ascii="Gill Sans" w:hAnsi="Gill Sans" w:cs="Gill Sans"/>
                <w:b/>
                <w:color w:val="000000"/>
                <w:szCs w:val="22"/>
                <w:lang w:val="en-AU"/>
              </w:rPr>
            </w:pPr>
            <w:r w:rsidRPr="00076E76">
              <w:rPr>
                <w:rFonts w:ascii="Gill Sans" w:hAnsi="Gill Sans" w:cs="Gill Sans"/>
                <w:color w:val="000000"/>
                <w:szCs w:val="22"/>
                <w:lang w:val="en-AU"/>
              </w:rPr>
              <w:t>Changes in thinking: dramatic turning points in participants’ relational lives (including relationships at home). Their reasons for studying changed over the course of the year, “</w:t>
            </w:r>
            <w:r w:rsidRPr="00076E76">
              <w:rPr>
                <w:rFonts w:ascii="Gill Sans" w:hAnsi="Gill Sans" w:cs="Gill Sans"/>
                <w:color w:val="000000"/>
                <w:szCs w:val="22"/>
              </w:rPr>
              <w:t xml:space="preserve">even those women who had initially described university in more instrumental terms talked more about </w:t>
            </w:r>
            <w:proofErr w:type="spellStart"/>
            <w:r w:rsidRPr="00076E76">
              <w:rPr>
                <w:rFonts w:ascii="Gill Sans" w:hAnsi="Gill Sans" w:cs="Gill Sans"/>
                <w:color w:val="000000"/>
                <w:szCs w:val="22"/>
              </w:rPr>
              <w:t>self-fulfilment</w:t>
            </w:r>
            <w:proofErr w:type="spellEnd"/>
            <w:r w:rsidRPr="00076E76">
              <w:rPr>
                <w:rFonts w:ascii="Gill Sans" w:hAnsi="Gill Sans" w:cs="Gill Sans"/>
                <w:color w:val="000000"/>
                <w:szCs w:val="22"/>
              </w:rPr>
              <w:t xml:space="preserve"> and changes in identity by the end of the year” (p.152)</w:t>
            </w:r>
            <w:r w:rsidRPr="00076E76">
              <w:rPr>
                <w:rFonts w:ascii="Gill Sans" w:hAnsi="Gill Sans" w:cs="Gill Sans"/>
                <w:b/>
                <w:color w:val="000000"/>
                <w:szCs w:val="22"/>
                <w:lang w:val="en-AU"/>
              </w:rPr>
              <w:br/>
              <w:t xml:space="preserve">Core argument: </w:t>
            </w:r>
            <w:r w:rsidRPr="00076E76">
              <w:rPr>
                <w:rFonts w:ascii="Gill Sans" w:hAnsi="Gill Sans" w:cs="Gill Sans"/>
                <w:color w:val="000000"/>
                <w:szCs w:val="22"/>
                <w:lang w:val="en-AU"/>
              </w:rPr>
              <w:t>Turning points = useful way of exploring students’ transitions in identities through process of entering and studying in Year 1 of university (relational, confidence as learner, confidence in self more generally): “</w:t>
            </w:r>
            <w:r w:rsidRPr="00076E76">
              <w:rPr>
                <w:rFonts w:ascii="Gill Sans" w:hAnsi="Gill Sans" w:cs="Gill Sans"/>
                <w:color w:val="000000"/>
                <w:szCs w:val="22"/>
              </w:rPr>
              <w:t>University and the related turning points in self-identity also led some of the women to question the taken-for-granted aspects of their lives” (p.153)</w:t>
            </w:r>
          </w:p>
        </w:tc>
      </w:tr>
      <w:tr w:rsidR="00F934ED" w:rsidRPr="00076E76" w14:paraId="183F9ABC" w14:textId="77777777" w:rsidTr="002E557C">
        <w:tc>
          <w:tcPr>
            <w:tcW w:w="5529" w:type="dxa"/>
          </w:tcPr>
          <w:p w14:paraId="7BFA2BC5" w14:textId="1C366812" w:rsidR="00F934ED" w:rsidRPr="00076E76" w:rsidRDefault="00F934ED" w:rsidP="00F934ED">
            <w:pPr>
              <w:rPr>
                <w:rFonts w:ascii="Gill Sans" w:hAnsi="Gill Sans" w:cs="Gill Sans"/>
                <w:szCs w:val="22"/>
              </w:rPr>
            </w:pPr>
            <w:r w:rsidRPr="00076E76">
              <w:rPr>
                <w:rFonts w:ascii="Gill Sans" w:hAnsi="Gill Sans" w:cs="Gill Sans"/>
                <w:szCs w:val="22"/>
              </w:rPr>
              <w:lastRenderedPageBreak/>
              <w:t xml:space="preserve">O’Shea, S. &amp; Vincent, H. (2011). </w:t>
            </w:r>
            <w:hyperlink r:id="rId107" w:history="1">
              <w:r w:rsidRPr="006224C5">
                <w:rPr>
                  <w:rStyle w:val="Hyperlink"/>
                  <w:rFonts w:ascii="Gill Sans" w:hAnsi="Gill Sans" w:cs="Gill Sans"/>
                  <w:szCs w:val="22"/>
                </w:rPr>
                <w:t>Uni-Start: A Peer-Led Orientation Activity Designed for the Early and Timely Engagement of Commencing University Students</w:t>
              </w:r>
            </w:hyperlink>
            <w:r w:rsidRPr="00076E76">
              <w:rPr>
                <w:rFonts w:ascii="Gill Sans" w:hAnsi="Gill Sans" w:cs="Gill Sans"/>
                <w:szCs w:val="22"/>
              </w:rPr>
              <w:t xml:space="preserve">, </w:t>
            </w:r>
            <w:r w:rsidRPr="00076E76">
              <w:rPr>
                <w:rFonts w:ascii="Gill Sans" w:hAnsi="Gill Sans" w:cs="Gill Sans"/>
                <w:i/>
                <w:szCs w:val="22"/>
              </w:rPr>
              <w:t xml:space="preserve">The Journal of Continuing Higher Education, </w:t>
            </w:r>
            <w:r w:rsidRPr="00076E76">
              <w:rPr>
                <w:rFonts w:ascii="Gill Sans" w:hAnsi="Gill Sans" w:cs="Gill Sans"/>
                <w:szCs w:val="22"/>
              </w:rPr>
              <w:t>59</w:t>
            </w:r>
            <w:r>
              <w:rPr>
                <w:rFonts w:ascii="Gill Sans" w:hAnsi="Gill Sans" w:cs="Gill Sans"/>
                <w:szCs w:val="22"/>
              </w:rPr>
              <w:t>, 152–</w:t>
            </w:r>
            <w:r w:rsidRPr="00076E76">
              <w:rPr>
                <w:rFonts w:ascii="Gill Sans" w:hAnsi="Gill Sans" w:cs="Gill Sans"/>
                <w:szCs w:val="22"/>
              </w:rPr>
              <w:t>160.</w:t>
            </w:r>
          </w:p>
          <w:p w14:paraId="476E139C" w14:textId="77777777" w:rsidR="00F934ED" w:rsidRPr="00076E76" w:rsidRDefault="00F934ED" w:rsidP="00F934ED">
            <w:pPr>
              <w:rPr>
                <w:rFonts w:ascii="Gill Sans" w:hAnsi="Gill Sans" w:cs="Gill Sans"/>
                <w:szCs w:val="22"/>
              </w:rPr>
            </w:pPr>
          </w:p>
          <w:p w14:paraId="64F32900" w14:textId="77777777" w:rsidR="00F934ED" w:rsidRPr="00076E76" w:rsidRDefault="00F934ED" w:rsidP="00F934ED">
            <w:pPr>
              <w:rPr>
                <w:rFonts w:ascii="Gill Sans" w:hAnsi="Gill Sans" w:cs="Gill Sans"/>
                <w:szCs w:val="22"/>
              </w:rPr>
            </w:pPr>
            <w:r w:rsidRPr="00076E76">
              <w:rPr>
                <w:rFonts w:ascii="Gill Sans" w:hAnsi="Gill Sans" w:cs="Gill Sans"/>
                <w:szCs w:val="22"/>
              </w:rPr>
              <w:lastRenderedPageBreak/>
              <w:t>AUS</w:t>
            </w:r>
          </w:p>
          <w:p w14:paraId="72DF7674"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2E02808C" w14:textId="77777777" w:rsidR="00F934ED" w:rsidRPr="00076E76" w:rsidRDefault="00F934ED" w:rsidP="00F934ED">
            <w:pPr>
              <w:rPr>
                <w:rFonts w:ascii="Gill Sans" w:hAnsi="Gill Sans" w:cs="Gill Sans"/>
                <w:szCs w:val="22"/>
              </w:rPr>
            </w:pPr>
          </w:p>
          <w:p w14:paraId="47B98A16" w14:textId="310A51ED" w:rsidR="00F934ED" w:rsidRPr="00076E76" w:rsidRDefault="00F934ED" w:rsidP="00F934ED">
            <w:pPr>
              <w:rPr>
                <w:rFonts w:ascii="Gill Sans" w:hAnsi="Gill Sans" w:cs="Gill Sans"/>
                <w:szCs w:val="22"/>
              </w:rPr>
            </w:pPr>
            <w:r w:rsidRPr="00076E76">
              <w:rPr>
                <w:rFonts w:ascii="Gill Sans" w:hAnsi="Gill Sans" w:cs="Gill Sans"/>
                <w:szCs w:val="22"/>
              </w:rPr>
              <w:t xml:space="preserve">Keywords. </w:t>
            </w:r>
            <w:r w:rsidRPr="00076E76">
              <w:rPr>
                <w:rFonts w:ascii="Gill Sans" w:hAnsi="Gill Sans" w:cs="Gill Sans"/>
                <w:i/>
                <w:szCs w:val="22"/>
              </w:rPr>
              <w:t>higher education; peer-led support; transition; orientation; student equity</w:t>
            </w:r>
          </w:p>
        </w:tc>
        <w:tc>
          <w:tcPr>
            <w:tcW w:w="10064" w:type="dxa"/>
          </w:tcPr>
          <w:p w14:paraId="73F5CD7B"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lastRenderedPageBreak/>
              <w:t xml:space="preserve">Context: </w:t>
            </w:r>
            <w:r w:rsidRPr="00076E76">
              <w:rPr>
                <w:rFonts w:ascii="Gill Sans" w:hAnsi="Gill Sans" w:cs="Gill Sans"/>
                <w:color w:val="000000"/>
                <w:szCs w:val="22"/>
                <w:lang w:val="en-AU"/>
              </w:rPr>
              <w:t>Offers reflection on one approach to supporting diverse students in Australian university (presumably UOW), based on community of practice model. Notes need for students to be inculcated into university practices/ routines/ conventions etc. Discusses transition program = ‘Uni-Start’ (began in 2007) which drew “</w:t>
            </w:r>
            <w:r w:rsidRPr="00076E76">
              <w:rPr>
                <w:rFonts w:ascii="Gill Sans" w:hAnsi="Gill Sans" w:cs="Gill Sans"/>
                <w:color w:val="000000"/>
                <w:szCs w:val="22"/>
              </w:rPr>
              <w:t xml:space="preserve">on the experiences of the experts within the university community to provide the skills and knowledge necessary for the “novice” or newcomer to cope with this new environment” (p.153). Set in </w:t>
            </w:r>
            <w:r w:rsidRPr="00076E76">
              <w:rPr>
                <w:rFonts w:ascii="Gill Sans" w:hAnsi="Gill Sans" w:cs="Gill Sans"/>
                <w:color w:val="000000"/>
                <w:szCs w:val="22"/>
              </w:rPr>
              <w:lastRenderedPageBreak/>
              <w:t xml:space="preserve">context of increased participation in HE and in the </w:t>
            </w:r>
            <w:proofErr w:type="spellStart"/>
            <w:r w:rsidRPr="00076E76">
              <w:rPr>
                <w:rFonts w:ascii="Gill Sans" w:hAnsi="Gill Sans" w:cs="Gill Sans"/>
                <w:color w:val="000000"/>
                <w:szCs w:val="22"/>
              </w:rPr>
              <w:t>marketised</w:t>
            </w:r>
            <w:proofErr w:type="spellEnd"/>
            <w:r w:rsidRPr="00076E76">
              <w:rPr>
                <w:rFonts w:ascii="Gill Sans" w:hAnsi="Gill Sans" w:cs="Gill Sans"/>
                <w:color w:val="000000"/>
                <w:szCs w:val="22"/>
              </w:rPr>
              <w:t xml:space="preserve"> HE </w:t>
            </w:r>
            <w:proofErr w:type="gramStart"/>
            <w:r w:rsidRPr="00076E76">
              <w:rPr>
                <w:rFonts w:ascii="Gill Sans" w:hAnsi="Gill Sans" w:cs="Gill Sans"/>
                <w:color w:val="000000"/>
                <w:szCs w:val="22"/>
              </w:rPr>
              <w:t>sector</w:t>
            </w:r>
            <w:proofErr w:type="gramEnd"/>
            <w:r w:rsidRPr="00076E76">
              <w:rPr>
                <w:rFonts w:ascii="Gill Sans" w:hAnsi="Gill Sans" w:cs="Gill Sans"/>
                <w:color w:val="000000"/>
                <w:szCs w:val="22"/>
              </w:rPr>
              <w:t xml:space="preserve"> (student-as-client and brand establishment) – working towards call for need to understand importance of student-institution relationships and communication. Cites AUSSE statistics from 2010 that suggest students were unhappy with level of familiarity with staff – many had not received ‘timely’ feedback from teachers, and a decreasing number believe their teacher knows their name (“sense of isolation and disjuncture” (p.154)) – foregrounds need to attend to social dimension of transition/ learning</w:t>
            </w:r>
          </w:p>
          <w:p w14:paraId="37D8E677" w14:textId="77777777" w:rsidR="00F934ED" w:rsidRPr="00076E76" w:rsidRDefault="00F934ED" w:rsidP="00F934ED">
            <w:pPr>
              <w:rPr>
                <w:rFonts w:ascii="Gill Sans" w:hAnsi="Gill Sans" w:cs="Gill Sans"/>
                <w:b/>
                <w:color w:val="000000"/>
                <w:szCs w:val="22"/>
                <w:lang w:val="en-AU"/>
              </w:rPr>
            </w:pPr>
            <w:r w:rsidRPr="00076E76">
              <w:rPr>
                <w:rFonts w:ascii="Gill Sans" w:hAnsi="Gill Sans" w:cs="Gill Sans"/>
                <w:b/>
                <w:color w:val="000000"/>
                <w:szCs w:val="22"/>
                <w:lang w:val="en-AU"/>
              </w:rPr>
              <w:t xml:space="preserve">Aim: </w:t>
            </w:r>
          </w:p>
          <w:p w14:paraId="170E2399"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Theoretical frame: </w:t>
            </w:r>
            <w:r w:rsidRPr="00076E76">
              <w:rPr>
                <w:rFonts w:ascii="Gill Sans" w:hAnsi="Gill Sans" w:cs="Gill Sans"/>
                <w:color w:val="000000"/>
                <w:szCs w:val="22"/>
                <w:lang w:val="en-AU"/>
              </w:rPr>
              <w:t xml:space="preserve">Based on Lave and Wenger’s concept of communities of practice, which </w:t>
            </w:r>
            <w:proofErr w:type="gramStart"/>
            <w:r w:rsidRPr="00076E76">
              <w:rPr>
                <w:rFonts w:ascii="Gill Sans" w:hAnsi="Gill Sans" w:cs="Gill Sans"/>
                <w:color w:val="000000"/>
                <w:szCs w:val="22"/>
                <w:lang w:val="en-AU"/>
              </w:rPr>
              <w:t>are ”</w:t>
            </w:r>
            <w:r w:rsidRPr="00076E76">
              <w:rPr>
                <w:rFonts w:ascii="Gill Sans" w:hAnsi="Gill Sans" w:cs="Gill Sans"/>
                <w:color w:val="000000"/>
                <w:szCs w:val="22"/>
              </w:rPr>
              <w:t>built</w:t>
            </w:r>
            <w:proofErr w:type="gramEnd"/>
            <w:r w:rsidRPr="00076E76">
              <w:rPr>
                <w:rFonts w:ascii="Gill Sans" w:hAnsi="Gill Sans" w:cs="Gill Sans"/>
                <w:color w:val="000000"/>
                <w:szCs w:val="22"/>
              </w:rPr>
              <w:t xml:space="preserve"> on the idea of shared understandings that characterize an environment, much of which is not taught formally” (p.154)</w:t>
            </w:r>
          </w:p>
          <w:p w14:paraId="1478592F"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p>
          <w:p w14:paraId="6802272E" w14:textId="77777777" w:rsidR="00F934ED" w:rsidRPr="00076E76" w:rsidRDefault="00F934ED" w:rsidP="00F934ED">
            <w:pPr>
              <w:rPr>
                <w:rFonts w:ascii="Gill Sans" w:hAnsi="Gill Sans" w:cs="Gill Sans"/>
                <w:color w:val="000000"/>
                <w:szCs w:val="22"/>
              </w:rPr>
            </w:pPr>
            <w:r w:rsidRPr="00076E76">
              <w:rPr>
                <w:rFonts w:ascii="Gill Sans" w:hAnsi="Gill Sans" w:cs="Gill Sans"/>
                <w:b/>
                <w:color w:val="000000"/>
                <w:szCs w:val="22"/>
                <w:lang w:val="en-AU"/>
              </w:rPr>
              <w:t xml:space="preserve">Findings: </w:t>
            </w:r>
            <w:r w:rsidRPr="00076E76">
              <w:rPr>
                <w:rFonts w:ascii="Gill Sans" w:hAnsi="Gill Sans" w:cs="Gill Sans"/>
                <w:color w:val="000000"/>
                <w:szCs w:val="22"/>
                <w:lang w:val="en-AU"/>
              </w:rPr>
              <w:t>Uni-Start = 2-day program: systematic and individualised approach: students encouraged to learn in socially situated context. Program = led by student facilitators (students in higher years of study) who apply for the position and are trained in adult learning principles/ techniques for facilitation/ given book vouchers as incentive-payment: “</w:t>
            </w:r>
            <w:r w:rsidRPr="00076E76">
              <w:rPr>
                <w:rFonts w:ascii="Gill Sans" w:hAnsi="Gill Sans" w:cs="Gill Sans"/>
                <w:color w:val="000000"/>
                <w:szCs w:val="22"/>
              </w:rPr>
              <w:t xml:space="preserve">This peer-led transition program utilizes experiential, situated learning activities, building on a constructivist approach that recognizes the need for learning to be situated within the environment where these new skills and knowledge will be used” </w:t>
            </w:r>
          </w:p>
          <w:p w14:paraId="35A5F803" w14:textId="7777777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rPr>
              <w:t>(p.155). Program content based on what student-facilitators view as ‘missing’ and engage new students in ‘meaningful dialogue’. New students encouraged to reflect on skills and knowledges they bring to university. Activities include: ice-breakers, orientation/ scavenger hunts/ trivia tests; also, sometimes = presentations on university terminology/ essay writing etc. (decided by student facilitators).</w:t>
            </w:r>
          </w:p>
          <w:p w14:paraId="3B285EEF" w14:textId="7777777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rPr>
              <w:t>Discussion of evaluations and feedback gained: mostly satisfied and considered relevant. Follow up phone call data = all students would recommend attending the program. More discipline-specific focus desired</w:t>
            </w:r>
          </w:p>
          <w:p w14:paraId="33F34F8D" w14:textId="57B97F45"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rPr>
              <w:t>Opportunity for student-facilitators to ‘give back’ = “unexpected outcome” (p.157). ‘A number of’ facilitators expressed that they would be happy to do it in voluntary capacity</w:t>
            </w:r>
          </w:p>
        </w:tc>
      </w:tr>
      <w:tr w:rsidR="00F934ED" w:rsidRPr="00076E76" w14:paraId="5D661A28" w14:textId="77777777" w:rsidTr="002E557C">
        <w:tc>
          <w:tcPr>
            <w:tcW w:w="5529" w:type="dxa"/>
          </w:tcPr>
          <w:p w14:paraId="01D02B4B" w14:textId="5CEDFA94" w:rsidR="00F934ED" w:rsidRPr="007A6A23" w:rsidRDefault="00F934ED" w:rsidP="00F934ED">
            <w:pPr>
              <w:rPr>
                <w:rFonts w:ascii="Gill Sans" w:hAnsi="Gill Sans" w:cs="Gill Sans"/>
                <w:color w:val="222222"/>
                <w:shd w:val="clear" w:color="auto" w:fill="FFFFFF"/>
              </w:rPr>
            </w:pPr>
            <w:r w:rsidRPr="00076E76">
              <w:rPr>
                <w:rFonts w:ascii="Gill Sans" w:hAnsi="Gill Sans" w:cs="Gill Sans"/>
                <w:szCs w:val="22"/>
              </w:rPr>
              <w:lastRenderedPageBreak/>
              <w:t xml:space="preserve">Pallas, A. (2003). </w:t>
            </w:r>
            <w:hyperlink r:id="rId108" w:history="1">
              <w:r w:rsidRPr="00DF63D4">
                <w:rPr>
                  <w:rStyle w:val="Hyperlink"/>
                  <w:rFonts w:ascii="Gill Sans" w:hAnsi="Gill Sans" w:cs="Gill Sans"/>
                </w:rPr>
                <w:t>‘</w:t>
              </w:r>
              <w:r w:rsidRPr="00DF63D4">
                <w:rPr>
                  <w:rStyle w:val="Hyperlink"/>
                  <w:rFonts w:ascii="Gill Sans" w:hAnsi="Gill Sans" w:cs="Gill Sans"/>
                  <w:shd w:val="clear" w:color="auto" w:fill="FFFFFF"/>
                </w:rPr>
                <w:t>Educational transitions, trajectories, and pathways</w:t>
              </w:r>
            </w:hyperlink>
            <w:r w:rsidRPr="007A6A23">
              <w:rPr>
                <w:rFonts w:ascii="Gill Sans" w:hAnsi="Gill Sans" w:cs="Gill Sans"/>
                <w:color w:val="222222"/>
                <w:shd w:val="clear" w:color="auto" w:fill="FFFFFF"/>
              </w:rPr>
              <w:t xml:space="preserve">’. In </w:t>
            </w:r>
            <w:proofErr w:type="spellStart"/>
            <w:r w:rsidRPr="007A6A23">
              <w:rPr>
                <w:rFonts w:ascii="Gill Sans" w:hAnsi="Gill Sans" w:cs="Gill Sans"/>
                <w:color w:val="222222"/>
                <w:shd w:val="clear" w:color="auto" w:fill="FFFFFF"/>
              </w:rPr>
              <w:t>Jeylan</w:t>
            </w:r>
            <w:proofErr w:type="spellEnd"/>
            <w:r w:rsidRPr="007A6A23">
              <w:rPr>
                <w:rFonts w:ascii="Gill Sans" w:hAnsi="Gill Sans" w:cs="Gill Sans"/>
                <w:color w:val="222222"/>
                <w:shd w:val="clear" w:color="auto" w:fill="FFFFFF"/>
              </w:rPr>
              <w:t>, M. &amp; Shanahan, M. (Eds).</w:t>
            </w:r>
            <w:r w:rsidRPr="007A6A23">
              <w:rPr>
                <w:rStyle w:val="apple-converted-space"/>
                <w:rFonts w:ascii="Gill Sans" w:hAnsi="Gill Sans" w:cs="Gill Sans"/>
                <w:color w:val="222222"/>
                <w:shd w:val="clear" w:color="auto" w:fill="FFFFFF"/>
              </w:rPr>
              <w:t> </w:t>
            </w:r>
            <w:r w:rsidRPr="007A6A23">
              <w:rPr>
                <w:rFonts w:ascii="Gill Sans" w:hAnsi="Gill Sans" w:cs="Gill Sans"/>
                <w:i/>
                <w:iCs/>
                <w:color w:val="222222"/>
                <w:shd w:val="clear" w:color="auto" w:fill="FFFFFF"/>
              </w:rPr>
              <w:t>Handbook of the Life Course</w:t>
            </w:r>
            <w:r w:rsidRPr="007A6A23">
              <w:rPr>
                <w:rFonts w:ascii="Gill Sans" w:hAnsi="Gill Sans" w:cs="Gill Sans"/>
                <w:color w:val="222222"/>
                <w:shd w:val="clear" w:color="auto" w:fill="FFFFFF"/>
              </w:rPr>
              <w:t>.</w:t>
            </w:r>
            <w:r w:rsidRPr="007A6A23">
              <w:rPr>
                <w:rStyle w:val="apple-converted-space"/>
                <w:rFonts w:ascii="Gill Sans" w:hAnsi="Gill Sans" w:cs="Gill Sans"/>
                <w:color w:val="222222"/>
                <w:shd w:val="clear" w:color="auto" w:fill="FFFFFF"/>
              </w:rPr>
              <w:t> </w:t>
            </w:r>
            <w:r w:rsidRPr="007A6A23">
              <w:rPr>
                <w:rFonts w:ascii="Gill Sans" w:hAnsi="Gill Sans" w:cs="Gill Sans"/>
              </w:rPr>
              <w:t>New York</w:t>
            </w:r>
            <w:r w:rsidRPr="007A6A23">
              <w:rPr>
                <w:rFonts w:ascii="Gill Sans" w:hAnsi="Gill Sans" w:cs="Gill Sans"/>
                <w:color w:val="222222"/>
                <w:shd w:val="clear" w:color="auto" w:fill="FFFFFF"/>
              </w:rPr>
              <w:t>: Plenum, pp. 165–184.</w:t>
            </w:r>
          </w:p>
          <w:p w14:paraId="2A198622" w14:textId="77777777" w:rsidR="00F934ED" w:rsidRPr="007A6A23" w:rsidRDefault="00F934ED" w:rsidP="00F934ED">
            <w:pPr>
              <w:rPr>
                <w:rFonts w:ascii="Gill Sans" w:hAnsi="Gill Sans" w:cs="Gill Sans"/>
                <w:color w:val="222222"/>
                <w:shd w:val="clear" w:color="auto" w:fill="FFFFFF"/>
              </w:rPr>
            </w:pPr>
          </w:p>
          <w:p w14:paraId="17EE86B2" w14:textId="77777777" w:rsidR="00DF63D4" w:rsidRDefault="00DF63D4" w:rsidP="00F934ED">
            <w:pPr>
              <w:rPr>
                <w:rFonts w:ascii="Gill Sans" w:hAnsi="Gill Sans" w:cs="Gill Sans"/>
                <w:szCs w:val="22"/>
              </w:rPr>
            </w:pPr>
          </w:p>
          <w:p w14:paraId="30E049B4" w14:textId="77777777" w:rsidR="00DF63D4" w:rsidRDefault="00DF63D4" w:rsidP="00F934ED">
            <w:pPr>
              <w:rPr>
                <w:rFonts w:ascii="Gill Sans" w:hAnsi="Gill Sans" w:cs="Gill Sans"/>
                <w:szCs w:val="22"/>
              </w:rPr>
            </w:pPr>
          </w:p>
          <w:p w14:paraId="4E288941" w14:textId="4D4E4FFA" w:rsidR="00DF63D4" w:rsidRDefault="00DF63D4" w:rsidP="00F934ED">
            <w:pPr>
              <w:rPr>
                <w:rFonts w:ascii="Gill Sans" w:hAnsi="Gill Sans" w:cs="Gill Sans"/>
                <w:szCs w:val="22"/>
              </w:rPr>
            </w:pPr>
            <w:r>
              <w:rPr>
                <w:rFonts w:ascii="Gill Sans" w:hAnsi="Gill Sans" w:cs="Gill Sans"/>
                <w:szCs w:val="22"/>
              </w:rPr>
              <w:t>US</w:t>
            </w:r>
          </w:p>
          <w:p w14:paraId="303B8E70" w14:textId="27785383" w:rsidR="00F934ED" w:rsidRPr="00076E76" w:rsidRDefault="00F934ED" w:rsidP="00F934ED">
            <w:pPr>
              <w:rPr>
                <w:rFonts w:ascii="Gill Sans" w:hAnsi="Gill Sans" w:cs="Gill Sans"/>
                <w:szCs w:val="22"/>
              </w:rPr>
            </w:pPr>
            <w:r w:rsidRPr="007A6A23">
              <w:rPr>
                <w:rFonts w:ascii="Gill Sans" w:hAnsi="Gill Sans" w:cs="Gill Sans"/>
                <w:szCs w:val="22"/>
              </w:rPr>
              <w:lastRenderedPageBreak/>
              <w:t>Annotation by Sally</w:t>
            </w:r>
            <w:r w:rsidRPr="00076E76">
              <w:rPr>
                <w:rFonts w:ascii="Gill Sans" w:hAnsi="Gill Sans" w:cs="Gill Sans"/>
                <w:szCs w:val="22"/>
              </w:rPr>
              <w:t xml:space="preserve"> Baker</w:t>
            </w:r>
          </w:p>
          <w:p w14:paraId="6A808085" w14:textId="77777777" w:rsidR="00F934ED" w:rsidRDefault="00F934ED" w:rsidP="00F934ED">
            <w:pPr>
              <w:rPr>
                <w:rFonts w:ascii="Gill Sans" w:hAnsi="Gill Sans" w:cs="Gill Sans"/>
                <w:szCs w:val="22"/>
              </w:rPr>
            </w:pPr>
          </w:p>
          <w:p w14:paraId="51AE1117" w14:textId="77777777" w:rsidR="00DF63D4" w:rsidRDefault="00DF63D4" w:rsidP="00F934ED">
            <w:pPr>
              <w:rPr>
                <w:rFonts w:ascii="Gill Sans" w:hAnsi="Gill Sans" w:cs="Gill Sans"/>
                <w:szCs w:val="22"/>
              </w:rPr>
            </w:pPr>
          </w:p>
          <w:p w14:paraId="6FCBC57D" w14:textId="5ECF4C46" w:rsidR="00DF63D4" w:rsidRPr="00076E76" w:rsidRDefault="00DF63D4" w:rsidP="00F934ED">
            <w:pPr>
              <w:rPr>
                <w:rFonts w:ascii="Gill Sans" w:hAnsi="Gill Sans" w:cs="Gill Sans"/>
                <w:szCs w:val="22"/>
              </w:rPr>
            </w:pPr>
          </w:p>
        </w:tc>
        <w:tc>
          <w:tcPr>
            <w:tcW w:w="10064" w:type="dxa"/>
          </w:tcPr>
          <w:p w14:paraId="68F01840" w14:textId="6063EEC2"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lastRenderedPageBreak/>
              <w:t xml:space="preserve">Context: </w:t>
            </w:r>
            <w:r w:rsidRPr="00076E76">
              <w:rPr>
                <w:rFonts w:ascii="Gill Sans" w:hAnsi="Gill Sans" w:cs="Gill Sans"/>
                <w:color w:val="000000"/>
                <w:szCs w:val="22"/>
                <w:lang w:val="en-AU"/>
              </w:rPr>
              <w:t xml:space="preserve">American. Exploration of educational transitions, trajectories, pathways – seeking to conceptualise. Transition = phenomenon + “determinant of subsequent outcomes throughout the life course” (p.165). Notes sociology’s preoccupation with social mobility and shifts in thinking once scholars moved beyond fixed temporal notions of schooling and moved towards life course models = age/aging = analytic concepts. </w:t>
            </w:r>
          </w:p>
          <w:p w14:paraId="5DDF4C01" w14:textId="095EFEA9"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sidRPr="00076E76">
              <w:rPr>
                <w:rFonts w:ascii="Gill Sans" w:hAnsi="Gill Sans" w:cs="Gill Sans"/>
                <w:color w:val="000000"/>
                <w:szCs w:val="22"/>
                <w:lang w:val="en-AU"/>
              </w:rPr>
              <w:t>To examine study of ‘well-travelled pathways’, pathways and trajectories</w:t>
            </w:r>
          </w:p>
          <w:p w14:paraId="5A73ACC3" w14:textId="78CA2C91"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Theoretical frame: </w:t>
            </w:r>
            <w:r w:rsidRPr="00076E76">
              <w:rPr>
                <w:rFonts w:ascii="Gill Sans" w:hAnsi="Gill Sans" w:cs="Gill Sans"/>
                <w:color w:val="000000"/>
                <w:szCs w:val="22"/>
                <w:lang w:val="en-AU"/>
              </w:rPr>
              <w:t xml:space="preserve">Sociology of education from dominant foci: time, age/aging, stratification + social </w:t>
            </w:r>
            <w:r w:rsidRPr="00076E76">
              <w:rPr>
                <w:rFonts w:ascii="Gill Sans" w:hAnsi="Gill Sans" w:cs="Gill Sans"/>
                <w:color w:val="000000"/>
                <w:szCs w:val="22"/>
                <w:lang w:val="en-AU"/>
              </w:rPr>
              <w:lastRenderedPageBreak/>
              <w:t>mobility</w:t>
            </w:r>
          </w:p>
          <w:p w14:paraId="22B78BFC" w14:textId="74CB6516"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Essay</w:t>
            </w:r>
          </w:p>
          <w:p w14:paraId="51C2E68E" w14:textId="77777777" w:rsidR="00F934ED" w:rsidRPr="00076E76" w:rsidRDefault="00F934ED" w:rsidP="00F934ED">
            <w:pPr>
              <w:rPr>
                <w:rFonts w:ascii="Gill Sans" w:hAnsi="Gill Sans" w:cs="Gill Sans"/>
                <w:b/>
                <w:color w:val="000000"/>
                <w:szCs w:val="22"/>
                <w:lang w:val="en-AU"/>
              </w:rPr>
            </w:pPr>
            <w:r w:rsidRPr="00076E76">
              <w:rPr>
                <w:rFonts w:ascii="Gill Sans" w:hAnsi="Gill Sans" w:cs="Gill Sans"/>
                <w:b/>
                <w:color w:val="000000"/>
                <w:szCs w:val="22"/>
                <w:lang w:val="en-AU"/>
              </w:rPr>
              <w:t>Discussion:</w:t>
            </w:r>
          </w:p>
          <w:p w14:paraId="44470F3D"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Pathways = related to careers: “well-</w:t>
            </w:r>
            <w:proofErr w:type="spellStart"/>
            <w:r w:rsidRPr="00076E76">
              <w:rPr>
                <w:rFonts w:ascii="Gill Sans" w:hAnsi="Gill Sans" w:cs="Gill Sans"/>
                <w:color w:val="000000"/>
                <w:szCs w:val="22"/>
                <w:lang w:val="en-AU"/>
              </w:rPr>
              <w:t>traveled</w:t>
            </w:r>
            <w:proofErr w:type="spellEnd"/>
            <w:r w:rsidRPr="00076E76">
              <w:rPr>
                <w:rFonts w:ascii="Gill Sans" w:hAnsi="Gill Sans" w:cs="Gill Sans"/>
                <w:color w:val="000000"/>
                <w:szCs w:val="22"/>
                <w:lang w:val="en-AU"/>
              </w:rPr>
              <w:t xml:space="preserve"> sequences of transitions that are shaped by cultural and structural forces” (p.168; cites Elder 1985). </w:t>
            </w:r>
            <w:r w:rsidRPr="00076E76">
              <w:rPr>
                <w:rFonts w:ascii="Gill Sans" w:hAnsi="Gill Sans" w:cs="Gill Sans"/>
                <w:b/>
                <w:color w:val="000000"/>
                <w:szCs w:val="22"/>
                <w:lang w:val="en-AU"/>
              </w:rPr>
              <w:t>Trajectory = “attribute of an individual, while a pathway is an attribute of a social system”</w:t>
            </w:r>
            <w:r w:rsidRPr="00076E76">
              <w:rPr>
                <w:rFonts w:ascii="Gill Sans" w:hAnsi="Gill Sans" w:cs="Gill Sans"/>
                <w:color w:val="000000"/>
                <w:szCs w:val="22"/>
                <w:lang w:val="en-AU"/>
              </w:rPr>
              <w:t xml:space="preserve"> (p.168) = earlier work placed individual in foreground/ opportunity structure in background, this has now subverted. Pallas argues considering both individual agency + social structure = “more complete accounting of status attainment” (p.168) – school systems = sorting systems (connection to status attainment), which opens and closes particular pathways to particular people. </w:t>
            </w:r>
          </w:p>
          <w:p w14:paraId="7A92E809" w14:textId="4D4AA0C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Identifies 8 features of educational pathways that structure educational trajectories (see p.169):</w:t>
            </w:r>
          </w:p>
          <w:p w14:paraId="5C452407" w14:textId="3166C67A" w:rsidR="00F934ED" w:rsidRPr="00076E76" w:rsidRDefault="00F934ED" w:rsidP="00F934ED">
            <w:pPr>
              <w:pStyle w:val="ListParagraph"/>
              <w:numPr>
                <w:ilvl w:val="0"/>
                <w:numId w:val="15"/>
              </w:numPr>
              <w:rPr>
                <w:rFonts w:ascii="Gill Sans" w:hAnsi="Gill Sans" w:cs="Gill Sans"/>
                <w:color w:val="000000"/>
                <w:szCs w:val="22"/>
                <w:lang w:val="en-AU"/>
              </w:rPr>
            </w:pPr>
            <w:r w:rsidRPr="00076E76">
              <w:rPr>
                <w:rFonts w:ascii="Gill Sans" w:hAnsi="Gill Sans" w:cs="Gill Sans"/>
                <w:color w:val="000000"/>
                <w:szCs w:val="22"/>
                <w:lang w:val="en-AU"/>
              </w:rPr>
              <w:t>scope</w:t>
            </w:r>
          </w:p>
          <w:p w14:paraId="1A83126E" w14:textId="77777777" w:rsidR="00F934ED" w:rsidRPr="00076E76" w:rsidRDefault="00F934ED" w:rsidP="00F934ED">
            <w:pPr>
              <w:pStyle w:val="ListParagraph"/>
              <w:numPr>
                <w:ilvl w:val="0"/>
                <w:numId w:val="15"/>
              </w:numPr>
              <w:rPr>
                <w:rFonts w:ascii="Gill Sans" w:hAnsi="Gill Sans" w:cs="Gill Sans"/>
                <w:color w:val="000000"/>
                <w:szCs w:val="22"/>
                <w:lang w:val="en-AU"/>
              </w:rPr>
            </w:pPr>
            <w:r w:rsidRPr="00076E76">
              <w:rPr>
                <w:rFonts w:ascii="Gill Sans" w:hAnsi="Gill Sans" w:cs="Gill Sans"/>
                <w:color w:val="000000"/>
                <w:szCs w:val="22"/>
                <w:lang w:val="en-AU"/>
              </w:rPr>
              <w:t>selectivity</w:t>
            </w:r>
          </w:p>
          <w:p w14:paraId="6FE29826" w14:textId="77777777" w:rsidR="00F934ED" w:rsidRPr="00076E76" w:rsidRDefault="00F934ED" w:rsidP="00F934ED">
            <w:pPr>
              <w:pStyle w:val="ListParagraph"/>
              <w:numPr>
                <w:ilvl w:val="0"/>
                <w:numId w:val="15"/>
              </w:numPr>
              <w:rPr>
                <w:rFonts w:ascii="Gill Sans" w:hAnsi="Gill Sans" w:cs="Gill Sans"/>
                <w:color w:val="000000"/>
                <w:szCs w:val="22"/>
                <w:lang w:val="en-AU"/>
              </w:rPr>
            </w:pPr>
            <w:r w:rsidRPr="00076E76">
              <w:rPr>
                <w:rFonts w:ascii="Gill Sans" w:hAnsi="Gill Sans" w:cs="Gill Sans"/>
                <w:color w:val="000000"/>
                <w:szCs w:val="22"/>
                <w:lang w:val="en-AU"/>
              </w:rPr>
              <w:t>specificity</w:t>
            </w:r>
          </w:p>
          <w:p w14:paraId="3E600EC6" w14:textId="77777777" w:rsidR="00F934ED" w:rsidRPr="00076E76" w:rsidRDefault="00F934ED" w:rsidP="00F934ED">
            <w:pPr>
              <w:pStyle w:val="ListParagraph"/>
              <w:numPr>
                <w:ilvl w:val="0"/>
                <w:numId w:val="15"/>
              </w:numPr>
              <w:rPr>
                <w:rFonts w:ascii="Gill Sans" w:hAnsi="Gill Sans" w:cs="Gill Sans"/>
                <w:color w:val="000000"/>
                <w:szCs w:val="22"/>
                <w:lang w:val="en-AU"/>
              </w:rPr>
            </w:pPr>
            <w:r w:rsidRPr="00076E76">
              <w:rPr>
                <w:rFonts w:ascii="Gill Sans" w:hAnsi="Gill Sans" w:cs="Gill Sans"/>
                <w:color w:val="000000"/>
                <w:szCs w:val="22"/>
                <w:lang w:val="en-AU"/>
              </w:rPr>
              <w:t>mobility</w:t>
            </w:r>
          </w:p>
          <w:p w14:paraId="1CF69EF1" w14:textId="77777777" w:rsidR="00F934ED" w:rsidRPr="00076E76" w:rsidRDefault="00F934ED" w:rsidP="00F934ED">
            <w:pPr>
              <w:pStyle w:val="ListParagraph"/>
              <w:numPr>
                <w:ilvl w:val="0"/>
                <w:numId w:val="15"/>
              </w:numPr>
              <w:rPr>
                <w:rFonts w:ascii="Gill Sans" w:hAnsi="Gill Sans" w:cs="Gill Sans"/>
                <w:color w:val="000000"/>
                <w:szCs w:val="22"/>
                <w:lang w:val="en-AU"/>
              </w:rPr>
            </w:pPr>
            <w:r w:rsidRPr="00076E76">
              <w:rPr>
                <w:rFonts w:ascii="Gill Sans" w:hAnsi="Gill Sans" w:cs="Gill Sans"/>
                <w:color w:val="000000"/>
                <w:szCs w:val="22"/>
                <w:lang w:val="en-AU"/>
              </w:rPr>
              <w:t>curricular differentiation</w:t>
            </w:r>
          </w:p>
          <w:p w14:paraId="700057B8" w14:textId="77777777" w:rsidR="00F934ED" w:rsidRPr="00076E76" w:rsidRDefault="00F934ED" w:rsidP="00F934ED">
            <w:pPr>
              <w:pStyle w:val="ListParagraph"/>
              <w:numPr>
                <w:ilvl w:val="0"/>
                <w:numId w:val="15"/>
              </w:numPr>
              <w:rPr>
                <w:rFonts w:ascii="Gill Sans" w:hAnsi="Gill Sans" w:cs="Gill Sans"/>
                <w:color w:val="000000"/>
                <w:szCs w:val="22"/>
                <w:lang w:val="en-AU"/>
              </w:rPr>
            </w:pPr>
            <w:r w:rsidRPr="00076E76">
              <w:rPr>
                <w:rFonts w:ascii="Gill Sans" w:hAnsi="Gill Sans" w:cs="Gill Sans"/>
                <w:color w:val="000000"/>
                <w:szCs w:val="22"/>
                <w:lang w:val="en-AU"/>
              </w:rPr>
              <w:t>electivity</w:t>
            </w:r>
          </w:p>
          <w:p w14:paraId="1351EB42" w14:textId="77777777" w:rsidR="00F934ED" w:rsidRPr="00076E76" w:rsidRDefault="00F934ED" w:rsidP="00F934ED">
            <w:pPr>
              <w:pStyle w:val="ListParagraph"/>
              <w:numPr>
                <w:ilvl w:val="0"/>
                <w:numId w:val="15"/>
              </w:numPr>
              <w:rPr>
                <w:rFonts w:ascii="Gill Sans" w:hAnsi="Gill Sans" w:cs="Gill Sans"/>
                <w:color w:val="000000"/>
                <w:szCs w:val="22"/>
                <w:lang w:val="en-AU"/>
              </w:rPr>
            </w:pPr>
            <w:r w:rsidRPr="00076E76">
              <w:rPr>
                <w:rFonts w:ascii="Gill Sans" w:hAnsi="Gill Sans" w:cs="Gill Sans"/>
                <w:color w:val="000000"/>
                <w:szCs w:val="22"/>
                <w:lang w:val="en-AU"/>
              </w:rPr>
              <w:t>stigma</w:t>
            </w:r>
          </w:p>
          <w:p w14:paraId="46BBBB41" w14:textId="7337CD10" w:rsidR="00F934ED" w:rsidRPr="00076E76" w:rsidRDefault="00F934ED" w:rsidP="00F934ED">
            <w:pPr>
              <w:pStyle w:val="ListParagraph"/>
              <w:numPr>
                <w:ilvl w:val="0"/>
                <w:numId w:val="15"/>
              </w:numPr>
              <w:rPr>
                <w:rFonts w:ascii="Gill Sans" w:hAnsi="Gill Sans" w:cs="Gill Sans"/>
                <w:color w:val="000000"/>
                <w:szCs w:val="22"/>
                <w:lang w:val="en-AU"/>
              </w:rPr>
            </w:pPr>
            <w:r w:rsidRPr="00076E76">
              <w:rPr>
                <w:rFonts w:ascii="Gill Sans" w:hAnsi="Gill Sans" w:cs="Gill Sans"/>
                <w:color w:val="000000"/>
                <w:szCs w:val="22"/>
                <w:lang w:val="en-AU"/>
              </w:rPr>
              <w:t>institutionalisation</w:t>
            </w:r>
          </w:p>
          <w:p w14:paraId="030D0EAD"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 xml:space="preserve">Until recently, sociologists = interest = adolescence to adulthood, with normative markers (e.g. leaving school, getting married). Age= becoming less important in educational journeys (through sociological lens) = ‘non-traditional’ students. </w:t>
            </w:r>
            <w:proofErr w:type="spellStart"/>
            <w:r w:rsidRPr="00076E76">
              <w:rPr>
                <w:rFonts w:ascii="Gill Sans" w:hAnsi="Gill Sans" w:cs="Gill Sans"/>
                <w:color w:val="000000"/>
                <w:szCs w:val="22"/>
                <w:lang w:val="en-AU"/>
              </w:rPr>
              <w:t>Lifecourse</w:t>
            </w:r>
            <w:proofErr w:type="spellEnd"/>
            <w:r w:rsidRPr="00076E76">
              <w:rPr>
                <w:rFonts w:ascii="Gill Sans" w:hAnsi="Gill Sans" w:cs="Gill Sans"/>
                <w:color w:val="000000"/>
                <w:szCs w:val="22"/>
                <w:lang w:val="en-AU"/>
              </w:rPr>
              <w:t xml:space="preserve"> perspective = “implies that educational trajectories ought not to be studied in isolation from other social institutions and from other social roles associated with participation in those institutions, because such roles are intertwined in complex ways” (p.170), resulting from prolonged schooling, different modes of parenting, more accommodation of interruptions (also gender = significant)</w:t>
            </w:r>
          </w:p>
          <w:p w14:paraId="47A1B061"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Pallas problematizes ‘vertical differentiation of education status’ (e.g. 14 years of schooling = prepared for university when 2 year college degree nominally does the same; see p.171). Other systems rely more on horizontal differentiation (between institutions/ different locations in same institution).</w:t>
            </w:r>
          </w:p>
          <w:p w14:paraId="4F12842D"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Discusses CASMIN classification (p.171-2)</w:t>
            </w:r>
          </w:p>
          <w:p w14:paraId="312F8A23"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Offers overview of different analytic approaches on educational attainment + social mobility (ordered sequence based on binary choices) = critiqued and ‘</w:t>
            </w:r>
            <w:proofErr w:type="spellStart"/>
            <w:r w:rsidRPr="00076E76">
              <w:rPr>
                <w:rFonts w:ascii="Gill Sans" w:hAnsi="Gill Sans" w:cs="Gill Sans"/>
                <w:color w:val="000000"/>
                <w:szCs w:val="22"/>
                <w:lang w:val="en-AU"/>
              </w:rPr>
              <w:t>multnominal</w:t>
            </w:r>
            <w:proofErr w:type="spellEnd"/>
            <w:r w:rsidRPr="00076E76">
              <w:rPr>
                <w:rFonts w:ascii="Gill Sans" w:hAnsi="Gill Sans" w:cs="Gill Sans"/>
                <w:color w:val="000000"/>
                <w:szCs w:val="22"/>
                <w:lang w:val="en-AU"/>
              </w:rPr>
              <w:t xml:space="preserve"> logit model’ = suggested as better for more realistic models</w:t>
            </w:r>
          </w:p>
          <w:p w14:paraId="148D68E0"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Research into ‘shape’ of educational trajectories (and discussion of Matthew effect; see p.174)</w:t>
            </w:r>
          </w:p>
          <w:p w14:paraId="7764498A" w14:textId="0A141044" w:rsidR="00F934ED" w:rsidRPr="00076E76" w:rsidRDefault="00F934ED" w:rsidP="00F934ED">
            <w:pPr>
              <w:rPr>
                <w:rFonts w:ascii="Gill Sans" w:hAnsi="Gill Sans" w:cs="Gill Sans"/>
                <w:b/>
                <w:color w:val="000000"/>
                <w:szCs w:val="22"/>
                <w:lang w:val="en-AU"/>
              </w:rPr>
            </w:pPr>
            <w:r w:rsidRPr="00076E76">
              <w:rPr>
                <w:rFonts w:ascii="Gill Sans" w:hAnsi="Gill Sans" w:cs="Gill Sans"/>
                <w:color w:val="000000"/>
                <w:szCs w:val="22"/>
                <w:lang w:val="en-AU"/>
              </w:rPr>
              <w:lastRenderedPageBreak/>
              <w:t xml:space="preserve">Diverging pathways = see </w:t>
            </w:r>
            <w:proofErr w:type="spellStart"/>
            <w:r w:rsidRPr="00076E76">
              <w:rPr>
                <w:rFonts w:ascii="Gill Sans" w:hAnsi="Gill Sans" w:cs="Gill Sans"/>
                <w:color w:val="000000"/>
                <w:szCs w:val="22"/>
                <w:lang w:val="en-AU"/>
              </w:rPr>
              <w:t>Kerckhoff</w:t>
            </w:r>
            <w:proofErr w:type="spellEnd"/>
            <w:r w:rsidRPr="00076E76">
              <w:rPr>
                <w:rFonts w:ascii="Gill Sans" w:hAnsi="Gill Sans" w:cs="Gill Sans"/>
                <w:color w:val="000000"/>
                <w:szCs w:val="22"/>
                <w:lang w:val="en-AU"/>
              </w:rPr>
              <w:t xml:space="preserve"> (1993) = British tracking study of birth to 23 = able to measure individuals’ positions at multiple points [and in multiple spaces/ positions]</w:t>
            </w:r>
          </w:p>
        </w:tc>
      </w:tr>
      <w:tr w:rsidR="00F934ED" w:rsidRPr="00076E76" w14:paraId="46054C35" w14:textId="77777777" w:rsidTr="001660B6">
        <w:tc>
          <w:tcPr>
            <w:tcW w:w="5529" w:type="dxa"/>
            <w:shd w:val="clear" w:color="auto" w:fill="auto"/>
          </w:tcPr>
          <w:p w14:paraId="79FF93D2" w14:textId="52857614" w:rsidR="00F934ED" w:rsidRPr="00076E76" w:rsidRDefault="00F934ED" w:rsidP="00F934ED">
            <w:pPr>
              <w:rPr>
                <w:rFonts w:ascii="Gill Sans" w:hAnsi="Gill Sans" w:cs="Gill Sans"/>
                <w:szCs w:val="22"/>
              </w:rPr>
            </w:pPr>
            <w:r w:rsidRPr="00076E76">
              <w:rPr>
                <w:rFonts w:ascii="Gill Sans" w:hAnsi="Gill Sans" w:cs="Gill Sans"/>
                <w:szCs w:val="22"/>
              </w:rPr>
              <w:lastRenderedPageBreak/>
              <w:t xml:space="preserve">Palmer, M., P. O’Kane, and M. Owens. (2009). </w:t>
            </w:r>
            <w:hyperlink r:id="rId109" w:history="1">
              <w:r w:rsidRPr="006224C5">
                <w:rPr>
                  <w:rStyle w:val="Hyperlink"/>
                  <w:rFonts w:ascii="Gill Sans" w:hAnsi="Gill Sans" w:cs="Gill Sans"/>
                  <w:szCs w:val="22"/>
                </w:rPr>
                <w:t>Betwixt Spaces: Student Accounts of Turning Point Experiences in the First-Year Transition</w:t>
              </w:r>
            </w:hyperlink>
            <w:r>
              <w:rPr>
                <w:rFonts w:ascii="Gill Sans" w:hAnsi="Gill Sans" w:cs="Gill Sans"/>
                <w:szCs w:val="22"/>
              </w:rPr>
              <w:t>,</w:t>
            </w:r>
            <w:r w:rsidRPr="00076E76">
              <w:rPr>
                <w:rFonts w:ascii="Gill Sans" w:hAnsi="Gill Sans" w:cs="Gill Sans"/>
                <w:szCs w:val="22"/>
              </w:rPr>
              <w:t xml:space="preserve"> </w:t>
            </w:r>
            <w:r w:rsidRPr="00076E76">
              <w:rPr>
                <w:rFonts w:ascii="Gill Sans" w:hAnsi="Gill Sans" w:cs="Gill Sans"/>
                <w:i/>
                <w:szCs w:val="22"/>
              </w:rPr>
              <w:t>Studies in Higher Education</w:t>
            </w:r>
            <w:r>
              <w:rPr>
                <w:rFonts w:ascii="Gill Sans" w:hAnsi="Gill Sans" w:cs="Gill Sans"/>
                <w:szCs w:val="22"/>
              </w:rPr>
              <w:t>, 34(1),</w:t>
            </w:r>
            <w:r w:rsidRPr="00076E76">
              <w:rPr>
                <w:rFonts w:ascii="Gill Sans" w:hAnsi="Gill Sans" w:cs="Gill Sans"/>
                <w:szCs w:val="22"/>
              </w:rPr>
              <w:t xml:space="preserve"> 37–54.</w:t>
            </w:r>
          </w:p>
          <w:p w14:paraId="5CD6D620" w14:textId="77777777" w:rsidR="00F934ED" w:rsidRPr="00076E76" w:rsidRDefault="00F934ED" w:rsidP="00F934ED">
            <w:pPr>
              <w:rPr>
                <w:rFonts w:ascii="Gill Sans" w:hAnsi="Gill Sans" w:cs="Gill Sans"/>
                <w:szCs w:val="22"/>
              </w:rPr>
            </w:pPr>
          </w:p>
          <w:p w14:paraId="38E166C3" w14:textId="77777777" w:rsidR="00F934ED" w:rsidRPr="00076E76" w:rsidRDefault="00F934ED" w:rsidP="00F934ED">
            <w:pPr>
              <w:rPr>
                <w:rFonts w:ascii="Gill Sans" w:hAnsi="Gill Sans" w:cs="Gill Sans"/>
                <w:szCs w:val="22"/>
              </w:rPr>
            </w:pPr>
            <w:r w:rsidRPr="00076E76">
              <w:rPr>
                <w:rFonts w:ascii="Gill Sans" w:hAnsi="Gill Sans" w:cs="Gill Sans"/>
                <w:szCs w:val="22"/>
              </w:rPr>
              <w:t>UK</w:t>
            </w:r>
          </w:p>
          <w:p w14:paraId="77D41F1F"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621DB37F" w14:textId="77777777" w:rsidR="00F934ED" w:rsidRPr="00076E76" w:rsidRDefault="00F934ED" w:rsidP="00F934ED">
            <w:pPr>
              <w:rPr>
                <w:rFonts w:ascii="Gill Sans" w:hAnsi="Gill Sans" w:cs="Gill Sans"/>
                <w:szCs w:val="22"/>
              </w:rPr>
            </w:pPr>
          </w:p>
          <w:p w14:paraId="12C72E3C" w14:textId="0A65269D" w:rsidR="00F934ED" w:rsidRPr="00076E76" w:rsidRDefault="00F934ED" w:rsidP="00F934ED">
            <w:pPr>
              <w:rPr>
                <w:rFonts w:ascii="Gill Sans" w:hAnsi="Gill Sans" w:cs="Gill Sans"/>
                <w:szCs w:val="22"/>
              </w:rPr>
            </w:pPr>
            <w:r w:rsidRPr="00076E76">
              <w:rPr>
                <w:rFonts w:ascii="Gill Sans" w:hAnsi="Gill Sans" w:cs="Gill Sans"/>
                <w:szCs w:val="22"/>
              </w:rPr>
              <w:t>Keywords</w:t>
            </w:r>
            <w:r w:rsidR="00500B09">
              <w:rPr>
                <w:rFonts w:ascii="Gill Sans" w:hAnsi="Gill Sans" w:cs="Gill Sans"/>
                <w:szCs w:val="22"/>
              </w:rPr>
              <w:t xml:space="preserve"> </w:t>
            </w:r>
            <w:r w:rsidRPr="00076E76">
              <w:rPr>
                <w:rFonts w:ascii="Gill Sans" w:hAnsi="Gill Sans" w:cs="Gill Sans"/>
                <w:szCs w:val="22"/>
              </w:rPr>
              <w:t>(S</w:t>
            </w:r>
            <w:r w:rsidR="00500B09">
              <w:rPr>
                <w:rFonts w:ascii="Gill Sans" w:hAnsi="Gill Sans" w:cs="Gill Sans"/>
                <w:szCs w:val="22"/>
              </w:rPr>
              <w:t>ally’s)</w:t>
            </w:r>
            <w:r w:rsidRPr="00076E76">
              <w:rPr>
                <w:rFonts w:ascii="Gill Sans" w:hAnsi="Gill Sans" w:cs="Gill Sans"/>
                <w:szCs w:val="22"/>
              </w:rPr>
              <w:t xml:space="preserve">: </w:t>
            </w:r>
            <w:r w:rsidRPr="00076E76">
              <w:rPr>
                <w:rFonts w:ascii="Gill Sans" w:hAnsi="Gill Sans" w:cs="Gill Sans"/>
                <w:i/>
                <w:szCs w:val="22"/>
              </w:rPr>
              <w:t>liminality, turning points, first year experience, coping strategies, transitional objects, anchors of continuance</w:t>
            </w:r>
          </w:p>
        </w:tc>
        <w:tc>
          <w:tcPr>
            <w:tcW w:w="10064" w:type="dxa"/>
          </w:tcPr>
          <w:p w14:paraId="6E092E10" w14:textId="766727DC" w:rsidR="00F934ED" w:rsidRPr="00076E76" w:rsidRDefault="00F934ED" w:rsidP="00F934ED">
            <w:pPr>
              <w:rPr>
                <w:rFonts w:ascii="Gill Sans" w:hAnsi="Gill Sans" w:cs="Gill Sans"/>
                <w:color w:val="000000"/>
                <w:szCs w:val="22"/>
              </w:rPr>
            </w:pPr>
            <w:r w:rsidRPr="00076E76">
              <w:rPr>
                <w:rFonts w:ascii="Gill Sans" w:hAnsi="Gill Sans" w:cs="Gill Sans"/>
                <w:b/>
                <w:color w:val="000000"/>
                <w:szCs w:val="22"/>
                <w:lang w:val="en-AU"/>
              </w:rPr>
              <w:t xml:space="preserve">Context: </w:t>
            </w:r>
            <w:r w:rsidRPr="00076E76">
              <w:rPr>
                <w:rFonts w:ascii="Gill Sans" w:hAnsi="Gill Sans" w:cs="Gill Sans"/>
                <w:color w:val="000000"/>
                <w:szCs w:val="22"/>
                <w:lang w:val="en-AU"/>
              </w:rPr>
              <w:t>Not belonging in first year experience/ transition studies. Scopes literature/ interest in first-year experience: “</w:t>
            </w:r>
            <w:r w:rsidRPr="00076E76">
              <w:rPr>
                <w:rFonts w:ascii="Gill Sans" w:hAnsi="Gill Sans" w:cs="Gill Sans"/>
                <w:color w:val="000000"/>
                <w:szCs w:val="22"/>
              </w:rPr>
              <w:t xml:space="preserve">At the heart of the universities’ intervention strategies is the overriding concern with retention, in which they aim to ensure that students make ‘meaningful connections’ to the university” (p.38). Notes assumptions made in dominant FYE literature: students are </w:t>
            </w:r>
            <w:r w:rsidRPr="00076E76">
              <w:rPr>
                <w:rFonts w:ascii="Gill Sans" w:hAnsi="Gill Sans" w:cs="Gill Sans"/>
                <w:i/>
                <w:color w:val="000000"/>
                <w:szCs w:val="22"/>
              </w:rPr>
              <w:t xml:space="preserve">at </w:t>
            </w:r>
            <w:r w:rsidRPr="00076E76">
              <w:rPr>
                <w:rFonts w:ascii="Gill Sans" w:hAnsi="Gill Sans" w:cs="Gill Sans"/>
                <w:color w:val="000000"/>
                <w:szCs w:val="22"/>
              </w:rPr>
              <w:t>university (on campus) (which ignores idea of liminality); transition = limited to first year; much of literature does not attend to actual experiences/ limited attention given to students’ coping strategies</w:t>
            </w:r>
          </w:p>
          <w:p w14:paraId="7702F5B2" w14:textId="1BDEA9A6" w:rsidR="00F934ED" w:rsidRPr="00076E76" w:rsidRDefault="00F934ED" w:rsidP="00F934ED">
            <w:pPr>
              <w:rPr>
                <w:rFonts w:ascii="Gill Sans" w:hAnsi="Gill Sans" w:cs="Gill Sans"/>
                <w:color w:val="000000"/>
                <w:szCs w:val="22"/>
              </w:rPr>
            </w:pPr>
            <w:r w:rsidRPr="00076E76">
              <w:rPr>
                <w:rFonts w:ascii="Gill Sans" w:hAnsi="Gill Sans" w:cs="Gill Sans"/>
                <w:b/>
                <w:color w:val="000000"/>
                <w:szCs w:val="22"/>
                <w:lang w:val="en-AU"/>
              </w:rPr>
              <w:t xml:space="preserve">Aim: </w:t>
            </w:r>
            <w:r w:rsidRPr="00076E76">
              <w:rPr>
                <w:rFonts w:ascii="Gill Sans" w:hAnsi="Gill Sans" w:cs="Gill Sans"/>
                <w:color w:val="000000"/>
                <w:szCs w:val="22"/>
                <w:lang w:val="en-AU"/>
              </w:rPr>
              <w:t>To “</w:t>
            </w:r>
            <w:r w:rsidRPr="00076E76">
              <w:rPr>
                <w:rFonts w:ascii="Gill Sans" w:hAnsi="Gill Sans" w:cs="Gill Sans"/>
                <w:color w:val="000000"/>
                <w:szCs w:val="22"/>
              </w:rPr>
              <w:t xml:space="preserve">investigate how students navigate through this betwixt space to form a sense of belonging to university life” (p.38); to </w:t>
            </w:r>
            <w:r w:rsidRPr="00076E76">
              <w:rPr>
                <w:rFonts w:ascii="Gill Sans" w:hAnsi="Gill Sans" w:cs="Gill Sans"/>
                <w:color w:val="000000"/>
                <w:szCs w:val="22"/>
                <w:lang w:val="en-AU"/>
              </w:rPr>
              <w:t>argue for a more active role for liminality in accounting for students’ transitions: betwixt spaces/ in-between-ness’ to “feeling like fully-fledged members of university life” (abstract); to consider ‘turning points’ associated with students’ transition, “</w:t>
            </w:r>
            <w:r w:rsidRPr="00076E76">
              <w:rPr>
                <w:rFonts w:ascii="Gill Sans" w:hAnsi="Gill Sans" w:cs="Gill Sans"/>
                <w:color w:val="000000"/>
                <w:szCs w:val="22"/>
              </w:rPr>
              <w:t>which shapes, alters or indeed accentuates the ways in which they make meaningful connections with university life” (abstract). Their “starting premise is that often students do not immediately fit in at university but rather can be in a transient, betwixt space between home and university” (p.38).</w:t>
            </w:r>
          </w:p>
          <w:p w14:paraId="374DB344" w14:textId="47626737" w:rsidR="00F934ED" w:rsidRPr="00076E76" w:rsidRDefault="00F934ED" w:rsidP="00F934ED">
            <w:pPr>
              <w:rPr>
                <w:rFonts w:ascii="Gill Sans" w:hAnsi="Gill Sans" w:cs="Gill Sans"/>
                <w:color w:val="000000"/>
                <w:szCs w:val="22"/>
              </w:rPr>
            </w:pPr>
            <w:r w:rsidRPr="00076E76">
              <w:rPr>
                <w:rFonts w:ascii="Gill Sans" w:hAnsi="Gill Sans" w:cs="Gill Sans"/>
                <w:b/>
                <w:color w:val="000000"/>
                <w:szCs w:val="22"/>
                <w:lang w:val="en-AU"/>
              </w:rPr>
              <w:t xml:space="preserve">Theoretical frame: </w:t>
            </w:r>
            <w:r w:rsidRPr="00076E76">
              <w:rPr>
                <w:rFonts w:ascii="Gill Sans" w:hAnsi="Gill Sans" w:cs="Gill Sans"/>
                <w:color w:val="000000"/>
                <w:szCs w:val="22"/>
                <w:lang w:val="en-AU"/>
              </w:rPr>
              <w:t>Liminality and turning points: “</w:t>
            </w:r>
            <w:r w:rsidRPr="00076E76">
              <w:rPr>
                <w:rFonts w:ascii="Gill Sans" w:hAnsi="Gill Sans" w:cs="Gill Sans"/>
                <w:color w:val="000000"/>
                <w:szCs w:val="22"/>
              </w:rPr>
              <w:t xml:space="preserve">a turning point within the context of the betwixt space is put forward; that is, an event(s) or an experience(s) within the first six to eight weeks at university that both stands out and also triggers and results in the student developing  (or not) a sense of belonging to university life” (p.38). van </w:t>
            </w:r>
            <w:proofErr w:type="spellStart"/>
            <w:r w:rsidRPr="00076E76">
              <w:rPr>
                <w:rFonts w:ascii="Gill Sans" w:hAnsi="Gill Sans" w:cs="Gill Sans"/>
                <w:color w:val="000000"/>
                <w:szCs w:val="22"/>
              </w:rPr>
              <w:t>Gennep</w:t>
            </w:r>
            <w:proofErr w:type="spellEnd"/>
            <w:r w:rsidRPr="00076E76">
              <w:rPr>
                <w:rFonts w:ascii="Gill Sans" w:hAnsi="Gill Sans" w:cs="Gill Sans"/>
                <w:color w:val="000000"/>
                <w:szCs w:val="22"/>
              </w:rPr>
              <w:t xml:space="preserve"> (1909) ‘rites de passage’: 3 stages to transition = separation (divestiture), transition (liminality) and incorporation (investiture). People move through transition = critical inflection points/ “turning points at the heart of the betwixt condition”, p.41). For authors, a turning point = “defined as an event(s) or an experience(s) in the first six to eight weeks at university that stands out, and which triggers and results in the student developing (or not) a sense of belonging to university life” (p.41). Time period chosen because it is a common period for attrition</w:t>
            </w:r>
          </w:p>
          <w:p w14:paraId="3AE31271" w14:textId="2B8FD16F"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Interpretive methodology with 3 stages: 1) paper dialogue, introducing students to concept of transition; 2) reflect on FYE and identify/ describe a turning point; 3) whiteboard consolidation = focus group/ open discussion. 18 students on Business course (Year 1, semester 1)</w:t>
            </w:r>
          </w:p>
          <w:p w14:paraId="6D1FF425" w14:textId="77777777" w:rsidR="00F934ED" w:rsidRPr="00076E76" w:rsidRDefault="00F934ED" w:rsidP="00F934ED">
            <w:pPr>
              <w:rPr>
                <w:rFonts w:ascii="Gill Sans" w:hAnsi="Gill Sans" w:cs="Gill Sans"/>
                <w:b/>
                <w:color w:val="000000"/>
                <w:szCs w:val="22"/>
                <w:lang w:val="en-AU"/>
              </w:rPr>
            </w:pPr>
            <w:r w:rsidRPr="00076E76">
              <w:rPr>
                <w:rFonts w:ascii="Gill Sans" w:hAnsi="Gill Sans" w:cs="Gill Sans"/>
                <w:b/>
                <w:color w:val="000000"/>
                <w:szCs w:val="22"/>
                <w:lang w:val="en-AU"/>
              </w:rPr>
              <w:t xml:space="preserve">Findings: </w:t>
            </w:r>
          </w:p>
          <w:p w14:paraId="4D77968E" w14:textId="7FD7996D" w:rsidR="00F934ED" w:rsidRPr="00076E76" w:rsidRDefault="00F934ED" w:rsidP="00F934ED">
            <w:pPr>
              <w:pStyle w:val="ListParagraph"/>
              <w:numPr>
                <w:ilvl w:val="0"/>
                <w:numId w:val="23"/>
              </w:numPr>
              <w:rPr>
                <w:rFonts w:ascii="Gill Sans" w:hAnsi="Gill Sans" w:cs="Gill Sans"/>
                <w:color w:val="000000"/>
                <w:szCs w:val="22"/>
                <w:lang w:val="en-AU"/>
              </w:rPr>
            </w:pPr>
            <w:r w:rsidRPr="00076E76">
              <w:rPr>
                <w:rFonts w:ascii="Gill Sans" w:hAnsi="Gill Sans" w:cs="Gill Sans"/>
                <w:color w:val="000000"/>
                <w:szCs w:val="22"/>
                <w:lang w:val="en-AU"/>
              </w:rPr>
              <w:t>Turning points</w:t>
            </w:r>
          </w:p>
          <w:p w14:paraId="5EA96404" w14:textId="77777777" w:rsidR="00F934ED" w:rsidRPr="00076E76" w:rsidRDefault="00F934ED" w:rsidP="00F934ED">
            <w:pPr>
              <w:rPr>
                <w:rFonts w:ascii="Gill Sans" w:hAnsi="Gill Sans" w:cs="Gill Sans"/>
                <w:color w:val="000000"/>
                <w:szCs w:val="22"/>
              </w:rPr>
            </w:pPr>
            <w:r w:rsidRPr="00076E76">
              <w:rPr>
                <w:rFonts w:ascii="Gill Sans" w:hAnsi="Gill Sans" w:cs="Gill Sans"/>
                <w:i/>
                <w:color w:val="000000"/>
                <w:szCs w:val="22"/>
                <w:lang w:val="en-AU"/>
              </w:rPr>
              <w:t>The first lecture</w:t>
            </w:r>
            <w:r w:rsidRPr="00076E76">
              <w:rPr>
                <w:rFonts w:ascii="Gill Sans" w:hAnsi="Gill Sans" w:cs="Gill Sans"/>
                <w:color w:val="000000"/>
                <w:szCs w:val="22"/>
                <w:lang w:val="en-AU"/>
              </w:rPr>
              <w:t xml:space="preserve"> – students struggle with greater anonymity [implicit comparison with school??]; “</w:t>
            </w:r>
            <w:r w:rsidRPr="00076E76">
              <w:rPr>
                <w:rFonts w:ascii="Gill Sans" w:hAnsi="Gill Sans" w:cs="Gill Sans"/>
                <w:color w:val="000000"/>
                <w:szCs w:val="22"/>
              </w:rPr>
              <w:t>the sheer size of the lecture theatre setting serves to alienate, even as its surroundings engulf the individual student” (p.44).</w:t>
            </w:r>
          </w:p>
          <w:p w14:paraId="73CC28AB" w14:textId="77777777" w:rsidR="00F934ED" w:rsidRPr="00076E76" w:rsidRDefault="00F934ED" w:rsidP="00F934ED">
            <w:pPr>
              <w:rPr>
                <w:rFonts w:ascii="Gill Sans" w:hAnsi="Gill Sans" w:cs="Gill Sans"/>
                <w:color w:val="000000"/>
                <w:szCs w:val="22"/>
              </w:rPr>
            </w:pPr>
            <w:r w:rsidRPr="00076E76">
              <w:rPr>
                <w:rFonts w:ascii="Gill Sans" w:hAnsi="Gill Sans" w:cs="Gill Sans"/>
                <w:i/>
                <w:color w:val="000000"/>
                <w:szCs w:val="22"/>
              </w:rPr>
              <w:t>The first feedback</w:t>
            </w:r>
            <w:r w:rsidRPr="00076E76">
              <w:rPr>
                <w:rFonts w:ascii="Gill Sans" w:hAnsi="Gill Sans" w:cs="Gill Sans"/>
                <w:color w:val="000000"/>
                <w:szCs w:val="22"/>
              </w:rPr>
              <w:t xml:space="preserve"> – “the bottom line coursework mentality – that which focuses almost exclusively on the </w:t>
            </w:r>
            <w:r w:rsidRPr="00076E76">
              <w:rPr>
                <w:rFonts w:ascii="Gill Sans" w:hAnsi="Gill Sans" w:cs="Gill Sans"/>
                <w:color w:val="000000"/>
                <w:szCs w:val="22"/>
              </w:rPr>
              <w:lastRenderedPageBreak/>
              <w:t>mark – alarms students” (p.45); authors question how useful large/ general modules are (on pedagogical terms).</w:t>
            </w:r>
          </w:p>
          <w:p w14:paraId="7D7EA9D2" w14:textId="7777777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rPr>
              <w:t>The first doubt – “there is a period of doubt between the challenge and the adaptation to new learning approaches” (p.45); students viewed university as distant/ ‘hands off’.</w:t>
            </w:r>
          </w:p>
          <w:p w14:paraId="5AD40FD4" w14:textId="77777777" w:rsidR="00F934ED" w:rsidRPr="00076E76" w:rsidRDefault="00F934ED" w:rsidP="00F934ED">
            <w:pPr>
              <w:pStyle w:val="ListParagraph"/>
              <w:numPr>
                <w:ilvl w:val="0"/>
                <w:numId w:val="23"/>
              </w:numPr>
              <w:rPr>
                <w:rFonts w:ascii="Gill Sans" w:hAnsi="Gill Sans" w:cs="Gill Sans"/>
                <w:color w:val="000000"/>
                <w:szCs w:val="22"/>
              </w:rPr>
            </w:pPr>
            <w:r w:rsidRPr="00076E76">
              <w:rPr>
                <w:rFonts w:ascii="Gill Sans" w:hAnsi="Gill Sans" w:cs="Gill Sans"/>
                <w:color w:val="000000"/>
                <w:szCs w:val="22"/>
              </w:rPr>
              <w:t>Thematic analysis (see Table 2 on p.46)</w:t>
            </w:r>
          </w:p>
          <w:p w14:paraId="1905FD7C" w14:textId="7777777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rPr>
              <w:t>Temporal dimension of entry = exclusionary force (for example, enrolling late/ re-entry)</w:t>
            </w:r>
          </w:p>
          <w:p w14:paraId="26ADD926" w14:textId="7777777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rPr>
              <w:t>Some turning points = in control of students, some not.</w:t>
            </w:r>
          </w:p>
          <w:p w14:paraId="675F972F" w14:textId="7777777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rPr>
              <w:t>“The starting point for many of the students’ turning point experiences was the tensions which arose from the pluralistic demands – competing and equally legitimate forces – within the betwixt space” (p.46)</w:t>
            </w:r>
          </w:p>
          <w:p w14:paraId="1ACD0CB4" w14:textId="7777777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rPr>
              <w:t xml:space="preserve">Relationships (particularly familial) = significant for turning points </w:t>
            </w:r>
          </w:p>
          <w:p w14:paraId="007603DE" w14:textId="7777777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rPr>
              <w:t>Coping mechanisms</w:t>
            </w:r>
          </w:p>
          <w:p w14:paraId="60EF5096" w14:textId="7777777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rPr>
              <w:t>Protectionism (not sharing/ burdening others)</w:t>
            </w:r>
          </w:p>
          <w:p w14:paraId="43451EF5" w14:textId="7777777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rPr>
              <w:t>Isolation</w:t>
            </w:r>
          </w:p>
          <w:p w14:paraId="51F23513" w14:textId="7777777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rPr>
              <w:t>Take frustrations out on those closest</w:t>
            </w:r>
          </w:p>
          <w:p w14:paraId="3D2819C5" w14:textId="7777777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rPr>
              <w:t>Relationships</w:t>
            </w:r>
          </w:p>
          <w:p w14:paraId="304031F5" w14:textId="77777777" w:rsidR="00F934ED" w:rsidRPr="00076E76" w:rsidRDefault="00F934ED" w:rsidP="00F934ED">
            <w:pPr>
              <w:rPr>
                <w:rFonts w:ascii="Gill Sans" w:hAnsi="Gill Sans" w:cs="Gill Sans"/>
                <w:b/>
                <w:color w:val="000000"/>
                <w:szCs w:val="22"/>
                <w:lang w:val="en-AU"/>
              </w:rPr>
            </w:pPr>
            <w:r w:rsidRPr="00076E76">
              <w:rPr>
                <w:rFonts w:ascii="Gill Sans" w:hAnsi="Gill Sans" w:cs="Gill Sans"/>
                <w:color w:val="000000"/>
                <w:szCs w:val="22"/>
              </w:rPr>
              <w:t>For others, “coping was achieved through familiarity with objects symbolizing the homeland – a finding we termed continuity anchors” (p.48).</w:t>
            </w:r>
            <w:r w:rsidRPr="00076E76">
              <w:rPr>
                <w:rFonts w:ascii="Gill Sans" w:hAnsi="Gill Sans" w:cs="Gill Sans"/>
                <w:b/>
                <w:color w:val="000000"/>
                <w:szCs w:val="22"/>
                <w:lang w:val="en-AU"/>
              </w:rPr>
              <w:br/>
              <w:t xml:space="preserve">Core argument: </w:t>
            </w:r>
          </w:p>
          <w:p w14:paraId="116D2BA2" w14:textId="29C94977" w:rsidR="00F934ED" w:rsidRPr="00076E76" w:rsidRDefault="00F934ED" w:rsidP="00F934ED">
            <w:pPr>
              <w:pStyle w:val="ListParagraph"/>
              <w:numPr>
                <w:ilvl w:val="0"/>
                <w:numId w:val="23"/>
              </w:numPr>
              <w:rPr>
                <w:rFonts w:ascii="Gill Sans" w:hAnsi="Gill Sans" w:cs="Gill Sans"/>
                <w:color w:val="000000"/>
                <w:szCs w:val="22"/>
              </w:rPr>
            </w:pPr>
            <w:r w:rsidRPr="00076E76">
              <w:rPr>
                <w:rFonts w:ascii="Gill Sans" w:hAnsi="Gill Sans" w:cs="Gill Sans"/>
                <w:color w:val="000000"/>
                <w:szCs w:val="22"/>
                <w:lang w:val="en-AU"/>
              </w:rPr>
              <w:t>Turning points = useful for contextualising students’ feelings of (not) belonging at university: “</w:t>
            </w:r>
            <w:r w:rsidRPr="00076E76">
              <w:rPr>
                <w:rFonts w:ascii="Gill Sans" w:hAnsi="Gill Sans" w:cs="Gill Sans"/>
                <w:color w:val="000000"/>
                <w:szCs w:val="22"/>
              </w:rPr>
              <w:t>the concept of a turning point(s) can further delineate the nature of when and how the transition takes place, as well as how the social and material experiences span multiple spheres of the student’s university life” and “turning point experiences simultaneously enrich and impoverish, liberate and constrain” (p.50).</w:t>
            </w:r>
          </w:p>
          <w:p w14:paraId="3F18535E" w14:textId="77777777" w:rsidR="00F934ED" w:rsidRPr="00076E76" w:rsidRDefault="00F934ED" w:rsidP="00F934ED">
            <w:pPr>
              <w:pStyle w:val="ListParagraph"/>
              <w:numPr>
                <w:ilvl w:val="0"/>
                <w:numId w:val="23"/>
              </w:numPr>
              <w:rPr>
                <w:rFonts w:ascii="Gill Sans" w:hAnsi="Gill Sans" w:cs="Gill Sans"/>
                <w:color w:val="000000"/>
                <w:szCs w:val="22"/>
              </w:rPr>
            </w:pPr>
            <w:r w:rsidRPr="00076E76">
              <w:rPr>
                <w:rFonts w:ascii="Gill Sans" w:hAnsi="Gill Sans" w:cs="Gill Sans"/>
                <w:color w:val="000000"/>
                <w:szCs w:val="22"/>
              </w:rPr>
              <w:t xml:space="preserve">Relationship between inclusion and exclusion = symbiotic </w:t>
            </w:r>
          </w:p>
          <w:p w14:paraId="21712D85" w14:textId="77777777" w:rsidR="00F934ED" w:rsidRPr="00076E76" w:rsidRDefault="00F934ED" w:rsidP="00F934ED">
            <w:pPr>
              <w:pStyle w:val="ListParagraph"/>
              <w:numPr>
                <w:ilvl w:val="0"/>
                <w:numId w:val="23"/>
              </w:numPr>
              <w:rPr>
                <w:rFonts w:ascii="Gill Sans" w:hAnsi="Gill Sans" w:cs="Gill Sans"/>
                <w:color w:val="000000"/>
                <w:szCs w:val="22"/>
              </w:rPr>
            </w:pPr>
            <w:r w:rsidRPr="00076E76">
              <w:rPr>
                <w:rFonts w:ascii="Gill Sans" w:hAnsi="Gill Sans" w:cs="Gill Sans"/>
                <w:color w:val="000000"/>
                <w:szCs w:val="22"/>
              </w:rPr>
              <w:t>Transition = nonlinear; “Turning points are responded to in different ways, and that process is rarely smooth or linear; but rather more indeterministic rather than deterministic, and more discontinuous than continuous” and “can be subject to reversals and changes of direction; student anxieties and (mis)apprehensions resurface and are carried forward in different forms” (p.51).</w:t>
            </w:r>
          </w:p>
          <w:p w14:paraId="762C59E1" w14:textId="77777777" w:rsidR="00F934ED" w:rsidRPr="00076E76" w:rsidRDefault="00F934ED" w:rsidP="00F934ED">
            <w:pPr>
              <w:pStyle w:val="ListParagraph"/>
              <w:numPr>
                <w:ilvl w:val="0"/>
                <w:numId w:val="23"/>
              </w:numPr>
              <w:rPr>
                <w:rFonts w:ascii="Gill Sans" w:hAnsi="Gill Sans" w:cs="Gill Sans"/>
                <w:color w:val="000000"/>
                <w:szCs w:val="22"/>
                <w:lang w:val="en-AU"/>
              </w:rPr>
            </w:pPr>
            <w:r w:rsidRPr="00076E76">
              <w:rPr>
                <w:rFonts w:ascii="Gill Sans" w:hAnsi="Gill Sans" w:cs="Gill Sans"/>
                <w:color w:val="000000"/>
                <w:szCs w:val="22"/>
              </w:rPr>
              <w:t>Students talked about a metaphorical ‘critical thread’ which kept them in their studies; “Hanging to this critical thread, in the face of adverse turning point experiences, it seems, is a way of dealing with, belonging to, and making meaningful connections to, university life” (p.51).</w:t>
            </w:r>
          </w:p>
          <w:p w14:paraId="7E455CC7" w14:textId="1B0F615D" w:rsidR="00F934ED" w:rsidRPr="00076E76" w:rsidRDefault="00F934ED" w:rsidP="00F934ED">
            <w:pPr>
              <w:pStyle w:val="ListParagraph"/>
              <w:numPr>
                <w:ilvl w:val="0"/>
                <w:numId w:val="23"/>
              </w:numPr>
              <w:rPr>
                <w:rFonts w:ascii="Gill Sans" w:hAnsi="Gill Sans" w:cs="Gill Sans"/>
                <w:color w:val="000000"/>
                <w:szCs w:val="22"/>
                <w:lang w:val="en-AU"/>
              </w:rPr>
            </w:pPr>
            <w:r w:rsidRPr="00076E76">
              <w:rPr>
                <w:rFonts w:ascii="Gill Sans" w:hAnsi="Gill Sans" w:cs="Gill Sans"/>
                <w:color w:val="000000"/>
                <w:szCs w:val="22"/>
              </w:rPr>
              <w:t>Importance of symbolic objects (‘anchors of continuance’)</w:t>
            </w:r>
          </w:p>
        </w:tc>
      </w:tr>
      <w:tr w:rsidR="00F934ED" w:rsidRPr="00076E76" w14:paraId="015EFD70" w14:textId="77777777" w:rsidTr="00061259">
        <w:tc>
          <w:tcPr>
            <w:tcW w:w="5529" w:type="dxa"/>
            <w:shd w:val="clear" w:color="auto" w:fill="auto"/>
          </w:tcPr>
          <w:p w14:paraId="46BDA311" w14:textId="0385736F" w:rsidR="00F934ED" w:rsidRPr="00076E76" w:rsidRDefault="00F934ED" w:rsidP="00F934ED">
            <w:pPr>
              <w:rPr>
                <w:rFonts w:ascii="Gill Sans" w:hAnsi="Gill Sans" w:cs="Gill Sans"/>
                <w:szCs w:val="22"/>
              </w:rPr>
            </w:pPr>
            <w:r w:rsidRPr="00076E76">
              <w:rPr>
                <w:rFonts w:ascii="Gill Sans" w:hAnsi="Gill Sans" w:cs="Gill Sans"/>
                <w:szCs w:val="22"/>
              </w:rPr>
              <w:lastRenderedPageBreak/>
              <w:t xml:space="preserve">Paxton, M. (2007). </w:t>
            </w:r>
            <w:hyperlink r:id="rId110" w:history="1">
              <w:r w:rsidRPr="002D0955">
                <w:rPr>
                  <w:rStyle w:val="Hyperlink"/>
                  <w:rFonts w:ascii="Gill Sans" w:hAnsi="Gill Sans" w:cs="Gill Sans"/>
                  <w:szCs w:val="22"/>
                </w:rPr>
                <w:t>Students’ interim literacies as a dynamic resource for teaching and transformation</w:t>
              </w:r>
            </w:hyperlink>
            <w:r w:rsidRPr="00076E76">
              <w:rPr>
                <w:rFonts w:ascii="Gill Sans" w:hAnsi="Gill Sans" w:cs="Gill Sans"/>
                <w:szCs w:val="22"/>
              </w:rPr>
              <w:t xml:space="preserve">, </w:t>
            </w:r>
            <w:r w:rsidRPr="00076E76">
              <w:rPr>
                <w:rFonts w:ascii="Gill Sans" w:hAnsi="Gill Sans" w:cs="Gill Sans"/>
                <w:i/>
                <w:szCs w:val="22"/>
              </w:rPr>
              <w:t xml:space="preserve">Southern African Linguistics and Applied Language Studies, </w:t>
            </w:r>
            <w:r>
              <w:rPr>
                <w:rFonts w:ascii="Gill Sans" w:hAnsi="Gill Sans" w:cs="Gill Sans"/>
                <w:szCs w:val="22"/>
              </w:rPr>
              <w:t>25(1), 45–</w:t>
            </w:r>
            <w:r w:rsidRPr="00076E76">
              <w:rPr>
                <w:rFonts w:ascii="Gill Sans" w:hAnsi="Gill Sans" w:cs="Gill Sans"/>
                <w:szCs w:val="22"/>
              </w:rPr>
              <w:t>55.</w:t>
            </w:r>
          </w:p>
          <w:p w14:paraId="60114AA0" w14:textId="77777777" w:rsidR="00F934ED" w:rsidRPr="00076E76" w:rsidRDefault="00F934ED" w:rsidP="00F934ED">
            <w:pPr>
              <w:rPr>
                <w:rFonts w:ascii="Gill Sans" w:hAnsi="Gill Sans" w:cs="Gill Sans"/>
                <w:szCs w:val="22"/>
              </w:rPr>
            </w:pPr>
          </w:p>
          <w:p w14:paraId="415F2C66" w14:textId="77777777" w:rsidR="00F934ED" w:rsidRDefault="00F934ED" w:rsidP="00F934ED">
            <w:pPr>
              <w:rPr>
                <w:rFonts w:ascii="Gill Sans" w:hAnsi="Gill Sans" w:cs="Gill Sans"/>
                <w:szCs w:val="22"/>
              </w:rPr>
            </w:pPr>
            <w:r w:rsidRPr="00076E76">
              <w:rPr>
                <w:rFonts w:ascii="Gill Sans" w:hAnsi="Gill Sans" w:cs="Gill Sans"/>
                <w:szCs w:val="22"/>
              </w:rPr>
              <w:t>SA</w:t>
            </w:r>
          </w:p>
          <w:p w14:paraId="71614B34"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7B3722A4" w14:textId="77777777" w:rsidR="00F934ED" w:rsidRDefault="00F934ED" w:rsidP="00F934ED">
            <w:pPr>
              <w:rPr>
                <w:rFonts w:ascii="Gill Sans" w:hAnsi="Gill Sans" w:cs="Gill Sans"/>
                <w:szCs w:val="22"/>
              </w:rPr>
            </w:pPr>
          </w:p>
          <w:p w14:paraId="2D71D823" w14:textId="47B957E0" w:rsidR="00F934ED" w:rsidRPr="00076E76" w:rsidRDefault="00500B09" w:rsidP="00F934ED">
            <w:pPr>
              <w:rPr>
                <w:rFonts w:ascii="Gill Sans" w:hAnsi="Gill Sans" w:cs="Gill Sans"/>
                <w:szCs w:val="22"/>
              </w:rPr>
            </w:pPr>
            <w:r>
              <w:rPr>
                <w:rFonts w:ascii="Gill Sans" w:hAnsi="Gill Sans" w:cs="Gill Sans"/>
                <w:szCs w:val="22"/>
              </w:rPr>
              <w:t>Keywords (Sally’s)</w:t>
            </w:r>
            <w:r w:rsidR="00F934ED">
              <w:rPr>
                <w:rFonts w:ascii="Gill Sans" w:hAnsi="Gill Sans" w:cs="Gill Sans"/>
                <w:szCs w:val="22"/>
              </w:rPr>
              <w:t>: liminality, becoming, authorial identity, academic literacies</w:t>
            </w:r>
          </w:p>
        </w:tc>
        <w:tc>
          <w:tcPr>
            <w:tcW w:w="10064" w:type="dxa"/>
          </w:tcPr>
          <w:p w14:paraId="5A01E965" w14:textId="6AEF6AE5" w:rsidR="00F934ED" w:rsidRPr="00EC5954"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Pr>
                <w:rFonts w:ascii="Gill Sans" w:hAnsi="Gill Sans" w:cs="Gill Sans"/>
                <w:color w:val="000000"/>
                <w:szCs w:val="22"/>
                <w:lang w:val="en-AU"/>
              </w:rPr>
              <w:t>Students’ experience of transitioning into university studies/ transitioning into academic writing</w:t>
            </w:r>
          </w:p>
          <w:p w14:paraId="1663B8C3" w14:textId="0C226D81" w:rsidR="00F934ED" w:rsidRPr="00E16997"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Pr>
                <w:rFonts w:ascii="Gill Sans" w:hAnsi="Gill Sans" w:cs="Gill Sans"/>
                <w:color w:val="000000"/>
                <w:szCs w:val="22"/>
                <w:lang w:val="en-AU"/>
              </w:rPr>
              <w:t>To explore the notion of ‘interim literacies’ in the context of transitioning into university studies/ writing; to examine the intersection of academic discourse and student voice in academic writing. Interim literacies = “</w:t>
            </w:r>
            <w:r w:rsidRPr="00E34A80">
              <w:rPr>
                <w:rFonts w:ascii="Gill Sans" w:hAnsi="Gill Sans" w:cs="Gill Sans"/>
                <w:color w:val="000000"/>
                <w:szCs w:val="22"/>
              </w:rPr>
              <w:t>very few students at first year university level could be said to have mastery over the new</w:t>
            </w:r>
            <w:r>
              <w:rPr>
                <w:rFonts w:ascii="Gill Sans" w:hAnsi="Gill Sans" w:cs="Gill Sans"/>
                <w:color w:val="000000"/>
                <w:szCs w:val="22"/>
              </w:rPr>
              <w:t xml:space="preserve"> </w:t>
            </w:r>
            <w:r w:rsidRPr="00E34A80">
              <w:rPr>
                <w:rFonts w:ascii="Gill Sans" w:hAnsi="Gill Sans" w:cs="Gill Sans"/>
                <w:color w:val="000000"/>
                <w:szCs w:val="22"/>
              </w:rPr>
              <w:t>discourses they are acquiring and therefore I have used the construct of ‘interim literacies’ to</w:t>
            </w:r>
            <w:r>
              <w:rPr>
                <w:rFonts w:ascii="Gill Sans" w:hAnsi="Gill Sans" w:cs="Gill Sans"/>
                <w:color w:val="000000"/>
                <w:szCs w:val="22"/>
              </w:rPr>
              <w:t xml:space="preserve"> </w:t>
            </w:r>
            <w:r w:rsidRPr="00E34A80">
              <w:rPr>
                <w:rFonts w:ascii="Gill Sans" w:hAnsi="Gill Sans" w:cs="Gill Sans"/>
                <w:color w:val="000000"/>
                <w:szCs w:val="22"/>
              </w:rPr>
              <w:t xml:space="preserve">describe first year student writing practices and to account for the </w:t>
            </w:r>
            <w:proofErr w:type="spellStart"/>
            <w:r w:rsidRPr="00E34A80">
              <w:rPr>
                <w:rFonts w:ascii="Gill Sans" w:hAnsi="Gill Sans" w:cs="Gill Sans"/>
                <w:color w:val="000000"/>
                <w:szCs w:val="22"/>
              </w:rPr>
              <w:t>hete</w:t>
            </w:r>
            <w:r>
              <w:rPr>
                <w:rFonts w:ascii="Gill Sans" w:hAnsi="Gill Sans" w:cs="Gill Sans"/>
                <w:color w:val="000000"/>
                <w:szCs w:val="22"/>
              </w:rPr>
              <w:t>roglossic</w:t>
            </w:r>
            <w:proofErr w:type="spellEnd"/>
            <w:r>
              <w:rPr>
                <w:rFonts w:ascii="Gill Sans" w:hAnsi="Gill Sans" w:cs="Gill Sans"/>
                <w:color w:val="000000"/>
                <w:szCs w:val="22"/>
              </w:rPr>
              <w:t xml:space="preserve"> nature of their texts” (p.46)</w:t>
            </w:r>
          </w:p>
          <w:p w14:paraId="0AB3C7FE" w14:textId="03D7E986" w:rsidR="00F934ED" w:rsidRPr="00E16997"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Theoretical frame:</w:t>
            </w:r>
            <w:r>
              <w:rPr>
                <w:rFonts w:ascii="Gill Sans" w:hAnsi="Gill Sans" w:cs="Gill Sans"/>
                <w:b/>
                <w:color w:val="000000"/>
                <w:szCs w:val="22"/>
                <w:lang w:val="en-AU"/>
              </w:rPr>
              <w:t xml:space="preserve"> </w:t>
            </w:r>
            <w:r>
              <w:rPr>
                <w:rFonts w:ascii="Gill Sans" w:hAnsi="Gill Sans" w:cs="Gill Sans"/>
                <w:color w:val="000000"/>
                <w:szCs w:val="22"/>
                <w:lang w:val="en-AU"/>
              </w:rPr>
              <w:t>New Literacy Studies (Barton &amp; Hamilton; Street); Bakhtin = intertextuality and voices (“</w:t>
            </w:r>
            <w:r w:rsidRPr="00982ED6">
              <w:rPr>
                <w:rFonts w:ascii="Gill Sans" w:hAnsi="Gill Sans" w:cs="Gill Sans"/>
                <w:color w:val="000000"/>
                <w:szCs w:val="22"/>
              </w:rPr>
              <w:t>a set of discourses that the writer brings to the act of writing</w:t>
            </w:r>
            <w:r>
              <w:rPr>
                <w:rFonts w:ascii="Gill Sans" w:hAnsi="Gill Sans" w:cs="Gill Sans"/>
                <w:color w:val="000000"/>
                <w:szCs w:val="22"/>
              </w:rPr>
              <w:t>” (p.46))</w:t>
            </w:r>
            <w:r w:rsidRPr="00982ED6">
              <w:rPr>
                <w:rFonts w:ascii="Gill Sans" w:hAnsi="Gill Sans" w:cs="Gill Sans"/>
                <w:color w:val="000000"/>
                <w:szCs w:val="22"/>
              </w:rPr>
              <w:t>; they are part</w:t>
            </w:r>
            <w:r>
              <w:rPr>
                <w:rFonts w:ascii="Gill Sans" w:hAnsi="Gill Sans" w:cs="Gill Sans"/>
                <w:color w:val="000000"/>
                <w:szCs w:val="22"/>
              </w:rPr>
              <w:t xml:space="preserve"> </w:t>
            </w:r>
            <w:r w:rsidRPr="00982ED6">
              <w:rPr>
                <w:rFonts w:ascii="Gill Sans" w:hAnsi="Gill Sans" w:cs="Gill Sans"/>
                <w:color w:val="000000"/>
                <w:szCs w:val="22"/>
              </w:rPr>
              <w:t>of his/her social and historical formation and they weave their way intertextually through the writing.</w:t>
            </w:r>
            <w:r>
              <w:rPr>
                <w:rFonts w:ascii="Gill Sans" w:hAnsi="Gill Sans" w:cs="Gill Sans"/>
                <w:color w:val="000000"/>
                <w:szCs w:val="22"/>
                <w:lang w:val="en-AU"/>
              </w:rPr>
              <w:t>; d/Discourse (Gee); pluri-meaning making (Kress)</w:t>
            </w:r>
          </w:p>
          <w:p w14:paraId="2E0C02C3" w14:textId="293DC3D2" w:rsidR="00F934ED" w:rsidRPr="009B1738"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Pr>
                <w:rFonts w:ascii="Gill Sans" w:hAnsi="Gill Sans" w:cs="Gill Sans"/>
                <w:color w:val="000000"/>
                <w:szCs w:val="22"/>
                <w:lang w:val="en-AU"/>
              </w:rPr>
              <w:t>Text analysis of students’ assignments (first year Economics; first and last essays) + interviews after each essay. Students = working class/ rural/ EAL. Critical Discourse Analysis used to analyse interim literacies</w:t>
            </w:r>
          </w:p>
          <w:p w14:paraId="443F383B" w14:textId="33F49735" w:rsidR="00F934ED"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Findings: </w:t>
            </w:r>
            <w:r>
              <w:rPr>
                <w:rFonts w:ascii="Gill Sans" w:hAnsi="Gill Sans" w:cs="Gill Sans"/>
                <w:color w:val="000000"/>
                <w:szCs w:val="22"/>
                <w:lang w:val="en-AU"/>
              </w:rPr>
              <w:t>Characteristics of interim literacies</w:t>
            </w:r>
          </w:p>
          <w:p w14:paraId="26FCFE4F" w14:textId="77777777" w:rsidR="00F934ED" w:rsidRDefault="00F934ED" w:rsidP="00F934ED">
            <w:pPr>
              <w:rPr>
                <w:rFonts w:ascii="Gill Sans" w:hAnsi="Gill Sans" w:cs="Gill Sans"/>
                <w:color w:val="000000"/>
                <w:szCs w:val="22"/>
              </w:rPr>
            </w:pPr>
            <w:r>
              <w:rPr>
                <w:rFonts w:ascii="Gill Sans" w:hAnsi="Gill Sans" w:cs="Gill Sans"/>
                <w:color w:val="000000"/>
                <w:szCs w:val="22"/>
                <w:lang w:val="en-AU"/>
              </w:rPr>
              <w:t xml:space="preserve">1) </w:t>
            </w:r>
            <w:r w:rsidRPr="00C159F0">
              <w:rPr>
                <w:rFonts w:ascii="Gill Sans" w:hAnsi="Gill Sans" w:cs="Gill Sans"/>
                <w:i/>
                <w:color w:val="000000"/>
                <w:szCs w:val="22"/>
                <w:lang w:val="en-AU"/>
              </w:rPr>
              <w:t>Intertextuality = spoken discourses/ oracy</w:t>
            </w:r>
            <w:r>
              <w:rPr>
                <w:rFonts w:ascii="Gill Sans" w:hAnsi="Gill Sans" w:cs="Gill Sans"/>
                <w:color w:val="000000"/>
                <w:szCs w:val="22"/>
                <w:lang w:val="en-AU"/>
              </w:rPr>
              <w:t>: evidence of secondary discourses (to primary western essayist discourse) developed through first language teaching (</w:t>
            </w:r>
            <w:r w:rsidRPr="009F70B2">
              <w:rPr>
                <w:rFonts w:ascii="Gill Sans" w:hAnsi="Gill Sans" w:cs="Gill Sans"/>
                <w:color w:val="000000"/>
                <w:szCs w:val="22"/>
              </w:rPr>
              <w:t>Xhosa and Zulu</w:t>
            </w:r>
            <w:r>
              <w:rPr>
                <w:rFonts w:ascii="Gill Sans" w:hAnsi="Gill Sans" w:cs="Gill Sans"/>
                <w:color w:val="000000"/>
                <w:szCs w:val="22"/>
              </w:rPr>
              <w:t xml:space="preserve">), for example use of </w:t>
            </w:r>
            <w:r w:rsidRPr="00D048CE">
              <w:rPr>
                <w:rFonts w:ascii="Gill Sans" w:hAnsi="Gill Sans" w:cs="Gill Sans"/>
                <w:color w:val="000000"/>
                <w:szCs w:val="22"/>
              </w:rPr>
              <w:t>non-embedded question-and-answer sequences</w:t>
            </w:r>
            <w:r>
              <w:rPr>
                <w:rFonts w:ascii="Gill Sans" w:hAnsi="Gill Sans" w:cs="Gill Sans"/>
                <w:color w:val="000000"/>
                <w:szCs w:val="22"/>
              </w:rPr>
              <w:t xml:space="preserve"> in their writing, echoing praise poetry: “</w:t>
            </w:r>
            <w:r w:rsidRPr="00D048CE">
              <w:rPr>
                <w:rFonts w:ascii="Gill Sans" w:hAnsi="Gill Sans" w:cs="Gill Sans"/>
                <w:color w:val="000000"/>
                <w:szCs w:val="22"/>
              </w:rPr>
              <w:t>The examples from the students’ writing illustrate the way the students’ interests are reflected in</w:t>
            </w:r>
            <w:r>
              <w:rPr>
                <w:rFonts w:ascii="Gill Sans" w:hAnsi="Gill Sans" w:cs="Gill Sans"/>
                <w:color w:val="000000"/>
                <w:szCs w:val="22"/>
              </w:rPr>
              <w:t xml:space="preserve"> </w:t>
            </w:r>
            <w:r w:rsidRPr="00D048CE">
              <w:rPr>
                <w:rFonts w:ascii="Gill Sans" w:hAnsi="Gill Sans" w:cs="Gill Sans"/>
                <w:color w:val="000000"/>
                <w:szCs w:val="22"/>
              </w:rPr>
              <w:t>their writing and how, in the process of transferring the traditional rhetorical form, they attempt to</w:t>
            </w:r>
            <w:r>
              <w:rPr>
                <w:rFonts w:ascii="Gill Sans" w:hAnsi="Gill Sans" w:cs="Gill Sans"/>
                <w:color w:val="000000"/>
                <w:szCs w:val="22"/>
              </w:rPr>
              <w:t xml:space="preserve"> </w:t>
            </w:r>
            <w:r w:rsidRPr="00D048CE">
              <w:rPr>
                <w:rFonts w:ascii="Gill Sans" w:hAnsi="Gill Sans" w:cs="Gill Sans"/>
                <w:color w:val="000000"/>
                <w:szCs w:val="22"/>
              </w:rPr>
              <w:t>transform it so that it is appropriate to the new academic discourse</w:t>
            </w:r>
            <w:r>
              <w:rPr>
                <w:rFonts w:ascii="Gill Sans" w:hAnsi="Gill Sans" w:cs="Gill Sans"/>
                <w:color w:val="000000"/>
                <w:szCs w:val="22"/>
              </w:rPr>
              <w:t xml:space="preserve">” (p.49). Author argues that analysis of final essay demonstrated a more confident command/effective use of the </w:t>
            </w:r>
            <w:proofErr w:type="spellStart"/>
            <w:r>
              <w:rPr>
                <w:rFonts w:ascii="Gill Sans" w:hAnsi="Gill Sans" w:cs="Gill Sans"/>
                <w:color w:val="000000"/>
                <w:szCs w:val="22"/>
              </w:rPr>
              <w:t>q&amp;a</w:t>
            </w:r>
            <w:proofErr w:type="spellEnd"/>
            <w:r>
              <w:rPr>
                <w:rFonts w:ascii="Gill Sans" w:hAnsi="Gill Sans" w:cs="Gill Sans"/>
                <w:color w:val="000000"/>
                <w:szCs w:val="22"/>
              </w:rPr>
              <w:t xml:space="preserve"> rhetorical device; “</w:t>
            </w:r>
            <w:r w:rsidRPr="005C500B">
              <w:rPr>
                <w:rFonts w:ascii="Gill Sans" w:hAnsi="Gill Sans" w:cs="Gill Sans"/>
                <w:color w:val="000000"/>
                <w:szCs w:val="22"/>
              </w:rPr>
              <w:t>there was evidence of prior discourses being reworked and</w:t>
            </w:r>
            <w:r>
              <w:rPr>
                <w:rFonts w:ascii="Gill Sans" w:hAnsi="Gill Sans" w:cs="Gill Sans"/>
                <w:color w:val="000000"/>
                <w:szCs w:val="22"/>
              </w:rPr>
              <w:t xml:space="preserve"> </w:t>
            </w:r>
            <w:r w:rsidRPr="005C500B">
              <w:rPr>
                <w:rFonts w:ascii="Gill Sans" w:hAnsi="Gill Sans" w:cs="Gill Sans"/>
                <w:color w:val="000000"/>
                <w:szCs w:val="22"/>
              </w:rPr>
              <w:t>rearticulated so that they blended more appropriately in the new context</w:t>
            </w:r>
            <w:r>
              <w:rPr>
                <w:rFonts w:ascii="Gill Sans" w:hAnsi="Gill Sans" w:cs="Gill Sans"/>
                <w:color w:val="000000"/>
                <w:szCs w:val="22"/>
              </w:rPr>
              <w:t>” (p</w:t>
            </w:r>
            <w:r w:rsidRPr="005C500B">
              <w:rPr>
                <w:rFonts w:ascii="Gill Sans" w:hAnsi="Gill Sans" w:cs="Gill Sans"/>
                <w:color w:val="000000"/>
                <w:szCs w:val="22"/>
              </w:rPr>
              <w:t>.</w:t>
            </w:r>
            <w:r>
              <w:rPr>
                <w:rFonts w:ascii="Gill Sans" w:hAnsi="Gill Sans" w:cs="Gill Sans"/>
                <w:color w:val="000000"/>
                <w:szCs w:val="22"/>
              </w:rPr>
              <w:t>50).</w:t>
            </w:r>
          </w:p>
          <w:p w14:paraId="20FF7934" w14:textId="77777777" w:rsidR="00F934ED" w:rsidRDefault="00F934ED" w:rsidP="00F934ED">
            <w:pPr>
              <w:rPr>
                <w:rFonts w:ascii="Gill Sans" w:hAnsi="Gill Sans" w:cs="Gill Sans"/>
                <w:color w:val="000000"/>
                <w:szCs w:val="22"/>
                <w:lang w:val="en-AU"/>
              </w:rPr>
            </w:pPr>
            <w:r>
              <w:rPr>
                <w:rFonts w:ascii="Gill Sans" w:hAnsi="Gill Sans" w:cs="Gill Sans"/>
                <w:i/>
                <w:color w:val="000000"/>
                <w:szCs w:val="22"/>
                <w:lang w:val="en-AU"/>
              </w:rPr>
              <w:t>2) Intertextuality</w:t>
            </w:r>
            <w:r>
              <w:rPr>
                <w:rFonts w:ascii="Gill Sans" w:hAnsi="Gill Sans" w:cs="Gill Sans"/>
                <w:b/>
                <w:color w:val="000000"/>
                <w:szCs w:val="22"/>
                <w:lang w:val="en-AU"/>
              </w:rPr>
              <w:t xml:space="preserve"> </w:t>
            </w:r>
            <w:r w:rsidRPr="00C159F0">
              <w:rPr>
                <w:rFonts w:ascii="Gill Sans" w:hAnsi="Gill Sans" w:cs="Gill Sans"/>
                <w:i/>
                <w:color w:val="000000"/>
                <w:szCs w:val="22"/>
                <w:lang w:val="en-AU"/>
              </w:rPr>
              <w:t>= associated meanings</w:t>
            </w:r>
            <w:r>
              <w:rPr>
                <w:rFonts w:ascii="Gill Sans" w:hAnsi="Gill Sans" w:cs="Gill Sans"/>
                <w:color w:val="000000"/>
                <w:szCs w:val="22"/>
                <w:lang w:val="en-AU"/>
              </w:rPr>
              <w:t>: suggestion that students draw on existing conceptual/ situated, personal understandings to help them move forward with content/ concept development.</w:t>
            </w:r>
          </w:p>
          <w:p w14:paraId="78007F15" w14:textId="77777777" w:rsidR="00F934ED" w:rsidRDefault="00F934ED" w:rsidP="00F934ED">
            <w:pPr>
              <w:rPr>
                <w:rFonts w:ascii="Gill Sans" w:hAnsi="Gill Sans" w:cs="Gill Sans"/>
                <w:color w:val="000000"/>
                <w:szCs w:val="22"/>
                <w:lang w:val="en-AU"/>
              </w:rPr>
            </w:pPr>
            <w:r>
              <w:rPr>
                <w:rFonts w:ascii="Gill Sans" w:hAnsi="Gill Sans" w:cs="Gill Sans"/>
                <w:i/>
                <w:color w:val="000000"/>
                <w:szCs w:val="22"/>
                <w:lang w:val="en-AU"/>
              </w:rPr>
              <w:t>3) Intertextuality = borrowing/ mimicking new discourses:</w:t>
            </w:r>
            <w:r>
              <w:rPr>
                <w:rFonts w:ascii="Gill Sans" w:hAnsi="Gill Sans" w:cs="Gill Sans"/>
                <w:color w:val="000000"/>
                <w:szCs w:val="22"/>
                <w:lang w:val="en-AU"/>
              </w:rPr>
              <w:t xml:space="preserve"> close to plagiarism, in that students used large chunks of published text to help develop their own voice, but inadvertently reproduce/ copy from existing texts.</w:t>
            </w:r>
          </w:p>
          <w:p w14:paraId="6D235AC3" w14:textId="77777777" w:rsidR="00F934ED" w:rsidRDefault="00F934ED" w:rsidP="00F934ED">
            <w:pPr>
              <w:rPr>
                <w:rFonts w:ascii="Gill Sans" w:hAnsi="Gill Sans" w:cs="Gill Sans"/>
                <w:color w:val="000000"/>
                <w:szCs w:val="22"/>
              </w:rPr>
            </w:pPr>
            <w:r>
              <w:rPr>
                <w:rFonts w:ascii="Gill Sans" w:hAnsi="Gill Sans" w:cs="Gill Sans"/>
                <w:i/>
                <w:color w:val="000000"/>
                <w:szCs w:val="22"/>
                <w:lang w:val="en-AU"/>
              </w:rPr>
              <w:t>4) Avoiding terminology from discipline</w:t>
            </w:r>
            <w:r>
              <w:rPr>
                <w:rFonts w:ascii="Gill Sans" w:hAnsi="Gill Sans" w:cs="Gill Sans"/>
                <w:color w:val="000000"/>
                <w:szCs w:val="22"/>
                <w:lang w:val="en-AU"/>
              </w:rPr>
              <w:t>: data suggest that students sought to avoid using new terminology, instead using “</w:t>
            </w:r>
            <w:r w:rsidRPr="001960AC">
              <w:rPr>
                <w:rFonts w:ascii="Gill Sans" w:hAnsi="Gill Sans" w:cs="Gill Sans"/>
                <w:color w:val="000000"/>
                <w:szCs w:val="22"/>
              </w:rPr>
              <w:t>circuitous and long-winded</w:t>
            </w:r>
            <w:r>
              <w:rPr>
                <w:rFonts w:ascii="Gill Sans" w:hAnsi="Gill Sans" w:cs="Gill Sans"/>
                <w:color w:val="000000"/>
                <w:szCs w:val="22"/>
              </w:rPr>
              <w:t xml:space="preserve"> </w:t>
            </w:r>
            <w:r w:rsidRPr="001960AC">
              <w:rPr>
                <w:rFonts w:ascii="Gill Sans" w:hAnsi="Gill Sans" w:cs="Gill Sans"/>
                <w:color w:val="000000"/>
                <w:szCs w:val="22"/>
              </w:rPr>
              <w:t>explanations which make their writing confusing</w:t>
            </w:r>
            <w:r>
              <w:rPr>
                <w:rFonts w:ascii="Gill Sans" w:hAnsi="Gill Sans" w:cs="Gill Sans"/>
                <w:color w:val="000000"/>
                <w:szCs w:val="22"/>
              </w:rPr>
              <w:t>” (p.51), perhaps because the new terms are ‘alien’</w:t>
            </w:r>
          </w:p>
          <w:p w14:paraId="7F55BDA8" w14:textId="77777777" w:rsidR="00F934ED" w:rsidRPr="00453A04" w:rsidRDefault="00F934ED" w:rsidP="00F934ED">
            <w:pPr>
              <w:rPr>
                <w:rFonts w:ascii="Gill Sans" w:hAnsi="Gill Sans" w:cs="Gill Sans"/>
                <w:color w:val="000000"/>
                <w:szCs w:val="22"/>
              </w:rPr>
            </w:pPr>
            <w:r>
              <w:rPr>
                <w:rFonts w:ascii="Gill Sans" w:hAnsi="Gill Sans" w:cs="Gill Sans"/>
                <w:i/>
                <w:color w:val="000000"/>
                <w:szCs w:val="22"/>
              </w:rPr>
              <w:t>5) Lack of coherence</w:t>
            </w:r>
            <w:r>
              <w:rPr>
                <w:rFonts w:ascii="Gill Sans" w:hAnsi="Gill Sans" w:cs="Gill Sans"/>
                <w:color w:val="000000"/>
                <w:szCs w:val="22"/>
              </w:rPr>
              <w:t>: (definition of coherence on p.51): “</w:t>
            </w:r>
            <w:r w:rsidRPr="00453A04">
              <w:rPr>
                <w:rFonts w:ascii="Gill Sans" w:hAnsi="Gill Sans" w:cs="Gill Sans"/>
                <w:color w:val="000000"/>
                <w:szCs w:val="22"/>
              </w:rPr>
              <w:t>All the</w:t>
            </w:r>
          </w:p>
          <w:p w14:paraId="0E5085E2" w14:textId="3990028E" w:rsidR="00F934ED" w:rsidRDefault="00F934ED" w:rsidP="00F934ED">
            <w:pPr>
              <w:rPr>
                <w:rFonts w:ascii="Gill Sans" w:hAnsi="Gill Sans" w:cs="Gill Sans"/>
                <w:color w:val="000000"/>
                <w:szCs w:val="22"/>
                <w:lang w:val="en-AU"/>
              </w:rPr>
            </w:pPr>
            <w:r w:rsidRPr="00453A04">
              <w:rPr>
                <w:rFonts w:ascii="Gill Sans" w:hAnsi="Gill Sans" w:cs="Gill Sans"/>
                <w:color w:val="000000"/>
                <w:szCs w:val="22"/>
              </w:rPr>
              <w:t>students experienced difficulties in structuring their writing in a logical and coherent way and in</w:t>
            </w:r>
            <w:r>
              <w:rPr>
                <w:rFonts w:ascii="Gill Sans" w:hAnsi="Gill Sans" w:cs="Gill Sans"/>
                <w:color w:val="000000"/>
                <w:szCs w:val="22"/>
              </w:rPr>
              <w:t xml:space="preserve"> </w:t>
            </w:r>
            <w:r w:rsidRPr="00453A04">
              <w:rPr>
                <w:rFonts w:ascii="Gill Sans" w:hAnsi="Gill Sans" w:cs="Gill Sans"/>
                <w:color w:val="000000"/>
                <w:szCs w:val="22"/>
              </w:rPr>
              <w:t>their interviews they explained that essay-writing practices at school had encouraged them to get</w:t>
            </w:r>
            <w:r>
              <w:rPr>
                <w:rFonts w:ascii="Gill Sans" w:hAnsi="Gill Sans" w:cs="Gill Sans"/>
                <w:color w:val="000000"/>
                <w:szCs w:val="22"/>
              </w:rPr>
              <w:t xml:space="preserve"> </w:t>
            </w:r>
            <w:r w:rsidRPr="00453A04">
              <w:rPr>
                <w:rFonts w:ascii="Gill Sans" w:hAnsi="Gill Sans" w:cs="Gill Sans"/>
                <w:color w:val="000000"/>
                <w:szCs w:val="22"/>
              </w:rPr>
              <w:t xml:space="preserve">‘the facts’ down </w:t>
            </w:r>
            <w:r w:rsidRPr="00453A04">
              <w:rPr>
                <w:rFonts w:ascii="Gill Sans" w:hAnsi="Gill Sans" w:cs="Gill Sans"/>
                <w:color w:val="000000"/>
                <w:szCs w:val="22"/>
              </w:rPr>
              <w:lastRenderedPageBreak/>
              <w:t>as quickly as possible without paying attention to coherence or logical development</w:t>
            </w:r>
            <w:r>
              <w:rPr>
                <w:rFonts w:ascii="Gill Sans" w:hAnsi="Gill Sans" w:cs="Gill Sans"/>
                <w:color w:val="000000"/>
                <w:szCs w:val="22"/>
              </w:rPr>
              <w:t xml:space="preserve"> </w:t>
            </w:r>
            <w:r w:rsidRPr="00453A04">
              <w:rPr>
                <w:rFonts w:ascii="Gill Sans" w:hAnsi="Gill Sans" w:cs="Gill Sans"/>
                <w:color w:val="000000"/>
                <w:szCs w:val="22"/>
              </w:rPr>
              <w:t>of argument</w:t>
            </w:r>
            <w:r>
              <w:rPr>
                <w:rFonts w:ascii="Gill Sans" w:hAnsi="Gill Sans" w:cs="Gill Sans"/>
                <w:color w:val="000000"/>
                <w:szCs w:val="22"/>
              </w:rPr>
              <w:t>” (p.52)</w:t>
            </w:r>
            <w:r w:rsidRPr="00453A04">
              <w:rPr>
                <w:rFonts w:ascii="Gill Sans" w:hAnsi="Gill Sans" w:cs="Gill Sans"/>
                <w:color w:val="000000"/>
                <w:szCs w:val="22"/>
              </w:rPr>
              <w:t>.</w:t>
            </w:r>
            <w:r w:rsidRPr="00076E76">
              <w:rPr>
                <w:rFonts w:ascii="Gill Sans" w:hAnsi="Gill Sans" w:cs="Gill Sans"/>
                <w:b/>
                <w:color w:val="000000"/>
                <w:szCs w:val="22"/>
                <w:lang w:val="en-AU"/>
              </w:rPr>
              <w:br/>
              <w:t>Core argument:</w:t>
            </w:r>
            <w:r>
              <w:rPr>
                <w:rFonts w:ascii="Gill Sans" w:hAnsi="Gill Sans" w:cs="Gill Sans"/>
                <w:b/>
                <w:color w:val="000000"/>
                <w:szCs w:val="22"/>
                <w:lang w:val="en-AU"/>
              </w:rPr>
              <w:t xml:space="preserve"> </w:t>
            </w:r>
            <w:r>
              <w:rPr>
                <w:rFonts w:ascii="Gill Sans" w:hAnsi="Gill Sans" w:cs="Gill Sans"/>
                <w:color w:val="000000"/>
                <w:szCs w:val="22"/>
                <w:lang w:val="en-AU"/>
              </w:rPr>
              <w:t>Students in this study had difficulty in adapting/ mastering and “</w:t>
            </w:r>
            <w:r w:rsidRPr="007D3B56">
              <w:rPr>
                <w:rFonts w:ascii="Gill Sans" w:hAnsi="Gill Sans" w:cs="Gill Sans"/>
                <w:color w:val="000000"/>
                <w:szCs w:val="22"/>
              </w:rPr>
              <w:t>acquiring the complex discourses of academia</w:t>
            </w:r>
            <w:r>
              <w:rPr>
                <w:rFonts w:ascii="Gill Sans" w:hAnsi="Gill Sans" w:cs="Gill Sans"/>
                <w:color w:val="000000"/>
                <w:szCs w:val="22"/>
              </w:rPr>
              <w:t>” (p.52). Interim literacies = about making meaning in transition; “</w:t>
            </w:r>
            <w:r w:rsidRPr="007D3B56">
              <w:rPr>
                <w:rFonts w:ascii="Gill Sans" w:hAnsi="Gill Sans" w:cs="Gill Sans"/>
                <w:color w:val="000000"/>
                <w:szCs w:val="22"/>
              </w:rPr>
              <w:t>Therefore, the term interim must</w:t>
            </w:r>
            <w:r>
              <w:rPr>
                <w:rFonts w:ascii="Gill Sans" w:hAnsi="Gill Sans" w:cs="Gill Sans"/>
                <w:color w:val="000000"/>
                <w:szCs w:val="22"/>
              </w:rPr>
              <w:t xml:space="preserve"> </w:t>
            </w:r>
            <w:r w:rsidRPr="007D3B56">
              <w:rPr>
                <w:rFonts w:ascii="Gill Sans" w:hAnsi="Gill Sans" w:cs="Gill Sans"/>
                <w:color w:val="000000"/>
                <w:szCs w:val="22"/>
              </w:rPr>
              <w:t>imply fluidity, a sense of movement and change</w:t>
            </w:r>
            <w:r>
              <w:rPr>
                <w:rFonts w:ascii="Gill Sans" w:hAnsi="Gill Sans" w:cs="Gill Sans"/>
                <w:color w:val="000000"/>
                <w:szCs w:val="22"/>
              </w:rPr>
              <w:t>” (p.52). Interim literacies are partly characterized by their hybridity, which “</w:t>
            </w:r>
            <w:r w:rsidRPr="00D37065">
              <w:rPr>
                <w:rFonts w:ascii="Gill Sans" w:hAnsi="Gill Sans" w:cs="Gill Sans"/>
                <w:color w:val="000000"/>
                <w:szCs w:val="22"/>
              </w:rPr>
              <w:t>often provides us with</w:t>
            </w:r>
            <w:r>
              <w:rPr>
                <w:rFonts w:ascii="Gill Sans" w:hAnsi="Gill Sans" w:cs="Gill Sans"/>
                <w:color w:val="000000"/>
                <w:szCs w:val="22"/>
              </w:rPr>
              <w:t xml:space="preserve"> </w:t>
            </w:r>
            <w:r w:rsidRPr="00D37065">
              <w:rPr>
                <w:rFonts w:ascii="Gill Sans" w:hAnsi="Gill Sans" w:cs="Gill Sans"/>
                <w:color w:val="000000"/>
                <w:szCs w:val="22"/>
              </w:rPr>
              <w:t>insights into how past discourses and discourse models assist in concept formation</w:t>
            </w:r>
            <w:r>
              <w:rPr>
                <w:rFonts w:ascii="Gill Sans" w:hAnsi="Gill Sans" w:cs="Gill Sans"/>
                <w:color w:val="000000"/>
                <w:szCs w:val="22"/>
              </w:rPr>
              <w:t>” (p.52)</w:t>
            </w:r>
          </w:p>
          <w:p w14:paraId="037D84DE" w14:textId="66805010" w:rsidR="00F934ED" w:rsidRPr="001A2564" w:rsidRDefault="00F934ED" w:rsidP="00F934ED">
            <w:pPr>
              <w:rPr>
                <w:rFonts w:ascii="Gill Sans" w:hAnsi="Gill Sans" w:cs="Gill Sans"/>
                <w:color w:val="000000"/>
                <w:szCs w:val="22"/>
                <w:lang w:val="en-AU"/>
              </w:rPr>
            </w:pPr>
            <w:r>
              <w:rPr>
                <w:rFonts w:ascii="Gill Sans" w:hAnsi="Gill Sans" w:cs="Gill Sans"/>
                <w:color w:val="000000"/>
                <w:szCs w:val="22"/>
                <w:lang w:val="en-AU"/>
              </w:rPr>
              <w:t>“</w:t>
            </w:r>
            <w:r w:rsidRPr="001A2564">
              <w:rPr>
                <w:rFonts w:ascii="Gill Sans" w:hAnsi="Gill Sans" w:cs="Gill Sans"/>
                <w:color w:val="000000"/>
                <w:szCs w:val="22"/>
              </w:rPr>
              <w:t>The concept of interim literacies seems useful in a con</w:t>
            </w:r>
            <w:r>
              <w:rPr>
                <w:rFonts w:ascii="Gill Sans" w:hAnsi="Gill Sans" w:cs="Gill Sans"/>
                <w:color w:val="000000"/>
                <w:szCs w:val="22"/>
              </w:rPr>
              <w:t xml:space="preserve">text of increasing cultural and </w:t>
            </w:r>
            <w:r w:rsidRPr="001A2564">
              <w:rPr>
                <w:rFonts w:ascii="Gill Sans" w:hAnsi="Gill Sans" w:cs="Gill Sans"/>
                <w:color w:val="000000"/>
                <w:szCs w:val="22"/>
              </w:rPr>
              <w:t>linguistic</w:t>
            </w:r>
            <w:r>
              <w:rPr>
                <w:rFonts w:ascii="Gill Sans" w:hAnsi="Gill Sans" w:cs="Gill Sans"/>
                <w:color w:val="000000"/>
                <w:szCs w:val="22"/>
              </w:rPr>
              <w:t xml:space="preserve"> </w:t>
            </w:r>
            <w:r w:rsidRPr="001A2564">
              <w:rPr>
                <w:rFonts w:ascii="Gill Sans" w:hAnsi="Gill Sans" w:cs="Gill Sans"/>
                <w:color w:val="000000"/>
                <w:szCs w:val="22"/>
              </w:rPr>
              <w:t>diversity where students draw on a range of other discourses as they learn to make meaning in a</w:t>
            </w:r>
            <w:r>
              <w:rPr>
                <w:rFonts w:ascii="Gill Sans" w:hAnsi="Gill Sans" w:cs="Gill Sans"/>
                <w:color w:val="000000"/>
                <w:szCs w:val="22"/>
              </w:rPr>
              <w:t xml:space="preserve"> </w:t>
            </w:r>
            <w:r w:rsidRPr="001A2564">
              <w:rPr>
                <w:rFonts w:ascii="Gill Sans" w:hAnsi="Gill Sans" w:cs="Gill Sans"/>
                <w:color w:val="000000"/>
                <w:szCs w:val="22"/>
              </w:rPr>
              <w:t>new discourse</w:t>
            </w:r>
            <w:r>
              <w:rPr>
                <w:rFonts w:ascii="Gill Sans" w:hAnsi="Gill Sans" w:cs="Gill Sans"/>
                <w:color w:val="000000"/>
                <w:szCs w:val="22"/>
              </w:rPr>
              <w:t>” (p.46)</w:t>
            </w:r>
            <w:r w:rsidRPr="001A2564">
              <w:rPr>
                <w:rFonts w:ascii="Gill Sans" w:hAnsi="Gill Sans" w:cs="Gill Sans"/>
                <w:color w:val="000000"/>
                <w:szCs w:val="22"/>
              </w:rPr>
              <w:t>.</w:t>
            </w:r>
            <w:r>
              <w:rPr>
                <w:rFonts w:ascii="Gill Sans" w:hAnsi="Gill Sans" w:cs="Gill Sans"/>
                <w:color w:val="000000"/>
                <w:szCs w:val="22"/>
              </w:rPr>
              <w:t xml:space="preserve"> Exploring students’ interim literacies helps to challenge dominant assumptions and conventions with regard to western essayist literacies</w:t>
            </w:r>
          </w:p>
        </w:tc>
      </w:tr>
      <w:tr w:rsidR="00F934ED" w:rsidRPr="00076E76" w14:paraId="3E15A8FC" w14:textId="77777777" w:rsidTr="009B5819">
        <w:tc>
          <w:tcPr>
            <w:tcW w:w="5529" w:type="dxa"/>
            <w:shd w:val="clear" w:color="auto" w:fill="auto"/>
          </w:tcPr>
          <w:p w14:paraId="251DFD5F" w14:textId="2258EDCF" w:rsidR="00F934ED" w:rsidRDefault="00F934ED" w:rsidP="00F934ED">
            <w:pPr>
              <w:rPr>
                <w:rFonts w:ascii="Gill Sans" w:hAnsi="Gill Sans" w:cs="Gill Sans"/>
                <w:szCs w:val="22"/>
              </w:rPr>
            </w:pPr>
            <w:r>
              <w:rPr>
                <w:rFonts w:ascii="Gill Sans" w:hAnsi="Gill Sans" w:cs="Gill Sans"/>
                <w:szCs w:val="22"/>
              </w:rPr>
              <w:lastRenderedPageBreak/>
              <w:t>Peel, M. (2000</w:t>
            </w:r>
            <w:r w:rsidRPr="008D06C6">
              <w:rPr>
                <w:rFonts w:ascii="Gill Sans" w:hAnsi="Gill Sans" w:cs="Gill Sans"/>
                <w:szCs w:val="22"/>
              </w:rPr>
              <w:t xml:space="preserve">). </w:t>
            </w:r>
            <w:hyperlink r:id="rId111" w:history="1">
              <w:r w:rsidRPr="008D06C6">
                <w:rPr>
                  <w:rStyle w:val="Hyperlink"/>
                  <w:rFonts w:ascii="Gill Sans" w:hAnsi="Gill Sans" w:cs="Gill Sans"/>
                  <w:szCs w:val="22"/>
                </w:rPr>
                <w:t>‘Nobody cares’: The challenge of isolation in school to university transition</w:t>
              </w:r>
            </w:hyperlink>
            <w:r w:rsidRPr="001A1588">
              <w:rPr>
                <w:rFonts w:ascii="Gill Sans" w:hAnsi="Gill Sans" w:cs="Gill Sans"/>
                <w:i/>
                <w:szCs w:val="22"/>
              </w:rPr>
              <w:t>, Journal of Institutional Research</w:t>
            </w:r>
            <w:r>
              <w:rPr>
                <w:rFonts w:ascii="Gill Sans" w:hAnsi="Gill Sans" w:cs="Gill Sans"/>
                <w:szCs w:val="22"/>
              </w:rPr>
              <w:t>,</w:t>
            </w:r>
            <w:r w:rsidRPr="001A1588">
              <w:rPr>
                <w:rFonts w:ascii="Gill Sans" w:hAnsi="Gill Sans" w:cs="Gill Sans"/>
                <w:szCs w:val="22"/>
              </w:rPr>
              <w:t xml:space="preserve"> 9</w:t>
            </w:r>
            <w:r>
              <w:rPr>
                <w:rFonts w:ascii="Gill Sans" w:hAnsi="Gill Sans" w:cs="Gill Sans"/>
                <w:szCs w:val="22"/>
              </w:rPr>
              <w:t>(1), 22–</w:t>
            </w:r>
            <w:r w:rsidRPr="001A1588">
              <w:rPr>
                <w:rFonts w:ascii="Gill Sans" w:hAnsi="Gill Sans" w:cs="Gill Sans"/>
                <w:szCs w:val="22"/>
              </w:rPr>
              <w:t>34</w:t>
            </w:r>
            <w:r>
              <w:rPr>
                <w:rFonts w:ascii="Gill Sans" w:hAnsi="Gill Sans" w:cs="Gill Sans"/>
                <w:szCs w:val="22"/>
              </w:rPr>
              <w:t>.</w:t>
            </w:r>
          </w:p>
          <w:p w14:paraId="00B5BD79" w14:textId="77777777" w:rsidR="00F934ED" w:rsidRDefault="00F934ED" w:rsidP="00F934ED">
            <w:pPr>
              <w:rPr>
                <w:rFonts w:ascii="Gill Sans" w:hAnsi="Gill Sans" w:cs="Gill Sans"/>
                <w:szCs w:val="22"/>
              </w:rPr>
            </w:pPr>
          </w:p>
          <w:p w14:paraId="2EB59BB6" w14:textId="77777777" w:rsidR="00F934ED" w:rsidRDefault="00F934ED" w:rsidP="00F934ED">
            <w:pPr>
              <w:rPr>
                <w:rFonts w:ascii="Gill Sans" w:hAnsi="Gill Sans" w:cs="Gill Sans"/>
                <w:szCs w:val="22"/>
              </w:rPr>
            </w:pPr>
            <w:r>
              <w:rPr>
                <w:rFonts w:ascii="Gill Sans" w:hAnsi="Gill Sans" w:cs="Gill Sans"/>
                <w:szCs w:val="22"/>
              </w:rPr>
              <w:t>AUS</w:t>
            </w:r>
          </w:p>
          <w:p w14:paraId="23DCE124" w14:textId="0AAB11C3" w:rsidR="00500B09" w:rsidRPr="00076E76" w:rsidRDefault="00043A90" w:rsidP="00F934ED">
            <w:pPr>
              <w:rPr>
                <w:rFonts w:ascii="Gill Sans" w:hAnsi="Gill Sans" w:cs="Gill Sans"/>
                <w:szCs w:val="22"/>
              </w:rPr>
            </w:pPr>
            <w:r>
              <w:rPr>
                <w:rFonts w:ascii="Gill Sans" w:hAnsi="Gill Sans" w:cs="Gill Sans"/>
                <w:szCs w:val="22"/>
              </w:rPr>
              <w:t>Annotation by Sally Baker</w:t>
            </w:r>
          </w:p>
        </w:tc>
        <w:tc>
          <w:tcPr>
            <w:tcW w:w="10064" w:type="dxa"/>
          </w:tcPr>
          <w:p w14:paraId="2CAD0E3C" w14:textId="1636D67E" w:rsidR="00F934ED" w:rsidRPr="00F813FF"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Pr>
                <w:rFonts w:ascii="Gill Sans" w:hAnsi="Gill Sans" w:cs="Gill Sans"/>
                <w:color w:val="000000"/>
                <w:szCs w:val="22"/>
                <w:lang w:val="en-AU"/>
              </w:rPr>
              <w:t xml:space="preserve">Students transitioning from school (public, Catholic, independent) to university in Victoria (in 1997) </w:t>
            </w:r>
          </w:p>
          <w:p w14:paraId="0607EA45" w14:textId="1296D83B" w:rsidR="00F934ED" w:rsidRPr="000E2583"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Pr>
                <w:rFonts w:ascii="Gill Sans" w:hAnsi="Gill Sans" w:cs="Gill Sans"/>
                <w:color w:val="000000"/>
                <w:szCs w:val="22"/>
                <w:lang w:val="en-AU"/>
              </w:rPr>
              <w:t>To explore “</w:t>
            </w:r>
            <w:r w:rsidRPr="000E2583">
              <w:rPr>
                <w:rFonts w:ascii="Gill Sans" w:hAnsi="Gill Sans" w:cs="Gill Sans"/>
                <w:color w:val="000000"/>
                <w:szCs w:val="22"/>
              </w:rPr>
              <w:t>the important roles of</w:t>
            </w:r>
            <w:r>
              <w:rPr>
                <w:rFonts w:ascii="Gill Sans" w:hAnsi="Gill Sans" w:cs="Gill Sans"/>
                <w:color w:val="000000"/>
                <w:szCs w:val="22"/>
              </w:rPr>
              <w:t xml:space="preserve"> </w:t>
            </w:r>
            <w:r w:rsidRPr="000E2583">
              <w:rPr>
                <w:rFonts w:ascii="Gill Sans" w:hAnsi="Gill Sans" w:cs="Gill Sans"/>
                <w:color w:val="000000"/>
                <w:szCs w:val="22"/>
              </w:rPr>
              <w:t>university teachers and administrators and briefly describes programs under development in one</w:t>
            </w:r>
            <w:r>
              <w:rPr>
                <w:rFonts w:ascii="Gill Sans" w:hAnsi="Gill Sans" w:cs="Gill Sans"/>
                <w:color w:val="000000"/>
                <w:szCs w:val="22"/>
              </w:rPr>
              <w:t xml:space="preserve"> </w:t>
            </w:r>
            <w:r w:rsidRPr="000E2583">
              <w:rPr>
                <w:rFonts w:ascii="Gill Sans" w:hAnsi="Gill Sans" w:cs="Gill Sans"/>
                <w:color w:val="000000"/>
                <w:szCs w:val="22"/>
              </w:rPr>
              <w:t>institution which acknowledge the difficulties of isolation and attempt to tackle some of its causes and</w:t>
            </w:r>
            <w:r>
              <w:rPr>
                <w:rFonts w:ascii="Gill Sans" w:hAnsi="Gill Sans" w:cs="Gill Sans"/>
                <w:color w:val="000000"/>
                <w:szCs w:val="22"/>
              </w:rPr>
              <w:t xml:space="preserve"> </w:t>
            </w:r>
            <w:r w:rsidRPr="000E2583">
              <w:rPr>
                <w:rFonts w:ascii="Gill Sans" w:hAnsi="Gill Sans" w:cs="Gill Sans"/>
                <w:color w:val="000000"/>
                <w:szCs w:val="22"/>
              </w:rPr>
              <w:t>consequences</w:t>
            </w:r>
            <w:r>
              <w:rPr>
                <w:rFonts w:ascii="Gill Sans" w:hAnsi="Gill Sans" w:cs="Gill Sans"/>
                <w:color w:val="000000"/>
                <w:szCs w:val="22"/>
              </w:rPr>
              <w:t>” (p.22)</w:t>
            </w:r>
          </w:p>
          <w:p w14:paraId="05BBDBC7" w14:textId="35F7A7C4" w:rsidR="00F934ED" w:rsidRPr="00F813FF"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Pr>
                <w:rFonts w:ascii="Gill Sans" w:hAnsi="Gill Sans" w:cs="Gill Sans"/>
                <w:color w:val="000000"/>
                <w:szCs w:val="22"/>
                <w:lang w:val="en-AU"/>
              </w:rPr>
              <w:t>Longitudinal (one cohort) tracking (survey + focus groups)</w:t>
            </w:r>
          </w:p>
          <w:p w14:paraId="3FF21A70" w14:textId="77777777" w:rsidR="00F934ED" w:rsidRDefault="00F934ED" w:rsidP="00F934ED">
            <w:pPr>
              <w:rPr>
                <w:rFonts w:ascii="Gill Sans" w:hAnsi="Gill Sans" w:cs="Gill Sans"/>
                <w:b/>
                <w:color w:val="000000"/>
                <w:szCs w:val="22"/>
                <w:lang w:val="en-AU"/>
              </w:rPr>
            </w:pPr>
            <w:r w:rsidRPr="00076E76">
              <w:rPr>
                <w:rFonts w:ascii="Gill Sans" w:hAnsi="Gill Sans" w:cs="Gill Sans"/>
                <w:b/>
                <w:color w:val="000000"/>
                <w:szCs w:val="22"/>
                <w:lang w:val="en-AU"/>
              </w:rPr>
              <w:t xml:space="preserve">Findings: </w:t>
            </w:r>
          </w:p>
          <w:p w14:paraId="76625A97" w14:textId="77777777" w:rsidR="00F934ED" w:rsidRDefault="00F934ED" w:rsidP="00F934ED">
            <w:pPr>
              <w:rPr>
                <w:rFonts w:ascii="Gill Sans" w:hAnsi="Gill Sans" w:cs="Gill Sans"/>
                <w:color w:val="000000"/>
                <w:szCs w:val="22"/>
              </w:rPr>
            </w:pPr>
            <w:r>
              <w:rPr>
                <w:rFonts w:ascii="Gill Sans" w:hAnsi="Gill Sans" w:cs="Gill Sans"/>
                <w:i/>
                <w:color w:val="000000"/>
                <w:szCs w:val="22"/>
                <w:lang w:val="en-AU"/>
              </w:rPr>
              <w:t xml:space="preserve">Pre-transition: </w:t>
            </w:r>
            <w:r>
              <w:rPr>
                <w:rFonts w:ascii="Gill Sans" w:hAnsi="Gill Sans" w:cs="Gill Sans"/>
                <w:color w:val="000000"/>
                <w:szCs w:val="22"/>
                <w:lang w:val="en-AU"/>
              </w:rPr>
              <w:t>Students expected university to require them to be more independent, although this was viewed both as a benefit and a potential area for anxiety. Students = most worried about the workload but also being anonymous/ unknown and lost. “</w:t>
            </w:r>
            <w:r w:rsidRPr="00167BF9">
              <w:rPr>
                <w:rFonts w:ascii="Gill Sans" w:hAnsi="Gill Sans" w:cs="Gill Sans"/>
                <w:color w:val="000000"/>
                <w:szCs w:val="22"/>
              </w:rPr>
              <w:t>Overall, the perception of university study shared by almost all of these Year Twelve students dwelt upon</w:t>
            </w:r>
            <w:r>
              <w:rPr>
                <w:rFonts w:ascii="Gill Sans" w:hAnsi="Gill Sans" w:cs="Gill Sans"/>
                <w:color w:val="000000"/>
                <w:szCs w:val="22"/>
              </w:rPr>
              <w:t xml:space="preserve"> </w:t>
            </w:r>
            <w:r w:rsidRPr="00167BF9">
              <w:rPr>
                <w:rFonts w:ascii="Gill Sans" w:hAnsi="Gill Sans" w:cs="Gill Sans"/>
                <w:color w:val="000000"/>
                <w:szCs w:val="22"/>
              </w:rPr>
              <w:t>‘freedom’ and ‘isolation’ as two sides of the same transition coin</w:t>
            </w:r>
            <w:r>
              <w:rPr>
                <w:rFonts w:ascii="Gill Sans" w:hAnsi="Gill Sans" w:cs="Gill Sans"/>
                <w:color w:val="000000"/>
                <w:szCs w:val="22"/>
              </w:rPr>
              <w:t>” (p.23)</w:t>
            </w:r>
            <w:r w:rsidRPr="00167BF9">
              <w:rPr>
                <w:rFonts w:ascii="Gill Sans" w:hAnsi="Gill Sans" w:cs="Gill Sans"/>
                <w:color w:val="000000"/>
                <w:szCs w:val="22"/>
              </w:rPr>
              <w:t>.</w:t>
            </w:r>
          </w:p>
          <w:p w14:paraId="61232F72" w14:textId="77777777" w:rsidR="00F934ED" w:rsidRDefault="00F934ED" w:rsidP="00F934ED">
            <w:pPr>
              <w:rPr>
                <w:rFonts w:ascii="Gill Sans" w:hAnsi="Gill Sans" w:cs="Gill Sans"/>
                <w:color w:val="000000"/>
                <w:szCs w:val="22"/>
              </w:rPr>
            </w:pPr>
            <w:r w:rsidRPr="00793B2D">
              <w:rPr>
                <w:rFonts w:ascii="Gill Sans" w:hAnsi="Gill Sans" w:cs="Gill Sans"/>
                <w:i/>
                <w:color w:val="000000"/>
                <w:szCs w:val="22"/>
              </w:rPr>
              <w:t>Post-transition in</w:t>
            </w:r>
            <w:r>
              <w:rPr>
                <w:rFonts w:ascii="Gill Sans" w:hAnsi="Gill Sans" w:cs="Gill Sans"/>
                <w:color w:val="000000"/>
                <w:szCs w:val="22"/>
              </w:rPr>
              <w:t>: “</w:t>
            </w:r>
            <w:r w:rsidRPr="00C2272A">
              <w:rPr>
                <w:rFonts w:ascii="Gill Sans" w:hAnsi="Gill Sans" w:cs="Gill Sans"/>
                <w:color w:val="000000"/>
                <w:szCs w:val="22"/>
              </w:rPr>
              <w:t>most did not describe themselves as completely</w:t>
            </w:r>
            <w:r>
              <w:rPr>
                <w:rFonts w:ascii="Gill Sans" w:hAnsi="Gill Sans" w:cs="Gill Sans"/>
                <w:color w:val="000000"/>
                <w:szCs w:val="22"/>
              </w:rPr>
              <w:t xml:space="preserve"> </w:t>
            </w:r>
            <w:r w:rsidRPr="00C2272A">
              <w:rPr>
                <w:rFonts w:ascii="Gill Sans" w:hAnsi="Gill Sans" w:cs="Gill Sans"/>
                <w:color w:val="000000"/>
                <w:szCs w:val="22"/>
              </w:rPr>
              <w:t>isolated learners, and had found patchy, if important, support and interest among their lecturers and</w:t>
            </w:r>
            <w:r>
              <w:rPr>
                <w:rFonts w:ascii="Gill Sans" w:hAnsi="Gill Sans" w:cs="Gill Sans"/>
                <w:color w:val="000000"/>
                <w:szCs w:val="22"/>
              </w:rPr>
              <w:t xml:space="preserve"> </w:t>
            </w:r>
            <w:r w:rsidRPr="00C2272A">
              <w:rPr>
                <w:rFonts w:ascii="Gill Sans" w:hAnsi="Gill Sans" w:cs="Gill Sans"/>
                <w:color w:val="000000"/>
                <w:szCs w:val="22"/>
              </w:rPr>
              <w:t>tutors</w:t>
            </w:r>
            <w:r>
              <w:rPr>
                <w:rFonts w:ascii="Gill Sans" w:hAnsi="Gill Sans" w:cs="Gill Sans"/>
                <w:color w:val="000000"/>
                <w:szCs w:val="22"/>
              </w:rPr>
              <w:t>” (p.24). Data gathered from students being asked about teaching quality suggest that ‘good teachers’ = “</w:t>
            </w:r>
            <w:r w:rsidRPr="00E950CF">
              <w:rPr>
                <w:rFonts w:ascii="Gill Sans" w:hAnsi="Gill Sans" w:cs="Gill Sans"/>
                <w:color w:val="000000"/>
                <w:szCs w:val="22"/>
              </w:rPr>
              <w:t>addressed and challenged the perception of the isolated learner which most of</w:t>
            </w:r>
            <w:r>
              <w:rPr>
                <w:rFonts w:ascii="Gill Sans" w:hAnsi="Gill Sans" w:cs="Gill Sans"/>
                <w:color w:val="000000"/>
                <w:szCs w:val="22"/>
              </w:rPr>
              <w:t xml:space="preserve"> </w:t>
            </w:r>
            <w:r w:rsidRPr="00E950CF">
              <w:rPr>
                <w:rFonts w:ascii="Gill Sans" w:hAnsi="Gill Sans" w:cs="Gill Sans"/>
                <w:color w:val="000000"/>
                <w:szCs w:val="22"/>
              </w:rPr>
              <w:t>these students brought to the first year of university</w:t>
            </w:r>
            <w:r>
              <w:rPr>
                <w:rFonts w:ascii="Gill Sans" w:hAnsi="Gill Sans" w:cs="Gill Sans"/>
                <w:color w:val="000000"/>
                <w:szCs w:val="22"/>
              </w:rPr>
              <w:t>” (p.25). These teachers knew their students’ names and who they were.</w:t>
            </w:r>
          </w:p>
          <w:p w14:paraId="109F9CA5" w14:textId="77777777" w:rsidR="00F934ED" w:rsidRDefault="00F934ED" w:rsidP="00F934ED">
            <w:pPr>
              <w:rPr>
                <w:rFonts w:ascii="Gill Sans" w:hAnsi="Gill Sans" w:cs="Gill Sans"/>
                <w:color w:val="000000"/>
                <w:szCs w:val="22"/>
              </w:rPr>
            </w:pPr>
            <w:r>
              <w:rPr>
                <w:rFonts w:ascii="Gill Sans" w:hAnsi="Gill Sans" w:cs="Gill Sans"/>
                <w:color w:val="000000"/>
                <w:szCs w:val="22"/>
              </w:rPr>
              <w:t>Three different experiences of university teaching:</w:t>
            </w:r>
          </w:p>
          <w:p w14:paraId="7559537E" w14:textId="7FB3DE34" w:rsidR="00F934ED" w:rsidRDefault="00F934ED" w:rsidP="00F934ED">
            <w:pPr>
              <w:rPr>
                <w:rFonts w:ascii="Gill Sans" w:hAnsi="Gill Sans" w:cs="Gill Sans"/>
                <w:color w:val="000000"/>
                <w:szCs w:val="22"/>
              </w:rPr>
            </w:pPr>
            <w:r>
              <w:rPr>
                <w:rFonts w:ascii="Gill Sans" w:hAnsi="Gill Sans" w:cs="Gill Sans"/>
                <w:color w:val="000000"/>
                <w:szCs w:val="22"/>
              </w:rPr>
              <w:t>1) Some had better than expected levels of support (meaning the students did not need to be as independent as they had feared/ expected)</w:t>
            </w:r>
          </w:p>
          <w:p w14:paraId="788DA6AC" w14:textId="32606063" w:rsidR="00F934ED" w:rsidRDefault="00F934ED" w:rsidP="00F934ED">
            <w:pPr>
              <w:rPr>
                <w:rFonts w:ascii="Gill Sans" w:hAnsi="Gill Sans" w:cs="Gill Sans"/>
                <w:color w:val="000000"/>
                <w:szCs w:val="22"/>
              </w:rPr>
            </w:pPr>
            <w:r>
              <w:rPr>
                <w:rFonts w:ascii="Gill Sans" w:hAnsi="Gill Sans" w:cs="Gill Sans"/>
                <w:color w:val="000000"/>
                <w:szCs w:val="22"/>
              </w:rPr>
              <w:t>2) Some “</w:t>
            </w:r>
            <w:r w:rsidRPr="00005DBF">
              <w:rPr>
                <w:rFonts w:ascii="Gill Sans" w:hAnsi="Gill Sans" w:cs="Gill Sans"/>
                <w:color w:val="000000"/>
                <w:szCs w:val="22"/>
              </w:rPr>
              <w:t>students were able to identify good teaching but had also</w:t>
            </w:r>
            <w:r>
              <w:rPr>
                <w:rFonts w:ascii="Gill Sans" w:hAnsi="Gill Sans" w:cs="Gill Sans"/>
                <w:color w:val="000000"/>
                <w:szCs w:val="22"/>
              </w:rPr>
              <w:t xml:space="preserve"> </w:t>
            </w:r>
            <w:r w:rsidRPr="00005DBF">
              <w:rPr>
                <w:rFonts w:ascii="Gill Sans" w:hAnsi="Gill Sans" w:cs="Gill Sans"/>
                <w:color w:val="000000"/>
                <w:szCs w:val="22"/>
              </w:rPr>
              <w:t>experienced what they described as poor teaching and lack of interest or care</w:t>
            </w:r>
            <w:r>
              <w:rPr>
                <w:rFonts w:ascii="Gill Sans" w:hAnsi="Gill Sans" w:cs="Gill Sans"/>
                <w:color w:val="000000"/>
                <w:szCs w:val="22"/>
              </w:rPr>
              <w:t>” (p.26)</w:t>
            </w:r>
          </w:p>
          <w:p w14:paraId="6BB5F219" w14:textId="21821234" w:rsidR="00F934ED" w:rsidRPr="00B353B8" w:rsidRDefault="00F934ED" w:rsidP="00F934ED">
            <w:pPr>
              <w:rPr>
                <w:rFonts w:ascii="Gill Sans" w:hAnsi="Gill Sans" w:cs="Gill Sans"/>
                <w:color w:val="000000"/>
                <w:szCs w:val="22"/>
              </w:rPr>
            </w:pPr>
            <w:r>
              <w:rPr>
                <w:rFonts w:ascii="Gill Sans" w:hAnsi="Gill Sans" w:cs="Gill Sans"/>
                <w:color w:val="000000"/>
                <w:szCs w:val="22"/>
              </w:rPr>
              <w:t xml:space="preserve">3) Some students had their fears confirmed (‘dissatisfied school leavers’, McInnis &amp; James, 1998); author </w:t>
            </w:r>
            <w:r>
              <w:rPr>
                <w:rFonts w:ascii="Gill Sans" w:hAnsi="Gill Sans" w:cs="Gill Sans"/>
                <w:color w:val="000000"/>
                <w:szCs w:val="22"/>
              </w:rPr>
              <w:lastRenderedPageBreak/>
              <w:t>argues his data “</w:t>
            </w:r>
            <w:r w:rsidRPr="006F77D5">
              <w:rPr>
                <w:rFonts w:ascii="Gill Sans" w:hAnsi="Gill Sans" w:cs="Gill Sans"/>
                <w:color w:val="000000"/>
                <w:szCs w:val="22"/>
              </w:rPr>
              <w:t>suggest that these students were particularly likely to focus on</w:t>
            </w:r>
            <w:r>
              <w:rPr>
                <w:rFonts w:ascii="Gill Sans" w:hAnsi="Gill Sans" w:cs="Gill Sans"/>
                <w:color w:val="000000"/>
                <w:szCs w:val="22"/>
              </w:rPr>
              <w:t xml:space="preserve"> </w:t>
            </w:r>
            <w:r w:rsidRPr="006F77D5">
              <w:rPr>
                <w:rFonts w:ascii="Gill Sans" w:hAnsi="Gill Sans" w:cs="Gill Sans"/>
                <w:color w:val="000000"/>
                <w:szCs w:val="22"/>
              </w:rPr>
              <w:t>poor feedback, uninterested and unenthusiastic teachers, and the feeling that ‘no one cared’ or took any</w:t>
            </w:r>
            <w:r>
              <w:rPr>
                <w:rFonts w:ascii="Gill Sans" w:hAnsi="Gill Sans" w:cs="Gill Sans"/>
                <w:color w:val="000000"/>
                <w:szCs w:val="22"/>
              </w:rPr>
              <w:t xml:space="preserve"> </w:t>
            </w:r>
            <w:r w:rsidRPr="006F77D5">
              <w:rPr>
                <w:rFonts w:ascii="Gill Sans" w:hAnsi="Gill Sans" w:cs="Gill Sans"/>
                <w:color w:val="000000"/>
                <w:szCs w:val="22"/>
              </w:rPr>
              <w:t>interest in their progress</w:t>
            </w:r>
            <w:r>
              <w:rPr>
                <w:rFonts w:ascii="Gill Sans" w:hAnsi="Gill Sans" w:cs="Gill Sans"/>
                <w:color w:val="000000"/>
                <w:szCs w:val="22"/>
              </w:rPr>
              <w:t>” (p.26)</w:t>
            </w:r>
            <w:r w:rsidRPr="006F77D5">
              <w:rPr>
                <w:rFonts w:ascii="Gill Sans" w:hAnsi="Gill Sans" w:cs="Gill Sans"/>
                <w:color w:val="000000"/>
                <w:szCs w:val="22"/>
              </w:rPr>
              <w:t>.</w:t>
            </w:r>
            <w:r w:rsidRPr="00076E76">
              <w:rPr>
                <w:rFonts w:ascii="Gill Sans" w:hAnsi="Gill Sans" w:cs="Gill Sans"/>
                <w:b/>
                <w:color w:val="000000"/>
                <w:szCs w:val="22"/>
                <w:lang w:val="en-AU"/>
              </w:rPr>
              <w:br/>
              <w:t>Core argument:</w:t>
            </w:r>
            <w:r>
              <w:rPr>
                <w:rFonts w:ascii="Gill Sans" w:hAnsi="Gill Sans" w:cs="Gill Sans"/>
                <w:b/>
                <w:color w:val="000000"/>
                <w:szCs w:val="22"/>
                <w:lang w:val="en-AU"/>
              </w:rPr>
              <w:t xml:space="preserve"> </w:t>
            </w:r>
            <w:r>
              <w:rPr>
                <w:rFonts w:ascii="Gill Sans" w:hAnsi="Gill Sans" w:cs="Gill Sans"/>
                <w:color w:val="000000"/>
                <w:szCs w:val="22"/>
                <w:lang w:val="en-AU"/>
              </w:rPr>
              <w:t>“</w:t>
            </w:r>
            <w:r w:rsidRPr="00B353B8">
              <w:rPr>
                <w:rFonts w:ascii="Gill Sans" w:hAnsi="Gill Sans" w:cs="Gill Sans"/>
                <w:color w:val="000000"/>
                <w:szCs w:val="22"/>
              </w:rPr>
              <w:t xml:space="preserve">Only by </w:t>
            </w:r>
            <w:proofErr w:type="spellStart"/>
            <w:r w:rsidRPr="00B353B8">
              <w:rPr>
                <w:rFonts w:ascii="Gill Sans" w:hAnsi="Gill Sans" w:cs="Gill Sans"/>
                <w:color w:val="000000"/>
                <w:szCs w:val="22"/>
              </w:rPr>
              <w:t>recognising</w:t>
            </w:r>
            <w:proofErr w:type="spellEnd"/>
            <w:r w:rsidRPr="00B353B8">
              <w:rPr>
                <w:rFonts w:ascii="Gill Sans" w:hAnsi="Gill Sans" w:cs="Gill Sans"/>
                <w:color w:val="000000"/>
                <w:szCs w:val="22"/>
              </w:rPr>
              <w:t xml:space="preserve"> that challenge, and making the</w:t>
            </w:r>
            <w:r>
              <w:rPr>
                <w:rFonts w:ascii="Gill Sans" w:hAnsi="Gill Sans" w:cs="Gill Sans"/>
                <w:color w:val="000000"/>
                <w:szCs w:val="22"/>
              </w:rPr>
              <w:t xml:space="preserve"> </w:t>
            </w:r>
            <w:r w:rsidRPr="00B353B8">
              <w:rPr>
                <w:rFonts w:ascii="Gill Sans" w:hAnsi="Gill Sans" w:cs="Gill Sans"/>
                <w:color w:val="000000"/>
                <w:szCs w:val="22"/>
              </w:rPr>
              <w:t>undergraduate student in general and the fir</w:t>
            </w:r>
            <w:r>
              <w:rPr>
                <w:rFonts w:ascii="Gill Sans" w:hAnsi="Gill Sans" w:cs="Gill Sans"/>
                <w:color w:val="000000"/>
                <w:szCs w:val="22"/>
              </w:rPr>
              <w:t>st-year student in particular the</w:t>
            </w:r>
            <w:r w:rsidRPr="00B353B8">
              <w:rPr>
                <w:rFonts w:ascii="Gill Sans" w:hAnsi="Gill Sans" w:cs="Gill Sans"/>
                <w:color w:val="000000"/>
                <w:szCs w:val="22"/>
              </w:rPr>
              <w:t xml:space="preserve"> primary focus of institutional</w:t>
            </w:r>
            <w:r>
              <w:rPr>
                <w:rFonts w:ascii="Gill Sans" w:hAnsi="Gill Sans" w:cs="Gill Sans"/>
                <w:color w:val="000000"/>
                <w:szCs w:val="22"/>
              </w:rPr>
              <w:t xml:space="preserve"> </w:t>
            </w:r>
            <w:r w:rsidRPr="00B353B8">
              <w:rPr>
                <w:rFonts w:ascii="Gill Sans" w:hAnsi="Gill Sans" w:cs="Gill Sans"/>
                <w:color w:val="000000"/>
                <w:szCs w:val="22"/>
              </w:rPr>
              <w:t>investment and institutional concern, will it become easier to tell each new cohort of final-year secondary</w:t>
            </w:r>
            <w:r>
              <w:rPr>
                <w:rFonts w:ascii="Gill Sans" w:hAnsi="Gill Sans" w:cs="Gill Sans"/>
                <w:color w:val="000000"/>
                <w:szCs w:val="22"/>
              </w:rPr>
              <w:t xml:space="preserve"> </w:t>
            </w:r>
            <w:r w:rsidRPr="00B353B8">
              <w:rPr>
                <w:rFonts w:ascii="Gill Sans" w:hAnsi="Gill Sans" w:cs="Gill Sans"/>
                <w:color w:val="000000"/>
                <w:szCs w:val="22"/>
              </w:rPr>
              <w:t>students that whatever they might have heard, somebody will care</w:t>
            </w:r>
            <w:r>
              <w:rPr>
                <w:rFonts w:ascii="Gill Sans" w:hAnsi="Gill Sans" w:cs="Gill Sans"/>
                <w:color w:val="000000"/>
                <w:szCs w:val="22"/>
              </w:rPr>
              <w:t>” (p.32–3)</w:t>
            </w:r>
            <w:r w:rsidRPr="00B353B8">
              <w:rPr>
                <w:rFonts w:ascii="Gill Sans" w:hAnsi="Gill Sans" w:cs="Gill Sans"/>
                <w:color w:val="000000"/>
                <w:szCs w:val="22"/>
              </w:rPr>
              <w:t>.</w:t>
            </w:r>
          </w:p>
        </w:tc>
      </w:tr>
      <w:tr w:rsidR="00F934ED" w:rsidRPr="00076E76" w14:paraId="3202B481" w14:textId="77777777" w:rsidTr="009B5819">
        <w:tc>
          <w:tcPr>
            <w:tcW w:w="5529" w:type="dxa"/>
            <w:shd w:val="clear" w:color="auto" w:fill="auto"/>
          </w:tcPr>
          <w:p w14:paraId="3DD6E400" w14:textId="7EE508F9" w:rsidR="00F934ED" w:rsidRPr="00076E76" w:rsidRDefault="00F934ED" w:rsidP="00F934ED">
            <w:pPr>
              <w:rPr>
                <w:rFonts w:ascii="Gill Sans" w:hAnsi="Gill Sans" w:cs="Gill Sans"/>
                <w:szCs w:val="22"/>
              </w:rPr>
            </w:pPr>
            <w:r w:rsidRPr="00076E76">
              <w:rPr>
                <w:rFonts w:ascii="Gill Sans" w:hAnsi="Gill Sans" w:cs="Gill Sans"/>
                <w:szCs w:val="22"/>
              </w:rPr>
              <w:lastRenderedPageBreak/>
              <w:t xml:space="preserve">Penn-Edwards, S. &amp; </w:t>
            </w:r>
            <w:proofErr w:type="spellStart"/>
            <w:r w:rsidRPr="00076E76">
              <w:rPr>
                <w:rFonts w:ascii="Gill Sans" w:hAnsi="Gill Sans" w:cs="Gill Sans"/>
                <w:szCs w:val="22"/>
              </w:rPr>
              <w:t>Donnison</w:t>
            </w:r>
            <w:proofErr w:type="spellEnd"/>
            <w:r w:rsidRPr="00076E76">
              <w:rPr>
                <w:rFonts w:ascii="Gill Sans" w:hAnsi="Gill Sans" w:cs="Gill Sans"/>
                <w:szCs w:val="22"/>
              </w:rPr>
              <w:t xml:space="preserve">, S. (2014). </w:t>
            </w:r>
            <w:hyperlink r:id="rId112" w:history="1">
              <w:r w:rsidRPr="00FE6AB4">
                <w:rPr>
                  <w:rStyle w:val="Hyperlink"/>
                  <w:rFonts w:ascii="Gill Sans" w:hAnsi="Gill Sans" w:cs="Gill Sans"/>
                  <w:szCs w:val="22"/>
                </w:rPr>
                <w:t>A fourth generation approach to transition in the first year in higher education: First year in higher education community of practice (</w:t>
              </w:r>
              <w:proofErr w:type="spellStart"/>
              <w:r w:rsidRPr="00FE6AB4">
                <w:rPr>
                  <w:rStyle w:val="Hyperlink"/>
                  <w:rFonts w:ascii="Gill Sans" w:hAnsi="Gill Sans" w:cs="Gill Sans"/>
                  <w:szCs w:val="22"/>
                </w:rPr>
                <w:t>FYHECoP</w:t>
              </w:r>
              <w:proofErr w:type="spellEnd"/>
              <w:r w:rsidRPr="00FE6AB4">
                <w:rPr>
                  <w:rStyle w:val="Hyperlink"/>
                  <w:rFonts w:ascii="Gill Sans" w:hAnsi="Gill Sans" w:cs="Gill Sans"/>
                  <w:szCs w:val="22"/>
                </w:rPr>
                <w:t>)</w:t>
              </w:r>
            </w:hyperlink>
            <w:r>
              <w:rPr>
                <w:rFonts w:ascii="Gill Sans" w:hAnsi="Gill Sans" w:cs="Gill Sans"/>
                <w:szCs w:val="22"/>
              </w:rPr>
              <w:t>,</w:t>
            </w:r>
            <w:r w:rsidRPr="00076E76">
              <w:rPr>
                <w:rFonts w:ascii="Gill Sans" w:hAnsi="Gill Sans" w:cs="Gill Sans"/>
                <w:szCs w:val="22"/>
              </w:rPr>
              <w:t xml:space="preserve"> </w:t>
            </w:r>
            <w:r w:rsidRPr="00076E76">
              <w:rPr>
                <w:rFonts w:ascii="Gill Sans" w:hAnsi="Gill Sans" w:cs="Gill Sans"/>
                <w:i/>
                <w:szCs w:val="22"/>
              </w:rPr>
              <w:t xml:space="preserve">The International </w:t>
            </w:r>
            <w:r>
              <w:rPr>
                <w:rFonts w:ascii="Gill Sans" w:hAnsi="Gill Sans" w:cs="Gill Sans"/>
                <w:i/>
                <w:szCs w:val="22"/>
              </w:rPr>
              <w:t>J</w:t>
            </w:r>
            <w:r w:rsidRPr="00076E76">
              <w:rPr>
                <w:rFonts w:ascii="Gill Sans" w:hAnsi="Gill Sans" w:cs="Gill Sans"/>
                <w:i/>
                <w:szCs w:val="22"/>
              </w:rPr>
              <w:t xml:space="preserve">ournal of the First Year in Higher Education, </w:t>
            </w:r>
            <w:r>
              <w:rPr>
                <w:rFonts w:ascii="Gill Sans" w:hAnsi="Gill Sans" w:cs="Gill Sans"/>
                <w:szCs w:val="22"/>
              </w:rPr>
              <w:t>5(1), 31–</w:t>
            </w:r>
            <w:r w:rsidRPr="00076E76">
              <w:rPr>
                <w:rFonts w:ascii="Gill Sans" w:hAnsi="Gill Sans" w:cs="Gill Sans"/>
                <w:szCs w:val="22"/>
              </w:rPr>
              <w:t>41.</w:t>
            </w:r>
          </w:p>
          <w:p w14:paraId="77F5A897" w14:textId="77777777" w:rsidR="00F934ED" w:rsidRPr="00076E76" w:rsidRDefault="00F934ED" w:rsidP="00F934ED">
            <w:pPr>
              <w:rPr>
                <w:rFonts w:ascii="Gill Sans" w:hAnsi="Gill Sans" w:cs="Gill Sans"/>
                <w:szCs w:val="22"/>
              </w:rPr>
            </w:pPr>
          </w:p>
          <w:p w14:paraId="2639D157" w14:textId="77777777" w:rsidR="00F934ED" w:rsidRPr="00076E76" w:rsidRDefault="00F934ED" w:rsidP="00F934ED">
            <w:pPr>
              <w:rPr>
                <w:rFonts w:ascii="Gill Sans" w:hAnsi="Gill Sans" w:cs="Gill Sans"/>
                <w:szCs w:val="22"/>
              </w:rPr>
            </w:pPr>
            <w:r w:rsidRPr="00076E76">
              <w:rPr>
                <w:rFonts w:ascii="Gill Sans" w:hAnsi="Gill Sans" w:cs="Gill Sans"/>
                <w:szCs w:val="22"/>
              </w:rPr>
              <w:t xml:space="preserve">AUS </w:t>
            </w:r>
          </w:p>
          <w:p w14:paraId="1320AA9C" w14:textId="6931C6D7" w:rsidR="00F934ED" w:rsidRPr="00076E76" w:rsidRDefault="00043A90" w:rsidP="00F934ED">
            <w:pPr>
              <w:rPr>
                <w:rFonts w:ascii="Gill Sans" w:hAnsi="Gill Sans" w:cs="Gill Sans"/>
                <w:szCs w:val="22"/>
              </w:rPr>
            </w:pPr>
            <w:r>
              <w:rPr>
                <w:rFonts w:ascii="Gill Sans" w:hAnsi="Gill Sans" w:cs="Gill Sans"/>
                <w:szCs w:val="22"/>
              </w:rPr>
              <w:t>Annotation by Sally Baker</w:t>
            </w:r>
          </w:p>
          <w:p w14:paraId="5EDD7D5D" w14:textId="6FD8E387" w:rsidR="00F934ED" w:rsidRPr="00076E76" w:rsidRDefault="00F934ED" w:rsidP="00F934ED">
            <w:pPr>
              <w:rPr>
                <w:rFonts w:ascii="Gill Sans" w:hAnsi="Gill Sans" w:cs="Gill Sans"/>
                <w:b/>
                <w:szCs w:val="22"/>
              </w:rPr>
            </w:pPr>
          </w:p>
        </w:tc>
        <w:tc>
          <w:tcPr>
            <w:tcW w:w="10064" w:type="dxa"/>
          </w:tcPr>
          <w:p w14:paraId="4F9A25BD" w14:textId="744D7E33" w:rsidR="00F934ED" w:rsidRPr="00F556C2"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Pr>
                <w:rFonts w:ascii="Gill Sans" w:hAnsi="Gill Sans" w:cs="Gill Sans"/>
                <w:color w:val="000000"/>
                <w:szCs w:val="22"/>
                <w:lang w:val="en-AU"/>
              </w:rPr>
              <w:t>Students’ transitions into undergraduate study and ‘third generation’ transition pedagogy. Authors argue that a new approach is needed; “</w:t>
            </w:r>
            <w:r w:rsidRPr="009506DF">
              <w:rPr>
                <w:rFonts w:ascii="Gill Sans" w:hAnsi="Gill Sans" w:cs="Gill Sans"/>
                <w:color w:val="000000"/>
                <w:szCs w:val="22"/>
              </w:rPr>
              <w:t>we contend that there is a need for a less insular approach which moves beyond the boundaries of the higher education institution</w:t>
            </w:r>
            <w:r>
              <w:rPr>
                <w:rFonts w:ascii="Gill Sans" w:hAnsi="Gill Sans" w:cs="Gill Sans"/>
                <w:color w:val="000000"/>
                <w:szCs w:val="22"/>
              </w:rPr>
              <w:t>” (p.32)</w:t>
            </w:r>
          </w:p>
          <w:p w14:paraId="22D2E53F" w14:textId="6A2B0762" w:rsidR="00F934ED" w:rsidRPr="00A55980"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Pr>
                <w:rFonts w:ascii="Gill Sans" w:hAnsi="Gill Sans" w:cs="Gill Sans"/>
                <w:color w:val="000000"/>
                <w:szCs w:val="22"/>
                <w:lang w:val="en-AU"/>
              </w:rPr>
              <w:t xml:space="preserve">To argue that institutional approaches to transition move to a ‘fourth generation’ approach (characterised by university-community partnerships); to argue for a </w:t>
            </w:r>
            <w:r w:rsidRPr="00EF08F3">
              <w:rPr>
                <w:rFonts w:ascii="Gill Sans" w:hAnsi="Gill Sans" w:cs="Gill Sans"/>
                <w:color w:val="000000"/>
                <w:szCs w:val="22"/>
              </w:rPr>
              <w:t>First Year in Higher Education Community of Practice (</w:t>
            </w:r>
            <w:proofErr w:type="spellStart"/>
            <w:r w:rsidRPr="00EF08F3">
              <w:rPr>
                <w:rFonts w:ascii="Gill Sans" w:hAnsi="Gill Sans" w:cs="Gill Sans"/>
                <w:color w:val="000000"/>
                <w:szCs w:val="22"/>
              </w:rPr>
              <w:t>FYHECoP</w:t>
            </w:r>
            <w:proofErr w:type="spellEnd"/>
            <w:r w:rsidRPr="00EF08F3">
              <w:rPr>
                <w:rFonts w:ascii="Gill Sans" w:hAnsi="Gill Sans" w:cs="Gill Sans"/>
                <w:color w:val="000000"/>
                <w:szCs w:val="22"/>
              </w:rPr>
              <w:t>)</w:t>
            </w:r>
          </w:p>
          <w:p w14:paraId="0FB166F9" w14:textId="44E0CCBA" w:rsidR="00F934ED" w:rsidRPr="009506DF"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Theoretical frame:</w:t>
            </w:r>
            <w:r>
              <w:rPr>
                <w:rFonts w:ascii="Gill Sans" w:hAnsi="Gill Sans" w:cs="Gill Sans"/>
                <w:b/>
                <w:color w:val="000000"/>
                <w:szCs w:val="22"/>
                <w:lang w:val="en-AU"/>
              </w:rPr>
              <w:t xml:space="preserve"> </w:t>
            </w:r>
            <w:r>
              <w:rPr>
                <w:rFonts w:ascii="Gill Sans" w:hAnsi="Gill Sans" w:cs="Gill Sans"/>
                <w:color w:val="000000"/>
                <w:szCs w:val="22"/>
                <w:lang w:val="en-AU"/>
              </w:rPr>
              <w:t>Higher education institutions as ‘of the people, for the people’ (p.32); community of practice (Lave &amp; Wenger)</w:t>
            </w:r>
          </w:p>
          <w:p w14:paraId="23C82411" w14:textId="730FAAB4" w:rsidR="00F934ED" w:rsidRPr="003D4E13"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Pr>
                <w:rFonts w:ascii="Gill Sans" w:hAnsi="Gill Sans" w:cs="Gill Sans"/>
                <w:color w:val="000000"/>
                <w:szCs w:val="22"/>
                <w:lang w:val="en-AU"/>
              </w:rPr>
              <w:t>Essay</w:t>
            </w:r>
          </w:p>
          <w:p w14:paraId="676270A3" w14:textId="0FBDF393" w:rsidR="00F934ED" w:rsidRDefault="00F934ED" w:rsidP="00F934ED">
            <w:pPr>
              <w:rPr>
                <w:rFonts w:ascii="Gill Sans" w:hAnsi="Gill Sans" w:cs="Gill Sans"/>
                <w:color w:val="000000"/>
                <w:szCs w:val="22"/>
                <w:lang w:val="en-AU"/>
              </w:rPr>
            </w:pPr>
            <w:r>
              <w:rPr>
                <w:rFonts w:ascii="Gill Sans" w:hAnsi="Gill Sans" w:cs="Gill Sans"/>
                <w:b/>
                <w:color w:val="000000"/>
                <w:szCs w:val="22"/>
                <w:lang w:val="en-AU"/>
              </w:rPr>
              <w:t>Discussion</w:t>
            </w:r>
            <w:r w:rsidRPr="00076E76">
              <w:rPr>
                <w:rFonts w:ascii="Gill Sans" w:hAnsi="Gill Sans" w:cs="Gill Sans"/>
                <w:b/>
                <w:color w:val="000000"/>
                <w:szCs w:val="22"/>
                <w:lang w:val="en-AU"/>
              </w:rPr>
              <w:t>:</w:t>
            </w:r>
            <w:r>
              <w:rPr>
                <w:rFonts w:ascii="Gill Sans" w:hAnsi="Gill Sans" w:cs="Gill Sans"/>
                <w:b/>
                <w:color w:val="000000"/>
                <w:szCs w:val="22"/>
                <w:lang w:val="en-AU"/>
              </w:rPr>
              <w:t xml:space="preserve"> </w:t>
            </w:r>
            <w:r>
              <w:rPr>
                <w:rFonts w:ascii="Gill Sans" w:hAnsi="Gill Sans" w:cs="Gill Sans"/>
                <w:color w:val="000000"/>
                <w:szCs w:val="22"/>
                <w:lang w:val="en-AU"/>
              </w:rPr>
              <w:t>Authors discuss the typical approach to transition taken by universities, layering in examples of community partnerships:</w:t>
            </w:r>
          </w:p>
          <w:p w14:paraId="171C30B7" w14:textId="2B142477" w:rsidR="00F934ED" w:rsidRPr="002009C4" w:rsidRDefault="00F934ED" w:rsidP="00F934ED">
            <w:pPr>
              <w:rPr>
                <w:rFonts w:ascii="Gill Sans" w:hAnsi="Gill Sans" w:cs="Gill Sans"/>
                <w:color w:val="000000"/>
                <w:szCs w:val="22"/>
                <w:lang w:val="en-AU"/>
              </w:rPr>
            </w:pPr>
            <w:r w:rsidRPr="002009C4">
              <w:rPr>
                <w:rFonts w:ascii="Gill Sans" w:hAnsi="Gill Sans" w:cs="Gill Sans"/>
                <w:color w:val="000000"/>
                <w:szCs w:val="22"/>
                <w:lang w:val="en-AU"/>
              </w:rPr>
              <w:t>Stage 1. Student pre-enrolment (Entry Programs situated predominantly in a community-school context in preparing students for entry; Access and Outreach Programs)</w:t>
            </w:r>
            <w:r>
              <w:rPr>
                <w:rFonts w:ascii="Gill Sans" w:hAnsi="Gill Sans" w:cs="Gill Sans"/>
                <w:color w:val="000000"/>
                <w:szCs w:val="22"/>
                <w:lang w:val="en-AU"/>
              </w:rPr>
              <w:t xml:space="preserve"> </w:t>
            </w:r>
            <w:r>
              <w:rPr>
                <w:rFonts w:cs="Gill Sans"/>
                <w:color w:val="000000"/>
                <w:szCs w:val="22"/>
                <w:lang w:val="en-AU"/>
              </w:rPr>
              <w:t>—</w:t>
            </w:r>
            <w:r>
              <w:rPr>
                <w:rFonts w:ascii="Gill Sans" w:hAnsi="Gill Sans" w:cs="Gill Sans"/>
                <w:color w:val="000000"/>
                <w:szCs w:val="22"/>
                <w:lang w:val="en-AU"/>
              </w:rPr>
              <w:t xml:space="preserve"> short discussion of enabling programs</w:t>
            </w:r>
            <w:r w:rsidRPr="002009C4">
              <w:rPr>
                <w:rFonts w:ascii="Gill Sans" w:hAnsi="Gill Sans" w:cs="Gill Sans"/>
                <w:color w:val="000000"/>
                <w:szCs w:val="22"/>
                <w:lang w:val="en-AU"/>
              </w:rPr>
              <w:t>;</w:t>
            </w:r>
          </w:p>
          <w:p w14:paraId="2F859979" w14:textId="4249A19C" w:rsidR="00F934ED" w:rsidRPr="002009C4" w:rsidRDefault="00F934ED" w:rsidP="00F934ED">
            <w:pPr>
              <w:rPr>
                <w:rFonts w:ascii="Gill Sans" w:hAnsi="Gill Sans" w:cs="Gill Sans"/>
                <w:color w:val="000000"/>
                <w:szCs w:val="22"/>
                <w:lang w:val="en-AU"/>
              </w:rPr>
            </w:pPr>
            <w:r w:rsidRPr="002009C4">
              <w:rPr>
                <w:rFonts w:ascii="Gill Sans" w:hAnsi="Gill Sans" w:cs="Gill Sans"/>
                <w:color w:val="000000"/>
                <w:szCs w:val="22"/>
                <w:lang w:val="en-AU"/>
              </w:rPr>
              <w:t>Stage 2. Enrolled student (situated in a higher education institute context, albeit some disciplines have necessary work experience - Work Integrated Learning - within the professional community context)</w:t>
            </w:r>
            <w:r>
              <w:rPr>
                <w:rFonts w:ascii="Gill Sans" w:hAnsi="Gill Sans" w:cs="Gill Sans"/>
                <w:color w:val="000000"/>
                <w:szCs w:val="22"/>
                <w:lang w:val="en-AU"/>
              </w:rPr>
              <w:t xml:space="preserve"> </w:t>
            </w:r>
            <w:r>
              <w:rPr>
                <w:rFonts w:cs="Gill Sans"/>
                <w:color w:val="000000"/>
                <w:szCs w:val="22"/>
                <w:lang w:val="en-AU"/>
              </w:rPr>
              <w:t>—</w:t>
            </w:r>
            <w:r>
              <w:rPr>
                <w:rFonts w:ascii="Gill Sans" w:hAnsi="Gill Sans" w:cs="Gill Sans"/>
                <w:color w:val="000000"/>
                <w:szCs w:val="22"/>
                <w:lang w:val="en-AU"/>
              </w:rPr>
              <w:t xml:space="preserve"> discussed around institutions solving community-based problems, and university students learning; working in community and collaboration between higher education and community</w:t>
            </w:r>
            <w:r w:rsidRPr="002009C4">
              <w:rPr>
                <w:rFonts w:ascii="Gill Sans" w:hAnsi="Gill Sans" w:cs="Gill Sans"/>
                <w:color w:val="000000"/>
                <w:szCs w:val="22"/>
                <w:lang w:val="en-AU"/>
              </w:rPr>
              <w:t>; and</w:t>
            </w:r>
          </w:p>
          <w:p w14:paraId="653ACA66" w14:textId="77777777" w:rsidR="00F934ED" w:rsidRDefault="00F934ED" w:rsidP="00F934ED">
            <w:pPr>
              <w:rPr>
                <w:rFonts w:ascii="Gill Sans" w:hAnsi="Gill Sans" w:cs="Gill Sans"/>
                <w:color w:val="000000"/>
                <w:szCs w:val="22"/>
                <w:lang w:val="en-AU"/>
              </w:rPr>
            </w:pPr>
            <w:r w:rsidRPr="002009C4">
              <w:rPr>
                <w:rFonts w:ascii="Gill Sans" w:hAnsi="Gill Sans" w:cs="Gill Sans"/>
                <w:color w:val="000000"/>
                <w:szCs w:val="22"/>
                <w:lang w:val="en-AU"/>
              </w:rPr>
              <w:t>Stage 3. Graduate (who moves fully into th</w:t>
            </w:r>
            <w:r>
              <w:rPr>
                <w:rFonts w:ascii="Gill Sans" w:hAnsi="Gill Sans" w:cs="Gill Sans"/>
                <w:color w:val="000000"/>
                <w:szCs w:val="22"/>
                <w:lang w:val="en-AU"/>
              </w:rPr>
              <w:t xml:space="preserve">e community-employment context) </w:t>
            </w:r>
            <w:r>
              <w:rPr>
                <w:rFonts w:cs="Gill Sans"/>
                <w:color w:val="000000"/>
                <w:szCs w:val="22"/>
                <w:lang w:val="en-AU"/>
              </w:rPr>
              <w:t>—</w:t>
            </w:r>
            <w:r>
              <w:rPr>
                <w:rFonts w:ascii="Gill Sans" w:hAnsi="Gill Sans" w:cs="Gill Sans"/>
                <w:color w:val="000000"/>
                <w:szCs w:val="22"/>
                <w:lang w:val="en-AU"/>
              </w:rPr>
              <w:t xml:space="preserve"> e.g. careers fairs hosted by universities.</w:t>
            </w:r>
          </w:p>
          <w:p w14:paraId="6DED20B8" w14:textId="77777777" w:rsidR="00F934ED" w:rsidRDefault="00F934ED" w:rsidP="00F934ED">
            <w:pPr>
              <w:rPr>
                <w:rFonts w:ascii="Gill Sans" w:hAnsi="Gill Sans" w:cs="Gill Sans"/>
                <w:color w:val="000000"/>
                <w:szCs w:val="22"/>
                <w:lang w:val="en-AU"/>
              </w:rPr>
            </w:pPr>
            <w:r>
              <w:rPr>
                <w:rFonts w:ascii="Gill Sans" w:hAnsi="Gill Sans" w:cs="Gill Sans"/>
                <w:color w:val="000000"/>
                <w:szCs w:val="22"/>
                <w:lang w:val="en-AU"/>
              </w:rPr>
              <w:t>4</w:t>
            </w:r>
            <w:r w:rsidRPr="00C95CB4">
              <w:rPr>
                <w:rFonts w:ascii="Gill Sans" w:hAnsi="Gill Sans" w:cs="Gill Sans"/>
                <w:color w:val="000000"/>
                <w:szCs w:val="22"/>
                <w:vertAlign w:val="superscript"/>
                <w:lang w:val="en-AU"/>
              </w:rPr>
              <w:t>th</w:t>
            </w:r>
            <w:r>
              <w:rPr>
                <w:rFonts w:ascii="Gill Sans" w:hAnsi="Gill Sans" w:cs="Gill Sans"/>
                <w:color w:val="000000"/>
                <w:szCs w:val="22"/>
                <w:lang w:val="en-AU"/>
              </w:rPr>
              <w:t xml:space="preserve"> generation </w:t>
            </w:r>
            <w:proofErr w:type="spellStart"/>
            <w:r>
              <w:rPr>
                <w:rFonts w:ascii="Gill Sans" w:hAnsi="Gill Sans" w:cs="Gill Sans"/>
                <w:color w:val="000000"/>
                <w:szCs w:val="22"/>
                <w:lang w:val="en-AU"/>
              </w:rPr>
              <w:t>FYHECoP</w:t>
            </w:r>
            <w:proofErr w:type="spellEnd"/>
            <w:r>
              <w:rPr>
                <w:rFonts w:ascii="Gill Sans" w:hAnsi="Gill Sans" w:cs="Gill Sans"/>
                <w:color w:val="000000"/>
                <w:szCs w:val="22"/>
                <w:lang w:val="en-AU"/>
              </w:rPr>
              <w:t xml:space="preserve"> should be:</w:t>
            </w:r>
          </w:p>
          <w:p w14:paraId="3E32A7B1" w14:textId="2684C0AC" w:rsidR="00F934ED" w:rsidRPr="009B5819" w:rsidRDefault="00F934ED" w:rsidP="00F934ED">
            <w:pPr>
              <w:pStyle w:val="ListParagraph"/>
              <w:numPr>
                <w:ilvl w:val="0"/>
                <w:numId w:val="38"/>
              </w:numPr>
              <w:rPr>
                <w:rFonts w:ascii="Gill Sans" w:hAnsi="Gill Sans" w:cs="Gill Sans"/>
                <w:color w:val="000000"/>
                <w:szCs w:val="22"/>
                <w:lang w:val="en-AU"/>
              </w:rPr>
            </w:pPr>
            <w:r w:rsidRPr="009B5819">
              <w:rPr>
                <w:rFonts w:ascii="Gill Sans" w:hAnsi="Gill Sans" w:cs="Gill Sans"/>
                <w:color w:val="000000"/>
                <w:szCs w:val="22"/>
                <w:lang w:val="en-AU"/>
              </w:rPr>
              <w:t>Responsive</w:t>
            </w:r>
          </w:p>
          <w:p w14:paraId="4DE04C51" w14:textId="30DCA45B" w:rsidR="00F934ED" w:rsidRPr="009B5819" w:rsidRDefault="00F934ED" w:rsidP="00F934ED">
            <w:pPr>
              <w:pStyle w:val="ListParagraph"/>
              <w:numPr>
                <w:ilvl w:val="0"/>
                <w:numId w:val="38"/>
              </w:numPr>
              <w:rPr>
                <w:rFonts w:ascii="Gill Sans" w:hAnsi="Gill Sans" w:cs="Gill Sans"/>
                <w:color w:val="000000"/>
                <w:szCs w:val="22"/>
                <w:lang w:val="en-AU"/>
              </w:rPr>
            </w:pPr>
            <w:r w:rsidRPr="009B5819">
              <w:rPr>
                <w:rFonts w:ascii="Gill Sans" w:hAnsi="Gill Sans" w:cs="Gill Sans"/>
                <w:color w:val="000000"/>
                <w:szCs w:val="22"/>
                <w:lang w:val="en-AU"/>
              </w:rPr>
              <w:t>Respectful</w:t>
            </w:r>
          </w:p>
          <w:p w14:paraId="721F335F" w14:textId="7ED43957" w:rsidR="00F934ED" w:rsidRPr="009B5819" w:rsidRDefault="00F934ED" w:rsidP="00F934ED">
            <w:pPr>
              <w:pStyle w:val="ListParagraph"/>
              <w:numPr>
                <w:ilvl w:val="0"/>
                <w:numId w:val="38"/>
              </w:numPr>
              <w:rPr>
                <w:rFonts w:ascii="Gill Sans" w:hAnsi="Gill Sans" w:cs="Gill Sans"/>
                <w:color w:val="000000"/>
                <w:szCs w:val="22"/>
                <w:lang w:val="en-AU"/>
              </w:rPr>
            </w:pPr>
            <w:r w:rsidRPr="009B5819">
              <w:rPr>
                <w:rFonts w:ascii="Gill Sans" w:hAnsi="Gill Sans" w:cs="Gill Sans"/>
                <w:color w:val="000000"/>
                <w:szCs w:val="22"/>
                <w:lang w:val="en-AU"/>
              </w:rPr>
              <w:t>Transparent</w:t>
            </w:r>
          </w:p>
        </w:tc>
      </w:tr>
      <w:tr w:rsidR="00F934ED" w:rsidRPr="00076E76" w14:paraId="33C46049" w14:textId="77777777" w:rsidTr="002E557C">
        <w:tc>
          <w:tcPr>
            <w:tcW w:w="5529" w:type="dxa"/>
          </w:tcPr>
          <w:p w14:paraId="6BC4FEFE" w14:textId="3858175B" w:rsidR="00F934ED" w:rsidRPr="00076E76" w:rsidRDefault="00F934ED" w:rsidP="00F934ED">
            <w:pPr>
              <w:widowControl w:val="0"/>
              <w:autoSpaceDE w:val="0"/>
              <w:autoSpaceDN w:val="0"/>
              <w:adjustRightInd w:val="0"/>
              <w:rPr>
                <w:rFonts w:ascii="Gill Sans" w:hAnsi="Gill Sans" w:cs="Gill Sans"/>
                <w:i/>
                <w:szCs w:val="22"/>
              </w:rPr>
            </w:pPr>
            <w:r w:rsidRPr="00076E76">
              <w:rPr>
                <w:rFonts w:ascii="Gill Sans" w:hAnsi="Gill Sans" w:cs="Gill Sans"/>
                <w:szCs w:val="22"/>
              </w:rPr>
              <w:t>Pennington, C.; Bates</w:t>
            </w:r>
            <w:r>
              <w:rPr>
                <w:rFonts w:ascii="Gill Sans" w:hAnsi="Gill Sans" w:cs="Gill Sans"/>
                <w:szCs w:val="22"/>
              </w:rPr>
              <w:t xml:space="preserve">, E.; Kaye, L. &amp; </w:t>
            </w:r>
            <w:proofErr w:type="spellStart"/>
            <w:r>
              <w:rPr>
                <w:rFonts w:ascii="Gill Sans" w:hAnsi="Gill Sans" w:cs="Gill Sans"/>
                <w:szCs w:val="22"/>
              </w:rPr>
              <w:t>Bolam</w:t>
            </w:r>
            <w:proofErr w:type="spellEnd"/>
            <w:r>
              <w:rPr>
                <w:rFonts w:ascii="Gill Sans" w:hAnsi="Gill Sans" w:cs="Gill Sans"/>
                <w:szCs w:val="22"/>
              </w:rPr>
              <w:t>, L. (2018</w:t>
            </w:r>
            <w:r w:rsidRPr="00076E76">
              <w:rPr>
                <w:rFonts w:ascii="Gill Sans" w:hAnsi="Gill Sans" w:cs="Gill Sans"/>
                <w:szCs w:val="22"/>
              </w:rPr>
              <w:t xml:space="preserve">). </w:t>
            </w:r>
            <w:hyperlink r:id="rId113" w:history="1">
              <w:r w:rsidRPr="00A40D5F">
                <w:rPr>
                  <w:rStyle w:val="Hyperlink"/>
                  <w:rFonts w:ascii="Gill Sans" w:hAnsi="Gill Sans" w:cs="Gill Sans"/>
                  <w:szCs w:val="22"/>
                </w:rPr>
                <w:t xml:space="preserve">Transitioning in higher education: an exploration of psychological and contextual factors affecting student </w:t>
              </w:r>
              <w:r w:rsidRPr="00A40D5F">
                <w:rPr>
                  <w:rStyle w:val="Hyperlink"/>
                  <w:rFonts w:ascii="Gill Sans" w:hAnsi="Gill Sans" w:cs="Gill Sans"/>
                  <w:szCs w:val="22"/>
                </w:rPr>
                <w:lastRenderedPageBreak/>
                <w:t>satisfaction</w:t>
              </w:r>
            </w:hyperlink>
            <w:r w:rsidRPr="00076E76">
              <w:rPr>
                <w:rFonts w:ascii="Gill Sans" w:hAnsi="Gill Sans" w:cs="Gill Sans"/>
                <w:szCs w:val="22"/>
              </w:rPr>
              <w:t xml:space="preserve">, </w:t>
            </w:r>
            <w:r w:rsidRPr="00076E76">
              <w:rPr>
                <w:rFonts w:ascii="Gill Sans" w:hAnsi="Gill Sans" w:cs="Gill Sans"/>
                <w:i/>
                <w:szCs w:val="22"/>
              </w:rPr>
              <w:t xml:space="preserve">Journal of Further and Higher Education, </w:t>
            </w:r>
            <w:r>
              <w:rPr>
                <w:rFonts w:ascii="Gill Sans" w:hAnsi="Gill Sans" w:cs="Gill Sans"/>
                <w:sz w:val="20"/>
                <w:szCs w:val="20"/>
              </w:rPr>
              <w:t>42(5), 596–607.</w:t>
            </w:r>
          </w:p>
          <w:p w14:paraId="7F773F18" w14:textId="77777777" w:rsidR="00F934ED" w:rsidRPr="00076E76" w:rsidRDefault="00F934ED" w:rsidP="00F934ED">
            <w:pPr>
              <w:rPr>
                <w:rFonts w:ascii="Gill Sans" w:hAnsi="Gill Sans" w:cs="Gill Sans"/>
                <w:i/>
                <w:szCs w:val="22"/>
              </w:rPr>
            </w:pPr>
          </w:p>
          <w:p w14:paraId="7992AAF0" w14:textId="77777777" w:rsidR="00F934ED" w:rsidRPr="00076E76" w:rsidRDefault="00F934ED" w:rsidP="00F934ED">
            <w:pPr>
              <w:rPr>
                <w:rFonts w:ascii="Gill Sans" w:hAnsi="Gill Sans" w:cs="Gill Sans"/>
                <w:szCs w:val="22"/>
              </w:rPr>
            </w:pPr>
            <w:r w:rsidRPr="00076E76">
              <w:rPr>
                <w:rFonts w:ascii="Gill Sans" w:hAnsi="Gill Sans" w:cs="Gill Sans"/>
                <w:szCs w:val="22"/>
              </w:rPr>
              <w:t>UK</w:t>
            </w:r>
          </w:p>
          <w:p w14:paraId="1FBAF08F"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0AB4B51F" w14:textId="77777777" w:rsidR="00F934ED" w:rsidRPr="00076E76" w:rsidRDefault="00F934ED" w:rsidP="00F934ED">
            <w:pPr>
              <w:rPr>
                <w:rFonts w:ascii="Gill Sans" w:hAnsi="Gill Sans" w:cs="Gill Sans"/>
                <w:szCs w:val="22"/>
              </w:rPr>
            </w:pPr>
          </w:p>
          <w:p w14:paraId="04C04BCC" w14:textId="001DDD41" w:rsidR="00F934ED" w:rsidRPr="00076E76" w:rsidRDefault="00F934ED" w:rsidP="00F934ED">
            <w:pPr>
              <w:rPr>
                <w:rFonts w:ascii="Gill Sans" w:hAnsi="Gill Sans" w:cs="Gill Sans"/>
                <w:i/>
                <w:szCs w:val="22"/>
              </w:rPr>
            </w:pPr>
            <w:r w:rsidRPr="00076E76">
              <w:rPr>
                <w:rFonts w:ascii="Gill Sans" w:hAnsi="Gill Sans" w:cs="Gill Sans"/>
                <w:szCs w:val="22"/>
              </w:rPr>
              <w:t xml:space="preserve">Keywords: </w:t>
            </w:r>
            <w:r w:rsidRPr="00076E76">
              <w:rPr>
                <w:rFonts w:ascii="Gill Sans" w:hAnsi="Gill Sans" w:cs="Gill Sans"/>
                <w:i/>
                <w:szCs w:val="22"/>
              </w:rPr>
              <w:t>Transition; pre-entry programmes; academic</w:t>
            </w:r>
          </w:p>
          <w:p w14:paraId="2594FE69" w14:textId="4FDA9C09" w:rsidR="00F934ED" w:rsidRPr="00076E76" w:rsidRDefault="00F934ED" w:rsidP="00F934ED">
            <w:pPr>
              <w:rPr>
                <w:rFonts w:ascii="Gill Sans" w:hAnsi="Gill Sans" w:cs="Gill Sans"/>
                <w:szCs w:val="22"/>
              </w:rPr>
            </w:pPr>
            <w:r w:rsidRPr="00076E76">
              <w:rPr>
                <w:rFonts w:ascii="Gill Sans" w:hAnsi="Gill Sans" w:cs="Gill Sans"/>
                <w:i/>
                <w:szCs w:val="22"/>
              </w:rPr>
              <w:t>self-efficacy; social identity; satisfaction</w:t>
            </w:r>
          </w:p>
        </w:tc>
        <w:tc>
          <w:tcPr>
            <w:tcW w:w="10064" w:type="dxa"/>
          </w:tcPr>
          <w:p w14:paraId="069756BA" w14:textId="1E79D371"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lastRenderedPageBreak/>
              <w:t xml:space="preserve">Context: </w:t>
            </w:r>
            <w:r w:rsidRPr="00076E76">
              <w:rPr>
                <w:rFonts w:ascii="Gill Sans" w:hAnsi="Gill Sans" w:cs="Gill Sans"/>
                <w:color w:val="000000"/>
                <w:szCs w:val="22"/>
                <w:lang w:val="en-AU"/>
              </w:rPr>
              <w:t xml:space="preserve">UK higher education and WP, transition, increased anxiety and stress; disconnects between pre-entry expectations and realities, leading to increased attrition. Student satisfaction = cited as ‘key factor’ in successful transition/ retention. Little research has explored impact of pre-entry programmes on student </w:t>
            </w:r>
            <w:r w:rsidRPr="00076E76">
              <w:rPr>
                <w:rFonts w:ascii="Gill Sans" w:hAnsi="Gill Sans" w:cs="Gill Sans"/>
                <w:color w:val="000000"/>
                <w:szCs w:val="22"/>
                <w:lang w:val="en-AU"/>
              </w:rPr>
              <w:lastRenderedPageBreak/>
              <w:t>satisfaction in context of transition</w:t>
            </w:r>
          </w:p>
          <w:p w14:paraId="76E6C67A" w14:textId="0C0C7216"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sidRPr="00076E76">
              <w:rPr>
                <w:rFonts w:ascii="Gill Sans" w:hAnsi="Gill Sans" w:cs="Gill Sans"/>
                <w:color w:val="000000"/>
                <w:szCs w:val="22"/>
                <w:lang w:val="en-AU"/>
              </w:rPr>
              <w:t xml:space="preserve">Two aims: 1) </w:t>
            </w:r>
            <w:r w:rsidRPr="00076E76">
              <w:rPr>
                <w:rFonts w:ascii="Gill Sans" w:hAnsi="Gill Sans" w:cs="Gill Sans"/>
                <w:color w:val="000000"/>
                <w:szCs w:val="22"/>
              </w:rPr>
              <w:t>to explore whether pre-entry programmes foster successful transition to higher education, and (2) to examine longitudinally the factors associated with course satisfaction (abstract).</w:t>
            </w:r>
          </w:p>
          <w:p w14:paraId="0E593D45" w14:textId="5C02DC8E"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Theoretical frame: </w:t>
            </w:r>
            <w:r w:rsidRPr="00076E76">
              <w:rPr>
                <w:rFonts w:ascii="Gill Sans" w:hAnsi="Gill Sans" w:cs="Gill Sans"/>
                <w:color w:val="000000"/>
                <w:szCs w:val="22"/>
                <w:lang w:val="en-AU"/>
              </w:rPr>
              <w:t>Self-efficacy (Bandura), social identity theory (SIT), student satisfaction (literature reviews on p.2-3)</w:t>
            </w:r>
          </w:p>
          <w:p w14:paraId="109038CA" w14:textId="0CFC9738"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Psychological; survey of two groups of Year 1 Psychology students from 2 post-92 HEIs (n=88; convenience sample) at two points (mid-S1; mid-S2): control group (n=73) = no pre-entry programme; experiment group (n=15) = pre-entry programme. 81% of students = ‘traditional’; 16% = mature students. 15 of students had participated in pre-entry/ summer programme</w:t>
            </w:r>
          </w:p>
          <w:p w14:paraId="0C2DA7E6" w14:textId="6961024E" w:rsidR="00F934ED" w:rsidRPr="00076E76" w:rsidRDefault="00F934ED" w:rsidP="00F934ED">
            <w:pPr>
              <w:rPr>
                <w:rFonts w:ascii="Gill Sans" w:hAnsi="Gill Sans" w:cs="Gill Sans"/>
                <w:color w:val="000000"/>
                <w:szCs w:val="22"/>
              </w:rPr>
            </w:pPr>
            <w:r w:rsidRPr="00076E76">
              <w:rPr>
                <w:rFonts w:ascii="Gill Sans" w:hAnsi="Gill Sans" w:cs="Gill Sans"/>
                <w:b/>
                <w:color w:val="000000"/>
                <w:szCs w:val="22"/>
                <w:lang w:val="en-AU"/>
              </w:rPr>
              <w:t>Analysis</w:t>
            </w:r>
            <w:r w:rsidRPr="00076E76">
              <w:rPr>
                <w:rFonts w:ascii="Gill Sans" w:hAnsi="Gill Sans" w:cs="Gill Sans"/>
                <w:color w:val="000000"/>
                <w:szCs w:val="22"/>
                <w:lang w:val="en-AU"/>
              </w:rPr>
              <w:t xml:space="preserve">: SIT = </w:t>
            </w:r>
            <w:r w:rsidRPr="00076E76">
              <w:rPr>
                <w:rFonts w:ascii="Gill Sans" w:hAnsi="Gill Sans" w:cs="Gill Sans"/>
                <w:color w:val="000000"/>
                <w:szCs w:val="22"/>
              </w:rPr>
              <w:t>measured using Cameron’s (2004) Three-Dimensional Strength of Group Identification Scale (12 items; 3 sub-scales)</w:t>
            </w:r>
          </w:p>
          <w:p w14:paraId="49A25868" w14:textId="7F67FBAE"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rPr>
              <w:t>Academic Self-Efficacy scale also used</w:t>
            </w:r>
          </w:p>
          <w:p w14:paraId="3CE6A470" w14:textId="23677521"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rPr>
              <w:t>Adapted FYEQ (First Year Experience Questionnaire) used to measure satisfaction</w:t>
            </w:r>
          </w:p>
          <w:p w14:paraId="5141E927" w14:textId="77777777" w:rsidR="00F934ED" w:rsidRPr="00076E76" w:rsidRDefault="00F934ED" w:rsidP="00F934ED">
            <w:pPr>
              <w:rPr>
                <w:rFonts w:ascii="Gill Sans" w:hAnsi="Gill Sans" w:cs="Gill Sans"/>
                <w:b/>
                <w:color w:val="000000"/>
                <w:szCs w:val="22"/>
                <w:lang w:val="en-AU"/>
              </w:rPr>
            </w:pPr>
            <w:r w:rsidRPr="00076E76">
              <w:rPr>
                <w:rFonts w:ascii="Gill Sans" w:hAnsi="Gill Sans" w:cs="Gill Sans"/>
                <w:b/>
                <w:color w:val="000000"/>
                <w:szCs w:val="22"/>
                <w:lang w:val="en-AU"/>
              </w:rPr>
              <w:t xml:space="preserve">Findings: </w:t>
            </w:r>
          </w:p>
          <w:p w14:paraId="7A7126E0"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 xml:space="preserve">Students who had participated in pre-entry programme = rated as having higher academic self-efficacy, and satisfaction than </w:t>
            </w:r>
            <w:proofErr w:type="gramStart"/>
            <w:r w:rsidRPr="00076E76">
              <w:rPr>
                <w:rFonts w:ascii="Gill Sans" w:hAnsi="Gill Sans" w:cs="Gill Sans"/>
                <w:color w:val="000000"/>
                <w:szCs w:val="22"/>
                <w:lang w:val="en-AU"/>
              </w:rPr>
              <w:t>other</w:t>
            </w:r>
            <w:proofErr w:type="gramEnd"/>
            <w:r w:rsidRPr="00076E76">
              <w:rPr>
                <w:rFonts w:ascii="Gill Sans" w:hAnsi="Gill Sans" w:cs="Gill Sans"/>
                <w:color w:val="000000"/>
                <w:szCs w:val="22"/>
                <w:lang w:val="en-AU"/>
              </w:rPr>
              <w:t xml:space="preserve"> group. Social identity= no difference between groups.</w:t>
            </w:r>
          </w:p>
          <w:p w14:paraId="4A52732A" w14:textId="29642B50"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Academic self-efficacy predicted satisfaction over time from beginning</w:t>
            </w:r>
          </w:p>
          <w:p w14:paraId="113AC00D"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Social identity (in-group affect) predicted satisfaction at end</w:t>
            </w:r>
          </w:p>
          <w:p w14:paraId="4EF6A1DB" w14:textId="77E3E836"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lang w:val="en-AU"/>
              </w:rPr>
              <w:t>“</w:t>
            </w:r>
            <w:r w:rsidRPr="00076E76">
              <w:rPr>
                <w:rFonts w:ascii="Gill Sans" w:hAnsi="Gill Sans" w:cs="Gill Sans"/>
                <w:color w:val="000000"/>
                <w:szCs w:val="22"/>
              </w:rPr>
              <w:t>These findings therefore suggest that pre-entry programmes may foster positive educational experiences and demonstrate further that student satisfaction may be influenced by different factors across different time points” (p.6)</w:t>
            </w:r>
            <w:r w:rsidRPr="00076E76">
              <w:rPr>
                <w:rFonts w:ascii="Gill Sans" w:hAnsi="Gill Sans" w:cs="Gill Sans"/>
                <w:b/>
                <w:color w:val="000000"/>
                <w:szCs w:val="22"/>
                <w:lang w:val="en-AU"/>
              </w:rPr>
              <w:br/>
              <w:t xml:space="preserve">Core argument: </w:t>
            </w:r>
            <w:r w:rsidRPr="00076E76">
              <w:rPr>
                <w:rFonts w:ascii="Gill Sans" w:hAnsi="Gill Sans" w:cs="Gill Sans"/>
                <w:color w:val="000000"/>
                <w:szCs w:val="22"/>
                <w:lang w:val="en-AU"/>
              </w:rPr>
              <w:t>More research needed to know how much impact can be attributed to pre-entry programme. Pre-entry programme might “</w:t>
            </w:r>
            <w:r w:rsidRPr="00076E76">
              <w:rPr>
                <w:rFonts w:ascii="Gill Sans" w:hAnsi="Gill Sans" w:cs="Gill Sans"/>
                <w:color w:val="000000"/>
                <w:szCs w:val="22"/>
              </w:rPr>
              <w:t>heighten satisfaction because they provide students with information about their course and university, which assists in the development of realistic expectations upon entering university” (p.7).</w:t>
            </w:r>
          </w:p>
          <w:p w14:paraId="5FF0CBB9" w14:textId="20C7FAE0"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The finding that predictions of student satisfaction change over time is important, given that instruments like the NSS are static snapshots, often at end of year.</w:t>
            </w:r>
          </w:p>
        </w:tc>
      </w:tr>
      <w:tr w:rsidR="00F934ED" w:rsidRPr="00076E76" w14:paraId="6599D01A" w14:textId="77777777" w:rsidTr="00B5500F">
        <w:tc>
          <w:tcPr>
            <w:tcW w:w="5529" w:type="dxa"/>
            <w:shd w:val="clear" w:color="auto" w:fill="auto"/>
          </w:tcPr>
          <w:p w14:paraId="2E456513" w14:textId="399CB0AD" w:rsidR="00F934ED" w:rsidRPr="00076E76" w:rsidRDefault="00F934ED" w:rsidP="00F934ED">
            <w:pPr>
              <w:rPr>
                <w:rFonts w:ascii="Gill Sans" w:hAnsi="Gill Sans" w:cs="Gill Sans"/>
                <w:szCs w:val="22"/>
              </w:rPr>
            </w:pPr>
            <w:proofErr w:type="spellStart"/>
            <w:r w:rsidRPr="00076E76">
              <w:rPr>
                <w:rFonts w:ascii="Gill Sans" w:hAnsi="Gill Sans" w:cs="Gill Sans"/>
                <w:szCs w:val="22"/>
              </w:rPr>
              <w:lastRenderedPageBreak/>
              <w:t>Polesel</w:t>
            </w:r>
            <w:proofErr w:type="spellEnd"/>
            <w:r w:rsidRPr="00076E76">
              <w:rPr>
                <w:rFonts w:ascii="Gill Sans" w:hAnsi="Gill Sans" w:cs="Gill Sans"/>
                <w:szCs w:val="22"/>
              </w:rPr>
              <w:t xml:space="preserve">, J.; Leahy, M. &amp; Gillis, S. (2017). </w:t>
            </w:r>
            <w:hyperlink r:id="rId114" w:history="1">
              <w:r w:rsidRPr="00A40D5F">
                <w:rPr>
                  <w:rStyle w:val="Hyperlink"/>
                  <w:rFonts w:ascii="Gill Sans" w:hAnsi="Gill Sans" w:cs="Gill Sans"/>
                  <w:szCs w:val="22"/>
                </w:rPr>
                <w:t>Educational inequality and transitions to university in Australia: aspirations, agency and constraints</w:t>
              </w:r>
            </w:hyperlink>
            <w:r w:rsidRPr="00076E76">
              <w:rPr>
                <w:rFonts w:ascii="Gill Sans" w:hAnsi="Gill Sans" w:cs="Gill Sans"/>
                <w:szCs w:val="22"/>
              </w:rPr>
              <w:t xml:space="preserve">, </w:t>
            </w:r>
            <w:r w:rsidRPr="00076E76">
              <w:rPr>
                <w:rFonts w:ascii="Gill Sans" w:hAnsi="Gill Sans" w:cs="Gill Sans"/>
                <w:i/>
                <w:szCs w:val="22"/>
              </w:rPr>
              <w:t xml:space="preserve">British Journal of Sociology of Education, </w:t>
            </w:r>
            <w:r>
              <w:rPr>
                <w:rFonts w:ascii="Gill Sans" w:hAnsi="Gill Sans" w:cs="Gill Sans"/>
                <w:szCs w:val="22"/>
              </w:rPr>
              <w:t>39(6), 793–810.</w:t>
            </w:r>
          </w:p>
          <w:p w14:paraId="3743598D" w14:textId="77777777" w:rsidR="00F934ED" w:rsidRPr="00076E76" w:rsidRDefault="00F934ED" w:rsidP="00F934ED">
            <w:pPr>
              <w:rPr>
                <w:rFonts w:ascii="Gill Sans" w:hAnsi="Gill Sans" w:cs="Gill Sans"/>
                <w:szCs w:val="22"/>
              </w:rPr>
            </w:pPr>
          </w:p>
          <w:p w14:paraId="2DCF5349" w14:textId="77777777" w:rsidR="00F934ED" w:rsidRPr="00076E76" w:rsidRDefault="00F934ED" w:rsidP="00F934ED">
            <w:pPr>
              <w:rPr>
                <w:rFonts w:ascii="Gill Sans" w:hAnsi="Gill Sans" w:cs="Gill Sans"/>
                <w:szCs w:val="22"/>
              </w:rPr>
            </w:pPr>
            <w:r w:rsidRPr="00076E76">
              <w:rPr>
                <w:rFonts w:ascii="Gill Sans" w:hAnsi="Gill Sans" w:cs="Gill Sans"/>
                <w:szCs w:val="22"/>
              </w:rPr>
              <w:lastRenderedPageBreak/>
              <w:t>AUS</w:t>
            </w:r>
          </w:p>
          <w:p w14:paraId="61AB6102"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6D7A02BB" w14:textId="77777777" w:rsidR="00F934ED" w:rsidRPr="00076E76" w:rsidRDefault="00F934ED" w:rsidP="00F934ED">
            <w:pPr>
              <w:rPr>
                <w:rFonts w:ascii="Gill Sans" w:hAnsi="Gill Sans" w:cs="Gill Sans"/>
                <w:szCs w:val="22"/>
              </w:rPr>
            </w:pPr>
          </w:p>
          <w:p w14:paraId="480A9DE0" w14:textId="40A24D2B" w:rsidR="00F934ED" w:rsidRPr="00076E76" w:rsidRDefault="00F934ED" w:rsidP="00F934ED">
            <w:pPr>
              <w:rPr>
                <w:rFonts w:ascii="Gill Sans" w:hAnsi="Gill Sans" w:cs="Gill Sans"/>
                <w:szCs w:val="22"/>
              </w:rPr>
            </w:pPr>
            <w:r w:rsidRPr="00076E76">
              <w:rPr>
                <w:rFonts w:ascii="Gill Sans" w:hAnsi="Gill Sans" w:cs="Gill Sans"/>
                <w:szCs w:val="22"/>
              </w:rPr>
              <w:t xml:space="preserve">Keywords: </w:t>
            </w:r>
            <w:r w:rsidRPr="00076E76">
              <w:rPr>
                <w:rFonts w:ascii="Gill Sans" w:hAnsi="Gill Sans" w:cs="Gill Sans"/>
                <w:i/>
                <w:szCs w:val="22"/>
              </w:rPr>
              <w:t>inequality; Bourdieu; post-school transitions; agency; aspirations; capabilities</w:t>
            </w:r>
          </w:p>
        </w:tc>
        <w:tc>
          <w:tcPr>
            <w:tcW w:w="10064" w:type="dxa"/>
          </w:tcPr>
          <w:p w14:paraId="53EFECB0" w14:textId="0182961E"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lastRenderedPageBreak/>
              <w:t xml:space="preserve">Context: </w:t>
            </w:r>
            <w:r w:rsidRPr="00076E76">
              <w:rPr>
                <w:rFonts w:ascii="Gill Sans" w:hAnsi="Gill Sans" w:cs="Gill Sans"/>
                <w:color w:val="000000"/>
                <w:szCs w:val="22"/>
                <w:lang w:val="en-AU"/>
              </w:rPr>
              <w:t xml:space="preserve">Educational inequality and destinations and aspirations of school leavers in Australia (NSW), and their parents and teachers, in context of increasingly </w:t>
            </w:r>
            <w:proofErr w:type="spellStart"/>
            <w:r w:rsidRPr="00076E76">
              <w:rPr>
                <w:rFonts w:ascii="Gill Sans" w:hAnsi="Gill Sans" w:cs="Gill Sans"/>
                <w:color w:val="000000"/>
                <w:szCs w:val="22"/>
                <w:lang w:val="en-AU"/>
              </w:rPr>
              <w:t>marketised</w:t>
            </w:r>
            <w:proofErr w:type="spellEnd"/>
            <w:r w:rsidRPr="00076E76">
              <w:rPr>
                <w:rFonts w:ascii="Gill Sans" w:hAnsi="Gill Sans" w:cs="Gill Sans"/>
                <w:color w:val="000000"/>
                <w:szCs w:val="22"/>
                <w:lang w:val="en-AU"/>
              </w:rPr>
              <w:t xml:space="preserve"> education system. Study on which article is based found that 50% of secondary school students enter university/ bachelor-degree level study</w:t>
            </w:r>
          </w:p>
          <w:p w14:paraId="3657F46E" w14:textId="4C29DB82"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sidRPr="00076E76">
              <w:rPr>
                <w:rFonts w:ascii="Gill Sans" w:hAnsi="Gill Sans" w:cs="Gill Sans"/>
                <w:color w:val="000000"/>
                <w:szCs w:val="22"/>
                <w:lang w:val="en-AU"/>
              </w:rPr>
              <w:t>To “</w:t>
            </w:r>
            <w:r w:rsidRPr="00076E76">
              <w:rPr>
                <w:rFonts w:ascii="Gill Sans" w:hAnsi="Gill Sans" w:cs="Gill Sans"/>
                <w:color w:val="000000"/>
                <w:szCs w:val="22"/>
              </w:rPr>
              <w:t xml:space="preserve">examine the linkages between individual agency, teacher values, the role of student aspirations and motivations, SES and the importance of the differentiated curriculum and post-school transitions” (p.7). </w:t>
            </w:r>
          </w:p>
          <w:p w14:paraId="3D67BEBB" w14:textId="77777777" w:rsidR="00F934ED" w:rsidRPr="00076E76" w:rsidRDefault="00F934ED" w:rsidP="00F934ED">
            <w:pPr>
              <w:rPr>
                <w:rFonts w:ascii="Gill Sans" w:hAnsi="Gill Sans" w:cs="Gill Sans"/>
                <w:color w:val="000000"/>
                <w:szCs w:val="22"/>
              </w:rPr>
            </w:pPr>
            <w:r w:rsidRPr="00076E76">
              <w:rPr>
                <w:rFonts w:ascii="Gill Sans" w:hAnsi="Gill Sans" w:cs="Gill Sans"/>
                <w:b/>
                <w:color w:val="000000"/>
                <w:szCs w:val="22"/>
                <w:lang w:val="en-AU"/>
              </w:rPr>
              <w:lastRenderedPageBreak/>
              <w:t xml:space="preserve">Theoretical frame: </w:t>
            </w:r>
            <w:r w:rsidRPr="00076E76">
              <w:rPr>
                <w:rFonts w:ascii="Gill Sans" w:hAnsi="Gill Sans" w:cs="Gill Sans"/>
                <w:color w:val="000000"/>
                <w:szCs w:val="22"/>
                <w:lang w:val="en-AU"/>
              </w:rPr>
              <w:t xml:space="preserve">Bourdieu (habitus and capital, where student’s cultural capital = mediated by teacher values and school/ subject hierarchies) habitus </w:t>
            </w:r>
            <w:proofErr w:type="gramStart"/>
            <w:r w:rsidRPr="00076E76">
              <w:rPr>
                <w:rFonts w:ascii="Gill Sans" w:hAnsi="Gill Sans" w:cs="Gill Sans"/>
                <w:color w:val="000000"/>
                <w:szCs w:val="22"/>
                <w:lang w:val="en-AU"/>
              </w:rPr>
              <w:t>as :</w:t>
            </w:r>
            <w:proofErr w:type="gramEnd"/>
            <w:r w:rsidRPr="00076E76">
              <w:rPr>
                <w:rFonts w:ascii="Gill Sans" w:hAnsi="Gill Sans" w:cs="Gill Sans"/>
                <w:color w:val="000000"/>
                <w:szCs w:val="22"/>
                <w:lang w:val="en-AU"/>
              </w:rPr>
              <w:t xml:space="preserve"> ; </w:t>
            </w:r>
            <w:proofErr w:type="spellStart"/>
            <w:r w:rsidRPr="00076E76">
              <w:rPr>
                <w:rFonts w:ascii="Gill Sans" w:hAnsi="Gill Sans" w:cs="Gill Sans"/>
                <w:color w:val="000000"/>
                <w:szCs w:val="22"/>
                <w:lang w:val="en-AU"/>
              </w:rPr>
              <w:t>Boudon</w:t>
            </w:r>
            <w:proofErr w:type="spellEnd"/>
            <w:r w:rsidRPr="00076E76">
              <w:rPr>
                <w:rFonts w:ascii="Gill Sans" w:hAnsi="Gill Sans" w:cs="Gill Sans"/>
                <w:color w:val="000000"/>
                <w:szCs w:val="22"/>
                <w:lang w:val="en-AU"/>
              </w:rPr>
              <w:t>: (</w:t>
            </w:r>
            <w:r w:rsidRPr="00076E76">
              <w:rPr>
                <w:rFonts w:ascii="Gill Sans" w:hAnsi="Gill Sans" w:cs="Gill Sans"/>
                <w:color w:val="000000"/>
                <w:szCs w:val="22"/>
              </w:rPr>
              <w:t>gains in educational opportunity must</w:t>
            </w:r>
          </w:p>
          <w:p w14:paraId="6748E74A" w14:textId="6E214E13"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rPr>
              <w:t>be matched by gains in occupational opportunities to have any real effect on inequality, p.4)</w:t>
            </w:r>
            <w:r w:rsidRPr="00076E76">
              <w:rPr>
                <w:rFonts w:ascii="Gill Sans" w:hAnsi="Gill Sans" w:cs="Gill Sans"/>
                <w:color w:val="000000"/>
                <w:szCs w:val="22"/>
                <w:lang w:val="en-AU"/>
              </w:rPr>
              <w:t>; Nussbaum (</w:t>
            </w:r>
            <w:r w:rsidRPr="00076E76">
              <w:rPr>
                <w:rFonts w:ascii="Gill Sans" w:hAnsi="Gill Sans" w:cs="Gill Sans"/>
                <w:color w:val="000000"/>
                <w:szCs w:val="22"/>
              </w:rPr>
              <w:t>adaptive preference formation for student aspirations)</w:t>
            </w:r>
          </w:p>
          <w:p w14:paraId="72DDFF16" w14:textId="550EF6F8"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Quantitative; 4 data sources: students (n=5819), parents/guardians (n=2501), teaching staff (n=3098), BOSTES records.</w:t>
            </w:r>
          </w:p>
          <w:p w14:paraId="77B2C9A6"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Findings: </w:t>
            </w:r>
            <w:r w:rsidRPr="00076E76">
              <w:rPr>
                <w:rFonts w:ascii="Gill Sans" w:hAnsi="Gill Sans" w:cs="Gill Sans"/>
                <w:color w:val="000000"/>
                <w:szCs w:val="22"/>
                <w:lang w:val="en-AU"/>
              </w:rPr>
              <w:t>Post-school destinations on p.8 (Figure 1); destinations = stratified and clear SES patterns (see Figure 2, p.9)</w:t>
            </w:r>
          </w:p>
          <w:p w14:paraId="514A0EDC" w14:textId="6A5FEAF0"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lang w:val="en-AU"/>
              </w:rPr>
              <w:t>Teacher expectations for students to go to university = lower than student and parent expectations (</w:t>
            </w:r>
            <w:r w:rsidRPr="00076E76">
              <w:rPr>
                <w:rFonts w:ascii="Gill Sans" w:hAnsi="Gill Sans" w:cs="Gill Sans"/>
                <w:color w:val="000000"/>
                <w:szCs w:val="22"/>
              </w:rPr>
              <w:t>irrespective of region, school sector or socio-economic quartile) – see also Marks et al., 2011. Gap between teacher expectation and student/parent = higher/ bigger gap for low SES</w:t>
            </w:r>
          </w:p>
          <w:p w14:paraId="3EDE770E" w14:textId="7777777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rPr>
              <w:t>Also looks at ‘curriculum hierarchies’, exploring maths = highest/ upper middle SES = most likely to have taken highest maths (Maths Extension 1 and 2); students who took Maths Ext 1 and 2 = most likely to go to university = see p.13.</w:t>
            </w:r>
          </w:p>
          <w:p w14:paraId="34E60AAD" w14:textId="7A3575A1" w:rsidR="00F934ED" w:rsidRPr="00076E76" w:rsidRDefault="00F934ED" w:rsidP="00F934ED">
            <w:pPr>
              <w:rPr>
                <w:rFonts w:ascii="Gill Sans" w:hAnsi="Gill Sans" w:cs="Gill Sans"/>
                <w:b/>
                <w:color w:val="000000"/>
                <w:szCs w:val="22"/>
                <w:lang w:val="en-AU"/>
              </w:rPr>
            </w:pPr>
            <w:proofErr w:type="spellStart"/>
            <w:r w:rsidRPr="00076E76">
              <w:rPr>
                <w:rFonts w:ascii="Gill Sans" w:hAnsi="Gill Sans" w:cs="Gill Sans"/>
                <w:color w:val="000000"/>
                <w:szCs w:val="22"/>
              </w:rPr>
              <w:t>Boudon</w:t>
            </w:r>
            <w:proofErr w:type="spellEnd"/>
            <w:r w:rsidRPr="00076E76">
              <w:rPr>
                <w:rFonts w:ascii="Gill Sans" w:hAnsi="Gill Sans" w:cs="Gill Sans"/>
                <w:color w:val="000000"/>
                <w:szCs w:val="22"/>
              </w:rPr>
              <w:t xml:space="preserve"> = rational choice argument; Nussbaum’s adaptive preference idea moves beyond rationalist analysis; Bourdieu = capital and habitus = in dialogue with/ mediated by teacher expectations</w:t>
            </w:r>
            <w:r w:rsidRPr="00076E76">
              <w:rPr>
                <w:rFonts w:ascii="Gill Sans" w:hAnsi="Gill Sans" w:cs="Gill Sans"/>
                <w:b/>
                <w:color w:val="000000"/>
                <w:szCs w:val="22"/>
                <w:lang w:val="en-AU"/>
              </w:rPr>
              <w:br/>
              <w:t xml:space="preserve">Core argument: </w:t>
            </w:r>
          </w:p>
          <w:p w14:paraId="7C6DF4F0" w14:textId="215A9C24" w:rsidR="00F934ED" w:rsidRPr="00076E76" w:rsidRDefault="00F934ED" w:rsidP="00F934ED">
            <w:pPr>
              <w:pStyle w:val="ListParagraph"/>
              <w:numPr>
                <w:ilvl w:val="0"/>
                <w:numId w:val="26"/>
              </w:numPr>
              <w:rPr>
                <w:rFonts w:ascii="Gill Sans" w:hAnsi="Gill Sans" w:cs="Gill Sans"/>
                <w:color w:val="000000"/>
                <w:szCs w:val="22"/>
              </w:rPr>
            </w:pPr>
            <w:r w:rsidRPr="00076E76">
              <w:rPr>
                <w:rFonts w:ascii="Gill Sans" w:hAnsi="Gill Sans" w:cs="Gill Sans"/>
                <w:color w:val="000000"/>
                <w:szCs w:val="22"/>
              </w:rPr>
              <w:t>Strong links between post-school destinations and SES</w:t>
            </w:r>
          </w:p>
          <w:p w14:paraId="51346A41" w14:textId="783464B6" w:rsidR="00F934ED" w:rsidRPr="00076E76" w:rsidRDefault="00F934ED" w:rsidP="00F934ED">
            <w:pPr>
              <w:pStyle w:val="ListParagraph"/>
              <w:numPr>
                <w:ilvl w:val="0"/>
                <w:numId w:val="26"/>
              </w:numPr>
              <w:rPr>
                <w:rFonts w:ascii="Gill Sans" w:hAnsi="Gill Sans" w:cs="Gill Sans"/>
                <w:color w:val="000000"/>
                <w:szCs w:val="22"/>
              </w:rPr>
            </w:pPr>
            <w:r w:rsidRPr="00076E76">
              <w:rPr>
                <w:rFonts w:ascii="Gill Sans" w:hAnsi="Gill Sans" w:cs="Gill Sans"/>
                <w:color w:val="000000"/>
                <w:szCs w:val="22"/>
                <w:lang w:val="en-AU"/>
              </w:rPr>
              <w:t>Students’ capacity to construct own identity and pathways = “</w:t>
            </w:r>
            <w:r w:rsidRPr="00076E76">
              <w:rPr>
                <w:rFonts w:ascii="Gill Sans" w:hAnsi="Gill Sans" w:cs="Gill Sans"/>
                <w:color w:val="000000"/>
                <w:szCs w:val="22"/>
              </w:rPr>
              <w:t>bound by their understanding of the hidden and informal rules which govern access to different spaces within the curriculum offered in their schools as well as access to the range of post-school destinations” (p.2)</w:t>
            </w:r>
          </w:p>
          <w:p w14:paraId="62DD1DB9" w14:textId="3B472F15" w:rsidR="00F934ED" w:rsidRPr="00076E76" w:rsidRDefault="00F934ED" w:rsidP="00F934ED">
            <w:pPr>
              <w:pStyle w:val="ListParagraph"/>
              <w:numPr>
                <w:ilvl w:val="0"/>
                <w:numId w:val="26"/>
              </w:numPr>
              <w:rPr>
                <w:rFonts w:ascii="Gill Sans" w:hAnsi="Gill Sans" w:cs="Gill Sans"/>
                <w:color w:val="000000"/>
                <w:szCs w:val="22"/>
              </w:rPr>
            </w:pPr>
            <w:r w:rsidRPr="00076E76">
              <w:rPr>
                <w:rFonts w:ascii="Gill Sans" w:hAnsi="Gill Sans" w:cs="Gill Sans"/>
                <w:color w:val="000000"/>
                <w:szCs w:val="22"/>
              </w:rPr>
              <w:t>“The task of navigating post-school transitions becomes more important as minimum education levels rise. It also becomes more complex with increasing reliance of education markets” (p.2).</w:t>
            </w:r>
          </w:p>
          <w:p w14:paraId="5A5763BB" w14:textId="0A61CB08" w:rsidR="00F934ED" w:rsidRPr="00076E76" w:rsidRDefault="00F934ED" w:rsidP="00F934ED">
            <w:pPr>
              <w:pStyle w:val="ListParagraph"/>
              <w:numPr>
                <w:ilvl w:val="0"/>
                <w:numId w:val="26"/>
              </w:numPr>
              <w:rPr>
                <w:rFonts w:ascii="Gill Sans" w:hAnsi="Gill Sans" w:cs="Gill Sans"/>
                <w:color w:val="000000"/>
                <w:szCs w:val="22"/>
                <w:lang w:val="en-AU"/>
              </w:rPr>
            </w:pPr>
            <w:r w:rsidRPr="00076E76">
              <w:rPr>
                <w:rFonts w:ascii="Gill Sans" w:hAnsi="Gill Sans" w:cs="Gill Sans"/>
                <w:color w:val="000000"/>
                <w:szCs w:val="22"/>
              </w:rPr>
              <w:t>Bourdieu (1966) argues “that if teachers treat all students in the same way – what we might call formal equality – we can end up justifying indifference to real inequalities in terms of what is required to address the problems. Similarly, market-based policies designed to realise individual preferences can simply entrench existing inequalities (Nussbaum, 2000)” (p.15).</w:t>
            </w:r>
          </w:p>
        </w:tc>
      </w:tr>
      <w:tr w:rsidR="00F934ED" w:rsidRPr="00076E76" w14:paraId="46FBB1DC" w14:textId="77777777" w:rsidTr="002E557C">
        <w:tc>
          <w:tcPr>
            <w:tcW w:w="5529" w:type="dxa"/>
          </w:tcPr>
          <w:p w14:paraId="14D6882F" w14:textId="0EE1C6F1" w:rsidR="00F934ED" w:rsidRPr="00076E76" w:rsidRDefault="00F934ED" w:rsidP="00F934ED">
            <w:pPr>
              <w:rPr>
                <w:rFonts w:ascii="Gill Sans" w:hAnsi="Gill Sans" w:cs="Gill Sans"/>
                <w:szCs w:val="22"/>
              </w:rPr>
            </w:pPr>
            <w:r w:rsidRPr="00076E76">
              <w:rPr>
                <w:rFonts w:ascii="Gill Sans" w:hAnsi="Gill Sans" w:cs="Gill Sans"/>
                <w:szCs w:val="22"/>
              </w:rPr>
              <w:lastRenderedPageBreak/>
              <w:t xml:space="preserve">Power, C. &amp; Hibbert, E. (2016). </w:t>
            </w:r>
            <w:hyperlink r:id="rId115" w:history="1">
              <w:r w:rsidRPr="00444DF2">
                <w:rPr>
                  <w:rStyle w:val="Hyperlink"/>
                  <w:rFonts w:ascii="Gill Sans" w:hAnsi="Gill Sans" w:cs="Gill Sans"/>
                  <w:szCs w:val="22"/>
                </w:rPr>
                <w:t>Student-facilitated transition: Fostering empowered collectives</w:t>
              </w:r>
            </w:hyperlink>
            <w:r w:rsidRPr="00076E76">
              <w:rPr>
                <w:rFonts w:ascii="Gill Sans" w:hAnsi="Gill Sans" w:cs="Gill Sans"/>
                <w:szCs w:val="22"/>
              </w:rPr>
              <w:t xml:space="preserve">, </w:t>
            </w:r>
            <w:r w:rsidRPr="00076E76">
              <w:rPr>
                <w:rFonts w:ascii="Gill Sans" w:hAnsi="Gill Sans" w:cs="Gill Sans"/>
                <w:i/>
                <w:szCs w:val="22"/>
              </w:rPr>
              <w:t xml:space="preserve">Journal of Academic Language &amp; Learning, </w:t>
            </w:r>
            <w:r w:rsidRPr="00076E76">
              <w:rPr>
                <w:rFonts w:ascii="Gill Sans" w:hAnsi="Gill Sans" w:cs="Gill Sans"/>
                <w:szCs w:val="22"/>
              </w:rPr>
              <w:t>10(1): A35-A47.</w:t>
            </w:r>
          </w:p>
          <w:p w14:paraId="05332C40" w14:textId="77777777" w:rsidR="00F934ED" w:rsidRPr="00076E76" w:rsidRDefault="00F934ED" w:rsidP="00F934ED">
            <w:pPr>
              <w:rPr>
                <w:rFonts w:ascii="Gill Sans" w:hAnsi="Gill Sans" w:cs="Gill Sans"/>
                <w:szCs w:val="22"/>
              </w:rPr>
            </w:pPr>
          </w:p>
          <w:p w14:paraId="17354E12" w14:textId="77777777" w:rsidR="00F934ED" w:rsidRPr="00076E76" w:rsidRDefault="00F934ED" w:rsidP="00F934ED">
            <w:pPr>
              <w:rPr>
                <w:rFonts w:ascii="Gill Sans" w:hAnsi="Gill Sans" w:cs="Gill Sans"/>
                <w:szCs w:val="22"/>
              </w:rPr>
            </w:pPr>
            <w:r w:rsidRPr="00076E76">
              <w:rPr>
                <w:rFonts w:ascii="Gill Sans" w:hAnsi="Gill Sans" w:cs="Gill Sans"/>
                <w:szCs w:val="22"/>
              </w:rPr>
              <w:t>AUS</w:t>
            </w:r>
          </w:p>
          <w:p w14:paraId="06B57960" w14:textId="77777777" w:rsidR="00F934ED" w:rsidRPr="00076E76" w:rsidRDefault="00F934ED" w:rsidP="00F934ED">
            <w:pPr>
              <w:rPr>
                <w:rFonts w:ascii="Gill Sans" w:hAnsi="Gill Sans" w:cs="Gill Sans"/>
                <w:szCs w:val="22"/>
              </w:rPr>
            </w:pPr>
            <w:r w:rsidRPr="00076E76">
              <w:rPr>
                <w:rFonts w:ascii="Gill Sans" w:hAnsi="Gill Sans" w:cs="Gill Sans"/>
                <w:szCs w:val="22"/>
              </w:rPr>
              <w:lastRenderedPageBreak/>
              <w:t>Annotation by Sally Baker</w:t>
            </w:r>
          </w:p>
          <w:p w14:paraId="7300D291" w14:textId="77777777" w:rsidR="00F934ED" w:rsidRPr="00076E76" w:rsidRDefault="00F934ED" w:rsidP="00F934ED">
            <w:pPr>
              <w:rPr>
                <w:rFonts w:ascii="Gill Sans" w:hAnsi="Gill Sans" w:cs="Gill Sans"/>
                <w:szCs w:val="22"/>
              </w:rPr>
            </w:pPr>
          </w:p>
          <w:p w14:paraId="019AF034" w14:textId="77777777" w:rsidR="00F934ED" w:rsidRPr="00076E76" w:rsidRDefault="00F934ED" w:rsidP="00F934ED">
            <w:pPr>
              <w:rPr>
                <w:rFonts w:ascii="Gill Sans" w:hAnsi="Gill Sans" w:cs="Gill Sans"/>
                <w:szCs w:val="22"/>
              </w:rPr>
            </w:pPr>
            <w:r w:rsidRPr="00076E76">
              <w:rPr>
                <w:rFonts w:ascii="Gill Sans" w:hAnsi="Gill Sans" w:cs="Gill Sans"/>
                <w:szCs w:val="22"/>
              </w:rPr>
              <w:t xml:space="preserve">Keywords: </w:t>
            </w:r>
            <w:r w:rsidRPr="00076E76">
              <w:rPr>
                <w:rFonts w:ascii="Gill Sans" w:hAnsi="Gill Sans" w:cs="Gill Sans"/>
                <w:i/>
                <w:szCs w:val="22"/>
              </w:rPr>
              <w:t>student-led, communities of practice, transition, becoming, peer learning</w:t>
            </w:r>
          </w:p>
          <w:p w14:paraId="61E9A957" w14:textId="77777777" w:rsidR="00F934ED" w:rsidRPr="00076E76" w:rsidRDefault="00F934ED" w:rsidP="00F934ED">
            <w:pPr>
              <w:rPr>
                <w:rFonts w:ascii="Gill Sans" w:hAnsi="Gill Sans" w:cs="Gill Sans"/>
                <w:szCs w:val="22"/>
              </w:rPr>
            </w:pPr>
          </w:p>
        </w:tc>
        <w:tc>
          <w:tcPr>
            <w:tcW w:w="10064" w:type="dxa"/>
          </w:tcPr>
          <w:p w14:paraId="2FFDA12E"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lastRenderedPageBreak/>
              <w:t xml:space="preserve">Context: </w:t>
            </w:r>
            <w:r w:rsidRPr="00076E76">
              <w:rPr>
                <w:rFonts w:ascii="Gill Sans" w:hAnsi="Gill Sans" w:cs="Gill Sans"/>
                <w:color w:val="000000"/>
                <w:szCs w:val="22"/>
                <w:lang w:val="en-AU"/>
              </w:rPr>
              <w:t xml:space="preserve">Works from notion of transition as individually experienced (“unique, complex and dynamic”, abstract) and connected to belonging and identity. Connects with idea that peer networks are potential sites for critical </w:t>
            </w:r>
            <w:proofErr w:type="spellStart"/>
            <w:r w:rsidRPr="00076E76">
              <w:rPr>
                <w:rFonts w:ascii="Gill Sans" w:hAnsi="Gill Sans" w:cs="Gill Sans"/>
                <w:color w:val="000000"/>
                <w:szCs w:val="22"/>
                <w:lang w:val="en-AU"/>
              </w:rPr>
              <w:t>pedgagogies</w:t>
            </w:r>
            <w:proofErr w:type="spellEnd"/>
            <w:r w:rsidRPr="00076E76">
              <w:rPr>
                <w:rFonts w:ascii="Gill Sans" w:hAnsi="Gill Sans" w:cs="Gill Sans"/>
                <w:color w:val="000000"/>
                <w:szCs w:val="22"/>
                <w:lang w:val="en-AU"/>
              </w:rPr>
              <w:t>. Discusses UG course ‘Experiential Learning in Communities’ (elective for Education students considering PG teaching studies and for Year 1 UG students) at WSU. “</w:t>
            </w:r>
            <w:r w:rsidRPr="00076E76">
              <w:rPr>
                <w:rFonts w:ascii="Gill Sans" w:hAnsi="Gill Sans" w:cs="Gill Sans"/>
                <w:szCs w:val="22"/>
              </w:rPr>
              <w:t xml:space="preserve">ELC aims to disrupt </w:t>
            </w:r>
            <w:proofErr w:type="gramStart"/>
            <w:r w:rsidRPr="00076E76">
              <w:rPr>
                <w:rFonts w:ascii="Gill Sans" w:hAnsi="Gill Sans" w:cs="Gill Sans"/>
                <w:szCs w:val="22"/>
              </w:rPr>
              <w:t>students‘ conception</w:t>
            </w:r>
            <w:proofErr w:type="gramEnd"/>
            <w:r w:rsidRPr="00076E76">
              <w:rPr>
                <w:rFonts w:ascii="Gill Sans" w:hAnsi="Gill Sans" w:cs="Gill Sans"/>
                <w:szCs w:val="22"/>
              </w:rPr>
              <w:t xml:space="preserve"> of education as a power directive from teacher to student and open the possibility of </w:t>
            </w:r>
            <w:r w:rsidRPr="00076E76">
              <w:rPr>
                <w:rFonts w:ascii="Gill Sans" w:hAnsi="Gill Sans" w:cs="Gill Sans"/>
                <w:szCs w:val="22"/>
              </w:rPr>
              <w:lastRenderedPageBreak/>
              <w:t xml:space="preserve">learning being perceived as a mutually beneficial interaction between all participants” (p.A36). ELC = </w:t>
            </w:r>
            <w:r w:rsidRPr="00076E76">
              <w:rPr>
                <w:rFonts w:ascii="Gill Sans" w:hAnsi="Gill Sans" w:cs="Gill Sans"/>
                <w:color w:val="000000"/>
                <w:szCs w:val="22"/>
                <w:lang w:val="en-AU"/>
              </w:rPr>
              <w:t>designed to respond to student diversity. Course based on principles of reflexive praxis and student-led communities of practice to facilitate ‘transition as becoming’, so that students collaboratively explore meaning and practice of being a university student and negotiate expectations of university on own terms and “</w:t>
            </w:r>
            <w:r w:rsidRPr="00076E76">
              <w:rPr>
                <w:rFonts w:ascii="Gill Sans" w:hAnsi="Gill Sans" w:cs="Gill Sans"/>
              </w:rPr>
              <w:t>academics [deliberately] positioning themselves as White cultural brokers, students are given permission to explore and leverage the various capitals they bring to the learning context”</w:t>
            </w:r>
            <w:r w:rsidRPr="00076E76">
              <w:rPr>
                <w:rFonts w:ascii="Gill Sans" w:hAnsi="Gill Sans" w:cs="Gill Sans"/>
                <w:color w:val="000000"/>
                <w:szCs w:val="22"/>
                <w:lang w:val="en-AU"/>
              </w:rPr>
              <w:t xml:space="preserve"> (abstract)</w:t>
            </w:r>
            <w:r w:rsidRPr="00076E76">
              <w:rPr>
                <w:rFonts w:ascii="Gill Sans" w:hAnsi="Gill Sans" w:cs="Gill Sans"/>
              </w:rPr>
              <w:t xml:space="preserve">. Scopes peer mentoring literature (benefits and challenges; notes the argument of Christie (2014), arguing that peer mentoring is a form of governmentality). Authors position work in ELC as ‘critical mentoring’ (citing Freire), with academics = interpreters. Mentees can enroll or not to participate in peer mentoring (but this means many unenrolled students do not continue, making it a challenge to match sustainable mentor-mentee pairs at the beginning). ELC designed to </w:t>
            </w:r>
            <w:proofErr w:type="spellStart"/>
            <w:r w:rsidRPr="00076E76">
              <w:rPr>
                <w:rFonts w:ascii="Gill Sans" w:hAnsi="Gill Sans" w:cs="Gill Sans"/>
              </w:rPr>
              <w:t>prioritise</w:t>
            </w:r>
            <w:proofErr w:type="spellEnd"/>
            <w:r w:rsidRPr="00076E76">
              <w:rPr>
                <w:rFonts w:ascii="Gill Sans" w:hAnsi="Gill Sans" w:cs="Gill Sans"/>
              </w:rPr>
              <w:t xml:space="preserve"> social relations (face-to-face, debriefing groups with student facilitator, weekly group meetings with academic tutor, tutorials run by academics. Reading is core part of tutorial learning and students write reflective piece and debriefing group presentation for assessment.</w:t>
            </w:r>
          </w:p>
          <w:p w14:paraId="301D3496"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sidRPr="00076E76">
              <w:rPr>
                <w:rFonts w:ascii="Gill Sans" w:hAnsi="Gill Sans" w:cs="Gill Sans"/>
                <w:color w:val="000000"/>
                <w:szCs w:val="22"/>
                <w:lang w:val="en-AU"/>
              </w:rPr>
              <w:t>To describe ELC</w:t>
            </w:r>
          </w:p>
          <w:p w14:paraId="6B77196C"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Theoretical frame: </w:t>
            </w:r>
            <w:r w:rsidRPr="00076E76">
              <w:rPr>
                <w:rFonts w:ascii="Gill Sans" w:hAnsi="Gill Sans" w:cs="Gill Sans"/>
                <w:color w:val="000000"/>
                <w:szCs w:val="22"/>
                <w:lang w:val="en-AU"/>
              </w:rPr>
              <w:t>Critical pedagogy</w:t>
            </w:r>
            <w:r w:rsidRPr="00076E76">
              <w:rPr>
                <w:rFonts w:ascii="Gill Sans" w:hAnsi="Gill Sans" w:cs="Gill Sans"/>
                <w:szCs w:val="22"/>
              </w:rPr>
              <w:t xml:space="preserve"> (Kress, </w:t>
            </w:r>
            <w:proofErr w:type="spellStart"/>
            <w:r w:rsidRPr="00076E76">
              <w:rPr>
                <w:rFonts w:ascii="Gill Sans" w:hAnsi="Gill Sans" w:cs="Gill Sans"/>
                <w:szCs w:val="22"/>
              </w:rPr>
              <w:t>Degennaro</w:t>
            </w:r>
            <w:proofErr w:type="spellEnd"/>
            <w:r w:rsidRPr="00076E76">
              <w:rPr>
                <w:rFonts w:ascii="Gill Sans" w:hAnsi="Gill Sans" w:cs="Gill Sans"/>
                <w:szCs w:val="22"/>
              </w:rPr>
              <w:t>, &amp; Paugh, 2013; Giroux, 2011); experiential pedagogy = Kolb’s cycle of experiential learning; communities of practice = Lave &amp; Wenger. Also uses theories of Whiteness (foregrounding notions of assumed/ tacit privilege and dominance)</w:t>
            </w:r>
          </w:p>
          <w:p w14:paraId="53172BE6"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p>
          <w:p w14:paraId="3AFBE8C0" w14:textId="77777777" w:rsidR="00F934ED" w:rsidRPr="00076E76" w:rsidRDefault="00F934ED" w:rsidP="00F934ED">
            <w:pPr>
              <w:rPr>
                <w:rFonts w:ascii="Gill Sans" w:hAnsi="Gill Sans" w:cs="Gill Sans"/>
                <w:szCs w:val="22"/>
              </w:rPr>
            </w:pPr>
            <w:r w:rsidRPr="00076E76">
              <w:rPr>
                <w:rFonts w:ascii="Gill Sans" w:hAnsi="Gill Sans" w:cs="Gill Sans"/>
                <w:b/>
                <w:color w:val="000000"/>
                <w:szCs w:val="22"/>
                <w:lang w:val="en-AU"/>
              </w:rPr>
              <w:t xml:space="preserve">Discussion: </w:t>
            </w:r>
            <w:r w:rsidRPr="00076E76">
              <w:rPr>
                <w:rFonts w:ascii="Gill Sans" w:hAnsi="Gill Sans" w:cs="Gill Sans"/>
                <w:color w:val="000000"/>
                <w:szCs w:val="22"/>
                <w:lang w:val="en-AU"/>
              </w:rPr>
              <w:t>ELC CoP “</w:t>
            </w:r>
            <w:r w:rsidRPr="00076E76">
              <w:rPr>
                <w:rFonts w:ascii="Gill Sans" w:hAnsi="Gill Sans" w:cs="Gill Sans"/>
                <w:szCs w:val="22"/>
              </w:rPr>
              <w:t xml:space="preserve">provides a generative space for the creation of a new integrative melding of </w:t>
            </w:r>
            <w:proofErr w:type="spellStart"/>
            <w:r w:rsidRPr="00076E76">
              <w:rPr>
                <w:rFonts w:ascii="Gill Sans" w:hAnsi="Gill Sans" w:cs="Gill Sans"/>
                <w:szCs w:val="22"/>
              </w:rPr>
              <w:t>mul-tiple</w:t>
            </w:r>
            <w:proofErr w:type="spellEnd"/>
            <w:r w:rsidRPr="00076E76">
              <w:rPr>
                <w:rFonts w:ascii="Gill Sans" w:hAnsi="Gill Sans" w:cs="Gill Sans"/>
                <w:szCs w:val="22"/>
              </w:rPr>
              <w:t xml:space="preserve"> sources of cultural and social capital” (p.A41)</w:t>
            </w:r>
          </w:p>
          <w:p w14:paraId="6D1CF18D"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noProof/>
                <w:szCs w:val="22"/>
              </w:rPr>
              <w:lastRenderedPageBreak/>
              <w:drawing>
                <wp:inline distT="0" distB="0" distL="0" distR="0" wp14:anchorId="1C516FF2" wp14:editId="7B40528E">
                  <wp:extent cx="4133312" cy="2116455"/>
                  <wp:effectExtent l="0" t="0" r="698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133312" cy="2116455"/>
                          </a:xfrm>
                          <a:prstGeom prst="rect">
                            <a:avLst/>
                          </a:prstGeom>
                          <a:noFill/>
                          <a:ln>
                            <a:noFill/>
                          </a:ln>
                        </pic:spPr>
                      </pic:pic>
                    </a:graphicData>
                  </a:graphic>
                </wp:inline>
              </w:drawing>
            </w:r>
            <w:r w:rsidRPr="00076E76">
              <w:rPr>
                <w:rFonts w:ascii="Gill Sans" w:hAnsi="Gill Sans" w:cs="Gill Sans"/>
                <w:szCs w:val="22"/>
              </w:rPr>
              <w:t xml:space="preserve"> </w:t>
            </w:r>
            <w:r w:rsidRPr="00076E76">
              <w:rPr>
                <w:rFonts w:ascii="Gill Sans" w:hAnsi="Gill Sans" w:cs="Gill Sans"/>
                <w:b/>
                <w:color w:val="000000"/>
                <w:szCs w:val="22"/>
                <w:lang w:val="en-AU"/>
              </w:rPr>
              <w:t xml:space="preserve"> </w:t>
            </w:r>
            <w:r w:rsidRPr="00076E76">
              <w:rPr>
                <w:rFonts w:ascii="Gill Sans" w:hAnsi="Gill Sans" w:cs="Gill Sans"/>
                <w:color w:val="000000"/>
                <w:szCs w:val="22"/>
                <w:lang w:val="en-AU"/>
              </w:rPr>
              <w:t>p.A42</w:t>
            </w:r>
          </w:p>
          <w:p w14:paraId="0A6BAC55"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Notes how sociocultural incongruence (Devlin &amp; Mackay, 201?) is explicitly both attended to and ameliorated through this design. Notes how this model can promote and foster critical literacies and offers a space to ‘reclaim understanding of learning as practice’ (quote from Mary Lea, 2005; on p.A44)</w:t>
            </w:r>
          </w:p>
          <w:p w14:paraId="5FBEE0F7"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Challenge = recruiting sufficient number of mentees</w:t>
            </w:r>
            <w:r w:rsidRPr="00076E76">
              <w:rPr>
                <w:rFonts w:ascii="Gill Sans" w:hAnsi="Gill Sans" w:cs="Gill Sans"/>
                <w:b/>
                <w:color w:val="000000"/>
                <w:szCs w:val="22"/>
                <w:lang w:val="en-AU"/>
              </w:rPr>
              <w:br/>
              <w:t xml:space="preserve">Core argument: </w:t>
            </w:r>
            <w:r w:rsidRPr="00076E76">
              <w:rPr>
                <w:rFonts w:ascii="Gill Sans" w:hAnsi="Gill Sans" w:cs="Gill Sans"/>
                <w:color w:val="000000"/>
                <w:szCs w:val="22"/>
                <w:lang w:val="en-AU"/>
              </w:rPr>
              <w:t xml:space="preserve">Foregrounds the potential of such a “collective, multidimensional learning experience” for facilitating becoming, identity negotiation and transformations, meaning making, pushing forward alternative ways of doing/being/knowing[and feeling] by “disrupt[ing] the imposition of White values onto students of diverse backgrounds, while still enabling them to develop strategies to succeed in relation to it” (p.A45). Also reimagines what </w:t>
            </w:r>
            <w:proofErr w:type="gramStart"/>
            <w:r w:rsidRPr="00076E76">
              <w:rPr>
                <w:rFonts w:ascii="Gill Sans" w:hAnsi="Gill Sans" w:cs="Gill Sans"/>
                <w:color w:val="000000"/>
                <w:szCs w:val="22"/>
                <w:lang w:val="en-AU"/>
              </w:rPr>
              <w:t>teaching</w:t>
            </w:r>
            <w:proofErr w:type="gramEnd"/>
            <w:r w:rsidRPr="00076E76">
              <w:rPr>
                <w:rFonts w:ascii="Gill Sans" w:hAnsi="Gill Sans" w:cs="Gill Sans"/>
                <w:color w:val="000000"/>
                <w:szCs w:val="22"/>
                <w:lang w:val="en-AU"/>
              </w:rPr>
              <w:t xml:space="preserve"> and learning are/ could be.</w:t>
            </w:r>
          </w:p>
          <w:p w14:paraId="5C125960" w14:textId="38C94464" w:rsidR="00F934ED" w:rsidRPr="00076E76" w:rsidRDefault="00F934ED" w:rsidP="00F934ED">
            <w:pPr>
              <w:rPr>
                <w:rFonts w:ascii="Gill Sans" w:hAnsi="Gill Sans" w:cs="Gill Sans"/>
                <w:b/>
                <w:color w:val="000000"/>
                <w:szCs w:val="22"/>
                <w:lang w:val="en-AU"/>
              </w:rPr>
            </w:pPr>
            <w:r w:rsidRPr="00076E76">
              <w:rPr>
                <w:rFonts w:ascii="Gill Sans" w:hAnsi="Gill Sans" w:cs="Gill Sans"/>
                <w:b/>
                <w:color w:val="000000"/>
                <w:szCs w:val="22"/>
                <w:lang w:val="en-AU"/>
              </w:rPr>
              <w:t xml:space="preserve">Interesting fact: </w:t>
            </w:r>
            <w:r w:rsidRPr="00076E76">
              <w:rPr>
                <w:rFonts w:ascii="Gill Sans" w:hAnsi="Gill Sans" w:cs="Gill Sans"/>
                <w:color w:val="000000"/>
                <w:szCs w:val="22"/>
                <w:lang w:val="en-AU"/>
              </w:rPr>
              <w:t>Program developed as result of Vickers &amp; Zammit’s OLT project on sfrb</w:t>
            </w:r>
          </w:p>
        </w:tc>
      </w:tr>
      <w:tr w:rsidR="00F934ED" w:rsidRPr="00076E76" w14:paraId="7503AF46" w14:textId="77777777" w:rsidTr="002E557C">
        <w:tc>
          <w:tcPr>
            <w:tcW w:w="5529" w:type="dxa"/>
          </w:tcPr>
          <w:p w14:paraId="28364E72" w14:textId="4ADF40DD" w:rsidR="00F934ED" w:rsidRPr="00076E76" w:rsidRDefault="00F934ED" w:rsidP="00F934ED">
            <w:pPr>
              <w:rPr>
                <w:rFonts w:ascii="Gill Sans" w:hAnsi="Gill Sans" w:cs="Gill Sans"/>
                <w:szCs w:val="22"/>
              </w:rPr>
            </w:pPr>
            <w:r w:rsidRPr="00076E76">
              <w:rPr>
                <w:rFonts w:ascii="Gill Sans" w:hAnsi="Gill Sans" w:cs="Gill Sans"/>
                <w:szCs w:val="22"/>
              </w:rPr>
              <w:lastRenderedPageBreak/>
              <w:t xml:space="preserve">Purdy, J. &amp; Walker, J. (2012). </w:t>
            </w:r>
            <w:hyperlink r:id="rId117" w:history="1">
              <w:r w:rsidRPr="00DE126F">
                <w:rPr>
                  <w:rStyle w:val="Hyperlink"/>
                  <w:rFonts w:ascii="Gill Sans" w:hAnsi="Gill Sans" w:cs="Gill Sans"/>
                  <w:szCs w:val="22"/>
                </w:rPr>
                <w:t>Liminal Spaces and Research Identity: The Construction of Introductory Compensation Students as Researchers</w:t>
              </w:r>
            </w:hyperlink>
            <w:r w:rsidRPr="00076E76">
              <w:rPr>
                <w:rFonts w:ascii="Gill Sans" w:hAnsi="Gill Sans" w:cs="Gill Sans"/>
                <w:szCs w:val="22"/>
              </w:rPr>
              <w:t xml:space="preserve">, </w:t>
            </w:r>
            <w:r w:rsidRPr="00076E76">
              <w:rPr>
                <w:rFonts w:ascii="Gill Sans" w:hAnsi="Gill Sans" w:cs="Gill Sans"/>
                <w:i/>
                <w:szCs w:val="22"/>
              </w:rPr>
              <w:t xml:space="preserve">Pedagogy: Critical Approaches to Teaching Literature, Language, Composition, and Culture, </w:t>
            </w:r>
            <w:r>
              <w:rPr>
                <w:rFonts w:ascii="Gill Sans" w:hAnsi="Gill Sans" w:cs="Gill Sans"/>
                <w:szCs w:val="22"/>
              </w:rPr>
              <w:t>13(1), 9–</w:t>
            </w:r>
            <w:r w:rsidRPr="00076E76">
              <w:rPr>
                <w:rFonts w:ascii="Gill Sans" w:hAnsi="Gill Sans" w:cs="Gill Sans"/>
                <w:szCs w:val="22"/>
              </w:rPr>
              <w:t>41.</w:t>
            </w:r>
          </w:p>
          <w:p w14:paraId="3F9043FB" w14:textId="77777777" w:rsidR="00F934ED" w:rsidRPr="00076E76" w:rsidRDefault="00F934ED" w:rsidP="00F934ED">
            <w:pPr>
              <w:rPr>
                <w:rFonts w:ascii="Gill Sans" w:hAnsi="Gill Sans" w:cs="Gill Sans"/>
                <w:szCs w:val="22"/>
              </w:rPr>
            </w:pPr>
          </w:p>
          <w:p w14:paraId="7AFDFDB6" w14:textId="77777777" w:rsidR="00F934ED" w:rsidRPr="00076E76" w:rsidRDefault="00F934ED" w:rsidP="00F934ED">
            <w:pPr>
              <w:rPr>
                <w:rFonts w:ascii="Gill Sans" w:hAnsi="Gill Sans" w:cs="Gill Sans"/>
                <w:szCs w:val="22"/>
              </w:rPr>
            </w:pPr>
            <w:r w:rsidRPr="00076E76">
              <w:rPr>
                <w:rFonts w:ascii="Gill Sans" w:hAnsi="Gill Sans" w:cs="Gill Sans"/>
                <w:szCs w:val="22"/>
              </w:rPr>
              <w:t>USA</w:t>
            </w:r>
          </w:p>
          <w:p w14:paraId="7CFB24E7"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0B48EA10" w14:textId="5EB1E5E8" w:rsidR="00F934ED" w:rsidRPr="00076E76" w:rsidRDefault="00F934ED" w:rsidP="00F934ED">
            <w:pPr>
              <w:rPr>
                <w:rFonts w:ascii="Gill Sans" w:hAnsi="Gill Sans" w:cs="Gill Sans"/>
                <w:szCs w:val="22"/>
              </w:rPr>
            </w:pPr>
          </w:p>
        </w:tc>
        <w:tc>
          <w:tcPr>
            <w:tcW w:w="10064" w:type="dxa"/>
          </w:tcPr>
          <w:p w14:paraId="435C0AD4" w14:textId="5A5BD9F6"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sidRPr="00076E76">
              <w:rPr>
                <w:rFonts w:ascii="Gill Sans" w:hAnsi="Gill Sans" w:cs="Gill Sans"/>
                <w:color w:val="000000"/>
                <w:szCs w:val="22"/>
                <w:lang w:val="en-AU"/>
              </w:rPr>
              <w:t>Explores students-as-researchers’ identities and writing, Research identity = “</w:t>
            </w:r>
            <w:r w:rsidRPr="00076E76">
              <w:rPr>
                <w:rFonts w:ascii="Gill Sans" w:hAnsi="Gill Sans" w:cs="Gill Sans"/>
                <w:color w:val="000000"/>
                <w:szCs w:val="22"/>
              </w:rPr>
              <w:t xml:space="preserve">confluence of skills, knowledge, attitudes, and practices that combine when an individual engages in research activities” (p.9). Notes that instructional texts = print-based and linear and this has a significant impact on students moving out of liminal space, requiring students to drop what they know and ‘abandon’ current practices (and leave identities behind). Connection made between liminality and Bartholomae’s (1985) essay on ‘Inventing the university’ = changing status – classrooms = spaces where people are in process of changing. </w:t>
            </w:r>
          </w:p>
          <w:p w14:paraId="1A431BD9" w14:textId="77777777" w:rsidR="00F934ED" w:rsidRPr="00076E76" w:rsidRDefault="00F934ED" w:rsidP="00F934ED">
            <w:pPr>
              <w:rPr>
                <w:rFonts w:ascii="Gill Sans" w:hAnsi="Gill Sans" w:cs="Gill Sans"/>
              </w:rPr>
            </w:pPr>
            <w:r w:rsidRPr="00076E76">
              <w:rPr>
                <w:rFonts w:ascii="Gill Sans" w:hAnsi="Gill Sans" w:cs="Gill Sans"/>
                <w:b/>
                <w:color w:val="000000"/>
                <w:szCs w:val="22"/>
                <w:lang w:val="en-AU"/>
              </w:rPr>
              <w:t xml:space="preserve">Theoretical frame: </w:t>
            </w:r>
            <w:r w:rsidRPr="00076E76">
              <w:rPr>
                <w:rFonts w:ascii="Gill Sans" w:hAnsi="Gill Sans" w:cs="Gill Sans"/>
                <w:color w:val="000000"/>
                <w:szCs w:val="22"/>
                <w:lang w:val="en-AU"/>
              </w:rPr>
              <w:t>Liminality: “</w:t>
            </w:r>
            <w:r w:rsidRPr="00076E76">
              <w:rPr>
                <w:rFonts w:ascii="Gill Sans" w:hAnsi="Gill Sans" w:cs="Gill Sans"/>
                <w:color w:val="000000"/>
                <w:szCs w:val="22"/>
              </w:rPr>
              <w:t xml:space="preserve">Liminality, coming from the Latin word for "threshold," is what anthropologist Arnold Van </w:t>
            </w:r>
            <w:proofErr w:type="spellStart"/>
            <w:r w:rsidRPr="00076E76">
              <w:rPr>
                <w:rFonts w:ascii="Gill Sans" w:hAnsi="Gill Sans" w:cs="Gill Sans"/>
                <w:color w:val="000000"/>
                <w:szCs w:val="22"/>
              </w:rPr>
              <w:t>Gennep</w:t>
            </w:r>
            <w:proofErr w:type="spellEnd"/>
            <w:r w:rsidRPr="00076E76">
              <w:rPr>
                <w:rFonts w:ascii="Gill Sans" w:hAnsi="Gill Sans" w:cs="Gill Sans"/>
                <w:color w:val="000000"/>
                <w:szCs w:val="22"/>
              </w:rPr>
              <w:t xml:space="preserve"> (1960: 10-11) presents as the transitional step in rites of passage (between separation and incorporation). He asserts that "to cross the threshold," that is, to literally or </w:t>
            </w:r>
            <w:r w:rsidRPr="00076E76">
              <w:rPr>
                <w:rFonts w:ascii="Gill Sans" w:hAnsi="Gill Sans" w:cs="Gill Sans"/>
                <w:color w:val="000000"/>
                <w:szCs w:val="22"/>
              </w:rPr>
              <w:lastRenderedPageBreak/>
              <w:t xml:space="preserve">figuratively pass through a liminal </w:t>
            </w:r>
            <w:proofErr w:type="spellStart"/>
            <w:r w:rsidRPr="00076E76">
              <w:rPr>
                <w:rFonts w:ascii="Gill Sans" w:hAnsi="Gill Sans" w:cs="Gill Sans"/>
                <w:color w:val="000000"/>
                <w:szCs w:val="22"/>
              </w:rPr>
              <w:t>space,"is</w:t>
            </w:r>
            <w:proofErr w:type="spellEnd"/>
            <w:r w:rsidRPr="00076E76">
              <w:rPr>
                <w:rFonts w:ascii="Gill Sans" w:hAnsi="Gill Sans" w:cs="Gill Sans"/>
                <w:color w:val="000000"/>
                <w:szCs w:val="22"/>
              </w:rPr>
              <w:t xml:space="preserve"> to unite oneself with a new world" (20). Introductory composition classes serve as such a threshold into the "new world" of the academy” (p.11). Liminality = useful because “</w:t>
            </w:r>
            <w:r w:rsidRPr="00076E76">
              <w:rPr>
                <w:rFonts w:ascii="Gill Sans" w:hAnsi="Gill Sans" w:cs="Gill Sans"/>
              </w:rPr>
              <w:t xml:space="preserve">Viewing research skills instruction from the perspective of liminality is important because research </w:t>
            </w:r>
            <w:r w:rsidRPr="00076E76">
              <w:rPr>
                <w:rFonts w:ascii="Gill Sans" w:hAnsi="Gill Sans" w:cs="Gill Sans"/>
                <w:color w:val="413E3F"/>
              </w:rPr>
              <w:t xml:space="preserve">practices </w:t>
            </w:r>
            <w:r w:rsidRPr="00076E76">
              <w:rPr>
                <w:rFonts w:ascii="Gill Sans" w:hAnsi="Gill Sans" w:cs="Gill Sans"/>
              </w:rPr>
              <w:t xml:space="preserve">are key activities through which disciplines construct, organize, and define themselves” (p.13). </w:t>
            </w:r>
          </w:p>
          <w:p w14:paraId="68ECA72A" w14:textId="10BD9BAE" w:rsidR="00F934ED" w:rsidRPr="00076E76" w:rsidRDefault="00F934ED" w:rsidP="00F934ED">
            <w:pPr>
              <w:rPr>
                <w:rFonts w:ascii="Gill Sans" w:hAnsi="Gill Sans" w:cs="Gill Sans"/>
              </w:rPr>
            </w:pPr>
            <w:r w:rsidRPr="00076E76">
              <w:rPr>
                <w:rFonts w:ascii="Gill Sans" w:hAnsi="Gill Sans" w:cs="Gill Sans"/>
              </w:rPr>
              <w:t>Liminality = ambiguity/ students hold ambiguous positions: “</w:t>
            </w:r>
            <w:r w:rsidRPr="00076E76">
              <w:rPr>
                <w:rFonts w:ascii="Gill Sans" w:hAnsi="Gill Sans" w:cs="Gill Sans"/>
                <w:i/>
              </w:rPr>
              <w:t xml:space="preserve">Victor Turner (1969) identifies the "initiand" as both defined by and existing in opposition to the structure of the dominant social order. Individuals experiencing this ambiguous state are then "often regarded as dangerous, inauspicious, or polluting to persons, objects, events, and relationships that have not been ritually incorporated into the liminal context" (109). For the purposes of the social order, then, the existing identity of the initiand must be destroyed in order to make room for the new identity. However, the initiand's lack of status can also serve, as Mark </w:t>
            </w:r>
            <w:proofErr w:type="spellStart"/>
            <w:r w:rsidRPr="00076E76">
              <w:rPr>
                <w:rFonts w:ascii="Gill Sans" w:hAnsi="Gill Sans" w:cs="Gill Sans"/>
                <w:i/>
              </w:rPr>
              <w:t>Dressman</w:t>
            </w:r>
            <w:proofErr w:type="spellEnd"/>
            <w:r w:rsidRPr="00076E76">
              <w:rPr>
                <w:rFonts w:ascii="Gill Sans" w:hAnsi="Gill Sans" w:cs="Gill Sans"/>
                <w:i/>
              </w:rPr>
              <w:t xml:space="preserve"> (1997:309) contends, to "hold a mirror up to the social order," and initiands can have the potential to "appropriate resources and make a space for themselves </w:t>
            </w:r>
            <w:r w:rsidRPr="00076E76">
              <w:rPr>
                <w:rFonts w:ascii="Gill Sans" w:hAnsi="Gill Sans" w:cs="Gill Sans"/>
              </w:rPr>
              <w:t>within society on their own terms” (p.25).</w:t>
            </w:r>
          </w:p>
          <w:p w14:paraId="59D5EA18" w14:textId="41F58B44"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Content analysis of instructional materials</w:t>
            </w:r>
          </w:p>
          <w:p w14:paraId="681A2E19" w14:textId="77777777" w:rsidR="00F934ED" w:rsidRPr="00076E76" w:rsidRDefault="00F934ED" w:rsidP="00F934ED">
            <w:pPr>
              <w:rPr>
                <w:rFonts w:ascii="Gill Sans" w:hAnsi="Gill Sans" w:cs="Gill Sans"/>
                <w:b/>
                <w:color w:val="000000"/>
                <w:szCs w:val="22"/>
                <w:lang w:val="en-AU"/>
              </w:rPr>
            </w:pPr>
            <w:r w:rsidRPr="00076E76">
              <w:rPr>
                <w:rFonts w:ascii="Gill Sans" w:hAnsi="Gill Sans" w:cs="Gill Sans"/>
                <w:b/>
                <w:color w:val="000000"/>
                <w:szCs w:val="22"/>
                <w:lang w:val="en-AU"/>
              </w:rPr>
              <w:t xml:space="preserve">Findings: </w:t>
            </w:r>
            <w:r w:rsidRPr="00076E76">
              <w:rPr>
                <w:rFonts w:ascii="Gill Sans" w:hAnsi="Gill Sans" w:cs="Gill Sans"/>
                <w:color w:val="000000"/>
                <w:szCs w:val="22"/>
                <w:lang w:val="en-AU"/>
              </w:rPr>
              <w:t>Textbooks/ instructional texts police what teachers can say and do in terms of students’ emergent researcher identities: “</w:t>
            </w:r>
            <w:r w:rsidRPr="00076E76">
              <w:rPr>
                <w:rFonts w:ascii="Gill Sans" w:hAnsi="Gill Sans" w:cs="Gill Sans"/>
                <w:color w:val="000000"/>
                <w:szCs w:val="22"/>
              </w:rPr>
              <w:t>Instructional texts provide a focus for the institution's desire to control and direct students' movement into the established practices of research that academics (and academic disciplines) use to construct students' knowledge making, their learning spaces, and themselves” (p.12)</w:t>
            </w:r>
            <w:r w:rsidRPr="00076E76">
              <w:rPr>
                <w:rFonts w:ascii="Gill Sans" w:hAnsi="Gill Sans" w:cs="Gill Sans"/>
                <w:b/>
                <w:color w:val="000000"/>
                <w:szCs w:val="22"/>
                <w:lang w:val="en-AU"/>
              </w:rPr>
              <w:br/>
            </w:r>
          </w:p>
          <w:p w14:paraId="4A3FDA6A" w14:textId="77777777" w:rsidR="00F934ED" w:rsidRPr="00076E76" w:rsidRDefault="00F934ED" w:rsidP="00F934ED">
            <w:pPr>
              <w:rPr>
                <w:rFonts w:ascii="Gill Sans" w:hAnsi="Gill Sans" w:cs="Gill Sans"/>
              </w:rPr>
            </w:pPr>
            <w:r w:rsidRPr="00076E76">
              <w:rPr>
                <w:rFonts w:ascii="Gill Sans" w:hAnsi="Gill Sans" w:cs="Gill Sans"/>
              </w:rPr>
              <w:t>Students “are seen as both polluted and polluting because they represent knowledge and activities that travel between defined places (the academy and the world). This border crossing ties directly into the threat that students represent to the "normal" research patterns and routines for making knowledge that help academics (and academic institutions) maintain a unique status based on their production of knowledge in certain time-tested and intrinsically valuable ways” (p.26).</w:t>
            </w:r>
          </w:p>
          <w:p w14:paraId="58518C89" w14:textId="77777777" w:rsidR="00F934ED" w:rsidRPr="00076E76" w:rsidRDefault="00F934ED" w:rsidP="00F934ED">
            <w:pPr>
              <w:rPr>
                <w:rFonts w:ascii="Gill Sans" w:hAnsi="Gill Sans" w:cs="Gill Sans"/>
                <w:color w:val="000000"/>
                <w:szCs w:val="22"/>
              </w:rPr>
            </w:pPr>
          </w:p>
          <w:p w14:paraId="07482016" w14:textId="6CFF3F6D"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Linear assumptions about transition/ policing of teaching through narrow views of what counts as transition = damaging to potential and evolving student identities</w:t>
            </w:r>
          </w:p>
        </w:tc>
      </w:tr>
      <w:tr w:rsidR="00F934ED" w:rsidRPr="00076E76" w14:paraId="3EAE5A88" w14:textId="77777777" w:rsidTr="002E557C">
        <w:tc>
          <w:tcPr>
            <w:tcW w:w="5529" w:type="dxa"/>
          </w:tcPr>
          <w:p w14:paraId="3D8660E5" w14:textId="6C5A5EB8" w:rsidR="00F934ED" w:rsidRPr="00076E76" w:rsidRDefault="00F934ED" w:rsidP="00F934ED">
            <w:pPr>
              <w:rPr>
                <w:rFonts w:ascii="Gill Sans" w:hAnsi="Gill Sans" w:cs="Gill Sans"/>
                <w:szCs w:val="22"/>
                <w:lang w:val="en-GB"/>
              </w:rPr>
            </w:pPr>
            <w:r w:rsidRPr="00C80BEC">
              <w:rPr>
                <w:rFonts w:ascii="Gill Sans" w:hAnsi="Gill Sans" w:cs="Gill Sans"/>
                <w:szCs w:val="22"/>
                <w:lang w:val="en-GB"/>
              </w:rPr>
              <w:lastRenderedPageBreak/>
              <w:t>Quinn, J. (2010).</w:t>
            </w:r>
            <w:r w:rsidRPr="00076E76">
              <w:rPr>
                <w:rFonts w:ascii="Gill Sans" w:hAnsi="Gill Sans" w:cs="Gill Sans"/>
                <w:szCs w:val="22"/>
                <w:lang w:val="en-GB"/>
              </w:rPr>
              <w:t xml:space="preserve"> </w:t>
            </w:r>
            <w:hyperlink r:id="rId118" w:history="1">
              <w:r w:rsidRPr="00C80BEC">
                <w:rPr>
                  <w:rStyle w:val="Hyperlink"/>
                  <w:rFonts w:ascii="Gill Sans" w:hAnsi="Gill Sans" w:cs="Gill Sans"/>
                  <w:szCs w:val="22"/>
                  <w:lang w:val="en-GB"/>
                </w:rPr>
                <w:t>‘Rethinking ‘failed transitions’ to higher education’.</w:t>
              </w:r>
            </w:hyperlink>
            <w:r w:rsidRPr="00076E76">
              <w:rPr>
                <w:rFonts w:ascii="Gill Sans" w:hAnsi="Gill Sans" w:cs="Gill Sans"/>
                <w:szCs w:val="22"/>
                <w:lang w:val="en-GB"/>
              </w:rPr>
              <w:t xml:space="preserve"> In Ecclestone, K.; </w:t>
            </w:r>
            <w:proofErr w:type="spellStart"/>
            <w:r w:rsidRPr="00076E76">
              <w:rPr>
                <w:rFonts w:ascii="Gill Sans" w:hAnsi="Gill Sans" w:cs="Gill Sans"/>
                <w:szCs w:val="22"/>
                <w:lang w:val="en-GB"/>
              </w:rPr>
              <w:t>Biesta</w:t>
            </w:r>
            <w:proofErr w:type="spellEnd"/>
            <w:r w:rsidRPr="00076E76">
              <w:rPr>
                <w:rFonts w:ascii="Gill Sans" w:hAnsi="Gill Sans" w:cs="Gill Sans"/>
                <w:szCs w:val="22"/>
                <w:lang w:val="en-GB"/>
              </w:rPr>
              <w:t>, G.; &amp; Hughes, M. (Eds</w:t>
            </w:r>
            <w:r w:rsidRPr="007A6A23">
              <w:rPr>
                <w:rFonts w:ascii="Gill Sans" w:hAnsi="Gill Sans" w:cs="Gill Sans"/>
                <w:szCs w:val="22"/>
                <w:lang w:val="en-GB"/>
              </w:rPr>
              <w:t xml:space="preserve">). </w:t>
            </w:r>
            <w:r w:rsidRPr="007A6A23">
              <w:rPr>
                <w:rFonts w:ascii="Gill Sans" w:hAnsi="Gill Sans" w:cs="Gill Sans"/>
                <w:i/>
                <w:szCs w:val="22"/>
                <w:lang w:val="en-GB"/>
              </w:rPr>
              <w:t xml:space="preserve">Transitions and Learning Through </w:t>
            </w:r>
            <w:proofErr w:type="gramStart"/>
            <w:r w:rsidRPr="007A6A23">
              <w:rPr>
                <w:rFonts w:ascii="Gill Sans" w:hAnsi="Gill Sans" w:cs="Gill Sans"/>
                <w:i/>
                <w:szCs w:val="22"/>
                <w:lang w:val="en-GB"/>
              </w:rPr>
              <w:t>The</w:t>
            </w:r>
            <w:proofErr w:type="gramEnd"/>
            <w:r w:rsidRPr="007A6A23">
              <w:rPr>
                <w:rFonts w:ascii="Gill Sans" w:hAnsi="Gill Sans" w:cs="Gill Sans"/>
                <w:i/>
                <w:szCs w:val="22"/>
                <w:lang w:val="en-GB"/>
              </w:rPr>
              <w:t xml:space="preserve"> </w:t>
            </w:r>
            <w:proofErr w:type="spellStart"/>
            <w:r w:rsidRPr="007A6A23">
              <w:rPr>
                <w:rFonts w:ascii="Gill Sans" w:hAnsi="Gill Sans" w:cs="Gill Sans"/>
                <w:i/>
                <w:szCs w:val="22"/>
                <w:lang w:val="en-GB"/>
              </w:rPr>
              <w:t>Lifecourse</w:t>
            </w:r>
            <w:proofErr w:type="spellEnd"/>
            <w:r w:rsidRPr="007A6A23">
              <w:rPr>
                <w:rFonts w:ascii="Gill Sans" w:hAnsi="Gill Sans" w:cs="Gill Sans"/>
                <w:szCs w:val="22"/>
                <w:lang w:val="en-GB"/>
              </w:rPr>
              <w:t>.</w:t>
            </w:r>
            <w:r w:rsidRPr="00076E76">
              <w:rPr>
                <w:rFonts w:ascii="Gill Sans" w:hAnsi="Gill Sans" w:cs="Gill Sans"/>
                <w:szCs w:val="22"/>
                <w:lang w:val="en-GB"/>
              </w:rPr>
              <w:t xml:space="preserve"> Abingdon: Routledge, pp. 118–129.</w:t>
            </w:r>
          </w:p>
          <w:p w14:paraId="519D6961" w14:textId="77777777" w:rsidR="00F934ED" w:rsidRPr="00076E76" w:rsidRDefault="00F934ED" w:rsidP="00F934ED">
            <w:pPr>
              <w:rPr>
                <w:rFonts w:ascii="Gill Sans" w:hAnsi="Gill Sans" w:cs="Gill Sans"/>
                <w:szCs w:val="22"/>
              </w:rPr>
            </w:pPr>
          </w:p>
          <w:p w14:paraId="1EE09A36" w14:textId="77777777" w:rsidR="00F934ED" w:rsidRPr="00076E76" w:rsidRDefault="00F934ED" w:rsidP="00F934ED">
            <w:pPr>
              <w:rPr>
                <w:rFonts w:ascii="Gill Sans" w:hAnsi="Gill Sans" w:cs="Gill Sans"/>
                <w:szCs w:val="22"/>
              </w:rPr>
            </w:pPr>
            <w:r w:rsidRPr="00076E76">
              <w:rPr>
                <w:rFonts w:ascii="Gill Sans" w:hAnsi="Gill Sans" w:cs="Gill Sans"/>
                <w:szCs w:val="22"/>
              </w:rPr>
              <w:t>UK</w:t>
            </w:r>
          </w:p>
          <w:p w14:paraId="0212421F" w14:textId="77777777" w:rsidR="00F934ED" w:rsidRPr="00076E76" w:rsidRDefault="00F934ED" w:rsidP="00F934ED">
            <w:pPr>
              <w:rPr>
                <w:rFonts w:ascii="Gill Sans" w:hAnsi="Gill Sans" w:cs="Gill Sans"/>
                <w:szCs w:val="22"/>
              </w:rPr>
            </w:pPr>
            <w:r w:rsidRPr="00076E76">
              <w:rPr>
                <w:rFonts w:ascii="Gill Sans" w:hAnsi="Gill Sans" w:cs="Gill Sans"/>
                <w:szCs w:val="22"/>
              </w:rPr>
              <w:lastRenderedPageBreak/>
              <w:t>Annotation by Sally Baker</w:t>
            </w:r>
          </w:p>
          <w:p w14:paraId="053534D4" w14:textId="77777777" w:rsidR="00F934ED" w:rsidRPr="00076E76" w:rsidRDefault="00F934ED" w:rsidP="00F934ED">
            <w:pPr>
              <w:rPr>
                <w:rFonts w:ascii="Gill Sans" w:hAnsi="Gill Sans" w:cs="Gill Sans"/>
                <w:szCs w:val="22"/>
              </w:rPr>
            </w:pPr>
          </w:p>
        </w:tc>
        <w:tc>
          <w:tcPr>
            <w:tcW w:w="10064" w:type="dxa"/>
          </w:tcPr>
          <w:p w14:paraId="485714EB" w14:textId="6FD5E44F"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lastRenderedPageBreak/>
              <w:t xml:space="preserve">Context: </w:t>
            </w:r>
            <w:r w:rsidRPr="00076E76">
              <w:rPr>
                <w:rFonts w:ascii="Gill Sans" w:hAnsi="Gill Sans" w:cs="Gill Sans"/>
                <w:color w:val="000000"/>
                <w:szCs w:val="22"/>
                <w:lang w:val="en-AU"/>
              </w:rPr>
              <w:t>‘Failed transitions’ of working class people who have ‘dropped out’ of university in context of widening participation to higher education in UK.</w:t>
            </w:r>
          </w:p>
          <w:p w14:paraId="225A2BAA" w14:textId="6B7B3E04"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“Where notions of transition are inflexible and obdurate, failure follows soon behind for many young people”, although moving to a looser definition of transition is not the solution (p.118). Chapter = concerned with identity, structure and agency.</w:t>
            </w:r>
          </w:p>
          <w:p w14:paraId="610025BC" w14:textId="765EFB89"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 xml:space="preserve">“The emphasis [of transition to higher education] has been on the pivotal moment of change, on making it to </w:t>
            </w:r>
            <w:r w:rsidRPr="00076E76">
              <w:rPr>
                <w:rFonts w:ascii="Gill Sans" w:hAnsi="Gill Sans" w:cs="Gill Sans"/>
                <w:color w:val="000000"/>
                <w:szCs w:val="22"/>
                <w:lang w:val="en-AU"/>
              </w:rPr>
              <w:lastRenderedPageBreak/>
              <w:t>the gates and going through. Very little attention is paid to what students learn once they enter” (p.119)</w:t>
            </w:r>
          </w:p>
          <w:p w14:paraId="40E916C9" w14:textId="0F7EE25E"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w:t>
            </w:r>
            <w:proofErr w:type="gramStart"/>
            <w:r w:rsidRPr="00076E76">
              <w:rPr>
                <w:rFonts w:ascii="Gill Sans" w:hAnsi="Gill Sans" w:cs="Gill Sans"/>
                <w:color w:val="000000"/>
                <w:szCs w:val="22"/>
                <w:lang w:val="en-AU"/>
              </w:rPr>
              <w:t>So</w:t>
            </w:r>
            <w:proofErr w:type="gramEnd"/>
            <w:r w:rsidRPr="00076E76">
              <w:rPr>
                <w:rFonts w:ascii="Gill Sans" w:hAnsi="Gill Sans" w:cs="Gill Sans"/>
                <w:color w:val="000000"/>
                <w:szCs w:val="22"/>
                <w:lang w:val="en-AU"/>
              </w:rPr>
              <w:t xml:space="preserve"> transition to HE is formulated as getting in and getting on, the student is an actor, but the terms of the transition are set by others. Transition is not postulated as a </w:t>
            </w:r>
            <w:proofErr w:type="spellStart"/>
            <w:r w:rsidRPr="00076E76">
              <w:rPr>
                <w:rFonts w:ascii="Gill Sans" w:hAnsi="Gill Sans" w:cs="Gill Sans"/>
                <w:color w:val="000000"/>
                <w:szCs w:val="22"/>
                <w:lang w:val="en-AU"/>
              </w:rPr>
              <w:t>creatuve</w:t>
            </w:r>
            <w:proofErr w:type="spellEnd"/>
            <w:r w:rsidRPr="00076E76">
              <w:rPr>
                <w:rFonts w:ascii="Gill Sans" w:hAnsi="Gill Sans" w:cs="Gill Sans"/>
                <w:color w:val="000000"/>
                <w:szCs w:val="22"/>
                <w:lang w:val="en-AU"/>
              </w:rPr>
              <w:t xml:space="preserve"> and interactive process and most of all it should not be turbulent and fragmented” (p.119). For institutions, anything that threatens retention = “must be regulated and suppressed” (p.119).</w:t>
            </w:r>
          </w:p>
          <w:p w14:paraId="6B8AA7B1" w14:textId="5333E631"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 xml:space="preserve">Transition to university = classed, gendered and </w:t>
            </w:r>
            <w:proofErr w:type="spellStart"/>
            <w:r w:rsidRPr="00076E76">
              <w:rPr>
                <w:rFonts w:ascii="Gill Sans" w:hAnsi="Gill Sans" w:cs="Gill Sans"/>
                <w:color w:val="000000"/>
                <w:szCs w:val="22"/>
                <w:lang w:val="en-AU"/>
              </w:rPr>
              <w:t>racialised</w:t>
            </w:r>
            <w:proofErr w:type="spellEnd"/>
            <w:r w:rsidRPr="00076E76">
              <w:rPr>
                <w:rFonts w:ascii="Gill Sans" w:hAnsi="Gill Sans" w:cs="Gill Sans"/>
                <w:color w:val="000000"/>
                <w:szCs w:val="22"/>
                <w:lang w:val="en-AU"/>
              </w:rPr>
              <w:t>. “Transition to HE is thus highly stratified and complex” (p.119)</w:t>
            </w:r>
          </w:p>
          <w:p w14:paraId="0912B7B3" w14:textId="4BAA1DF5"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Chapter based on Joseph Rowntree Foundation-funded research with working-class people under 25, living in disadvantaged areas of England, Scotland, Wales and Northern Ireland, first-in-family, and who dropped out of higher education (mostly white and male). All attended post-1992 institutions and lived in areas where traditional industries had died out.</w:t>
            </w:r>
          </w:p>
          <w:p w14:paraId="36EFB33A"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Qualitative and participatory project, involving 120 participants/ stakeholders.</w:t>
            </w:r>
          </w:p>
          <w:p w14:paraId="4E12A74E"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For the student-participants, transition narrative =not necessarily about change, but about stasis (staying in same town, same friends etc.)</w:t>
            </w:r>
          </w:p>
          <w:p w14:paraId="584C2ED2" w14:textId="10210B11"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 xml:space="preserve">Policy perspective = ‘failed transition’, but for participants “withdrawal was essentially part of an ongoing process of reassessment, of finding out what they did and didn’t want to do and that they were practically able to do, given constraints such as family financial problems. Significantly, they did not want this to be the end of their engagement with university, and all but one expressed a desire to return to higher education in the future” (p.121). </w:t>
            </w:r>
          </w:p>
          <w:p w14:paraId="3CC88B41" w14:textId="000619BE"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 xml:space="preserve">“Essentially, they needed a flexible system to accommodate what can be conceptualised as a fluid learning self. </w:t>
            </w:r>
            <w:proofErr w:type="gramStart"/>
            <w:r w:rsidRPr="00076E76">
              <w:rPr>
                <w:rFonts w:ascii="Gill Sans" w:hAnsi="Gill Sans" w:cs="Gill Sans"/>
                <w:color w:val="000000"/>
                <w:szCs w:val="22"/>
                <w:lang w:val="en-AU"/>
              </w:rPr>
              <w:t>Sadly</w:t>
            </w:r>
            <w:proofErr w:type="gramEnd"/>
            <w:r w:rsidRPr="00076E76">
              <w:rPr>
                <w:rFonts w:ascii="Gill Sans" w:hAnsi="Gill Sans" w:cs="Gill Sans"/>
                <w:color w:val="000000"/>
                <w:szCs w:val="22"/>
                <w:lang w:val="en-AU"/>
              </w:rPr>
              <w:t xml:space="preserve"> this flexibility did not exist” (p.121).</w:t>
            </w:r>
          </w:p>
          <w:p w14:paraId="6FCA8DD4" w14:textId="4FEC97C8"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 xml:space="preserve">Quinn critiques both the fixed inflexibility of linear, ritualised notions of transition, and the more rhizomatic view of becoming, because both suggest “a unified humanist subject capable of being transformed by education” (p.122). Transition as ‘having a story to tell’ suggests that all stories/ experiences are </w:t>
            </w:r>
            <w:proofErr w:type="spellStart"/>
            <w:r w:rsidRPr="00076E76">
              <w:rPr>
                <w:rFonts w:ascii="Gill Sans" w:hAnsi="Gill Sans" w:cs="Gill Sans"/>
                <w:color w:val="000000"/>
                <w:szCs w:val="22"/>
                <w:lang w:val="en-AU"/>
              </w:rPr>
              <w:t>speakable</w:t>
            </w:r>
            <w:proofErr w:type="spellEnd"/>
            <w:r w:rsidRPr="00076E76">
              <w:rPr>
                <w:rFonts w:ascii="Gill Sans" w:hAnsi="Gill Sans" w:cs="Gill Sans"/>
                <w:color w:val="000000"/>
                <w:szCs w:val="22"/>
                <w:lang w:val="en-AU"/>
              </w:rPr>
              <w:t xml:space="preserve"> – Quinn argues that for those with lives that are “marginal”, it can be difficult to craft a coherent story of transition to ‘educated person’ – leading to silences in some populations: “I would argue that we are all always lost in transition, not just in moving from one task or context to another, but as a condition of our subjectivity” (p.123).</w:t>
            </w:r>
          </w:p>
          <w:p w14:paraId="37C1FF40" w14:textId="0DAC4A3D"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Policy makers need to recognise students’ agency to make meaningful decisions for themselves; to challenge the grand narrative of higher education being the best choice; “They should recognise the potential benefits to some students of leaving early. Student withdrawal must be placed within a lifelong learning framework which facilitates movement out of and into higher education throughout life” (p.126).</w:t>
            </w:r>
          </w:p>
          <w:p w14:paraId="65385F56" w14:textId="1E96B6D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lastRenderedPageBreak/>
              <w:t>“HE policy perceives transition as fixed point on a path without deviation” (p.127).</w:t>
            </w:r>
          </w:p>
        </w:tc>
      </w:tr>
      <w:tr w:rsidR="00F934ED" w:rsidRPr="00076E76" w14:paraId="0ED1CEBD" w14:textId="77777777" w:rsidTr="002E557C">
        <w:tc>
          <w:tcPr>
            <w:tcW w:w="5529" w:type="dxa"/>
          </w:tcPr>
          <w:p w14:paraId="48B9C36F" w14:textId="6A5FA663" w:rsidR="00F934ED" w:rsidRPr="00B847D7" w:rsidRDefault="00F934ED" w:rsidP="00F934ED">
            <w:pPr>
              <w:rPr>
                <w:rFonts w:ascii="Gill Sans" w:hAnsi="Gill Sans" w:cs="Gill Sans"/>
                <w:szCs w:val="22"/>
              </w:rPr>
            </w:pPr>
            <w:r>
              <w:rPr>
                <w:rFonts w:ascii="Gill Sans" w:hAnsi="Gill Sans" w:cs="Gill Sans"/>
                <w:szCs w:val="22"/>
              </w:rPr>
              <w:lastRenderedPageBreak/>
              <w:t xml:space="preserve">Reay, D. (2018). </w:t>
            </w:r>
            <w:hyperlink r:id="rId119" w:history="1">
              <w:r w:rsidRPr="00636C29">
                <w:rPr>
                  <w:rStyle w:val="Hyperlink"/>
                  <w:rFonts w:ascii="Gill Sans" w:hAnsi="Gill Sans" w:cs="Gill Sans"/>
                  <w:szCs w:val="22"/>
                </w:rPr>
                <w:t>Working class educational transitions to university: The limits of success</w:t>
              </w:r>
            </w:hyperlink>
            <w:r>
              <w:rPr>
                <w:rFonts w:ascii="Gill Sans" w:hAnsi="Gill Sans" w:cs="Gill Sans"/>
                <w:szCs w:val="22"/>
              </w:rPr>
              <w:t xml:space="preserve">, </w:t>
            </w:r>
            <w:r>
              <w:rPr>
                <w:rFonts w:ascii="Gill Sans" w:hAnsi="Gill Sans" w:cs="Gill Sans"/>
                <w:i/>
                <w:szCs w:val="22"/>
              </w:rPr>
              <w:t xml:space="preserve">European Journal of Education, </w:t>
            </w:r>
            <w:r w:rsidRPr="00B847D7">
              <w:rPr>
                <w:rFonts w:ascii="Gill Sans" w:hAnsi="Gill Sans" w:cs="Gill Sans"/>
                <w:szCs w:val="22"/>
              </w:rPr>
              <w:t>00</w:t>
            </w:r>
            <w:r>
              <w:rPr>
                <w:rFonts w:ascii="Gill Sans" w:hAnsi="Gill Sans" w:cs="Gill Sans"/>
                <w:szCs w:val="22"/>
              </w:rPr>
              <w:t xml:space="preserve">, </w:t>
            </w:r>
            <w:r w:rsidRPr="00B847D7">
              <w:rPr>
                <w:rFonts w:ascii="Gill Sans" w:hAnsi="Gill Sans" w:cs="Gill Sans"/>
                <w:szCs w:val="22"/>
              </w:rPr>
              <w:t>1–13</w:t>
            </w:r>
            <w:r>
              <w:rPr>
                <w:rFonts w:ascii="Gill Sans" w:hAnsi="Gill Sans" w:cs="Gill Sans"/>
                <w:szCs w:val="22"/>
              </w:rPr>
              <w:t>.</w:t>
            </w:r>
          </w:p>
          <w:p w14:paraId="198B5078" w14:textId="77777777" w:rsidR="00F934ED" w:rsidRDefault="00F934ED" w:rsidP="00F934ED">
            <w:pPr>
              <w:rPr>
                <w:rFonts w:ascii="Gill Sans" w:hAnsi="Gill Sans" w:cs="Gill Sans"/>
                <w:szCs w:val="22"/>
              </w:rPr>
            </w:pPr>
          </w:p>
          <w:p w14:paraId="109AC897" w14:textId="77777777" w:rsidR="00F934ED" w:rsidRDefault="00F934ED" w:rsidP="00F934ED">
            <w:pPr>
              <w:rPr>
                <w:rFonts w:ascii="Gill Sans" w:hAnsi="Gill Sans" w:cs="Gill Sans"/>
                <w:szCs w:val="22"/>
              </w:rPr>
            </w:pPr>
            <w:r>
              <w:rPr>
                <w:rFonts w:ascii="Gill Sans" w:hAnsi="Gill Sans" w:cs="Gill Sans"/>
                <w:szCs w:val="22"/>
              </w:rPr>
              <w:t>UK</w:t>
            </w:r>
          </w:p>
          <w:p w14:paraId="0EA8CE03"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2EEDA70F" w14:textId="4E0771E2" w:rsidR="00F934ED" w:rsidRPr="00636C29" w:rsidRDefault="00F934ED" w:rsidP="00F934ED">
            <w:pPr>
              <w:rPr>
                <w:rFonts w:ascii="Gill Sans" w:hAnsi="Gill Sans" w:cs="Gill Sans"/>
                <w:szCs w:val="22"/>
              </w:rPr>
            </w:pPr>
          </w:p>
        </w:tc>
        <w:tc>
          <w:tcPr>
            <w:tcW w:w="10064" w:type="dxa"/>
          </w:tcPr>
          <w:p w14:paraId="1EBBE8AC" w14:textId="7781BA42" w:rsidR="00F934ED" w:rsidRPr="00943BE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Pr>
                <w:rFonts w:ascii="Gill Sans" w:hAnsi="Gill Sans" w:cs="Gill Sans"/>
                <w:color w:val="000000"/>
                <w:szCs w:val="22"/>
                <w:lang w:val="en-AU"/>
              </w:rPr>
              <w:t>Transitions into ‘elite’ higher education for working class students in England. Set against a literature review that reminds us of the significant mismatch in expectations between students (particularly from working class backgrounds) and middle class institutions, meaning working class students’ transitions “</w:t>
            </w:r>
            <w:r w:rsidRPr="00274366">
              <w:rPr>
                <w:rFonts w:ascii="Gill Sans" w:hAnsi="Gill Sans" w:cs="Gill Sans"/>
                <w:color w:val="000000"/>
                <w:szCs w:val="22"/>
              </w:rPr>
              <w:t>are constructed by risk and chance as much</w:t>
            </w:r>
            <w:r>
              <w:rPr>
                <w:rFonts w:ascii="Gill Sans" w:hAnsi="Gill Sans" w:cs="Gill Sans"/>
                <w:color w:val="000000"/>
                <w:szCs w:val="22"/>
              </w:rPr>
              <w:t xml:space="preserve"> </w:t>
            </w:r>
            <w:r w:rsidRPr="00274366">
              <w:rPr>
                <w:rFonts w:ascii="Gill Sans" w:hAnsi="Gill Sans" w:cs="Gill Sans"/>
                <w:color w:val="000000"/>
                <w:szCs w:val="22"/>
              </w:rPr>
              <w:t>as by calculation and rational choice</w:t>
            </w:r>
            <w:r w:rsidRPr="00274366">
              <w:rPr>
                <w:rFonts w:ascii="Palatino Linotype" w:hAnsi="Palatino Linotype" w:cs="Palatino Linotype"/>
                <w:color w:val="000000"/>
                <w:szCs w:val="22"/>
              </w:rPr>
              <w:t>‐</w:t>
            </w:r>
            <w:r>
              <w:rPr>
                <w:rFonts w:ascii="Gill Sans" w:hAnsi="Gill Sans" w:cs="Gill Sans"/>
                <w:color w:val="000000"/>
                <w:szCs w:val="22"/>
              </w:rPr>
              <w:t xml:space="preserve">making. Their habitus is </w:t>
            </w:r>
            <w:r w:rsidRPr="00274366">
              <w:rPr>
                <w:rFonts w:ascii="Gill Sans" w:hAnsi="Gill Sans" w:cs="Gill Sans"/>
                <w:color w:val="000000"/>
                <w:szCs w:val="22"/>
              </w:rPr>
              <w:t>characterised by uncertainty, lack of entitlement,</w:t>
            </w:r>
            <w:r>
              <w:rPr>
                <w:rFonts w:ascii="Gill Sans" w:hAnsi="Gill Sans" w:cs="Gill Sans"/>
                <w:color w:val="000000"/>
                <w:szCs w:val="22"/>
              </w:rPr>
              <w:t xml:space="preserve"> </w:t>
            </w:r>
            <w:r w:rsidRPr="00274366">
              <w:rPr>
                <w:rFonts w:ascii="Gill Sans" w:hAnsi="Gill Sans" w:cs="Gill Sans"/>
                <w:color w:val="000000"/>
                <w:szCs w:val="22"/>
              </w:rPr>
              <w:t>and low confidence</w:t>
            </w:r>
            <w:r>
              <w:rPr>
                <w:rFonts w:ascii="Gill Sans" w:hAnsi="Gill Sans" w:cs="Gill Sans"/>
                <w:color w:val="000000"/>
                <w:szCs w:val="22"/>
              </w:rPr>
              <w:t>” (</w:t>
            </w:r>
            <w:r>
              <w:rPr>
                <w:rFonts w:ascii="Gill Sans" w:hAnsi="Gill Sans" w:cs="Gill Sans"/>
                <w:color w:val="000000"/>
                <w:szCs w:val="22"/>
                <w:lang w:val="en-AU"/>
              </w:rPr>
              <w:t>p.2)</w:t>
            </w:r>
          </w:p>
          <w:p w14:paraId="29D9C974" w14:textId="228881EC" w:rsidR="00F934ED" w:rsidRPr="00D14CE3"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Pr>
                <w:rFonts w:ascii="Gill Sans" w:hAnsi="Gill Sans" w:cs="Gill Sans"/>
                <w:color w:val="000000"/>
                <w:szCs w:val="22"/>
                <w:lang w:val="en-AU"/>
              </w:rPr>
              <w:t xml:space="preserve">To explore the transitions of ‘educationally successful’ working class students </w:t>
            </w:r>
          </w:p>
          <w:p w14:paraId="23123F1C" w14:textId="44379814" w:rsidR="00F934ED" w:rsidRPr="00943BE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Theoretical frame:</w:t>
            </w:r>
            <w:r>
              <w:rPr>
                <w:rFonts w:ascii="Gill Sans" w:hAnsi="Gill Sans" w:cs="Gill Sans"/>
                <w:b/>
                <w:color w:val="000000"/>
                <w:szCs w:val="22"/>
                <w:lang w:val="en-AU"/>
              </w:rPr>
              <w:t xml:space="preserve"> </w:t>
            </w:r>
            <w:r>
              <w:rPr>
                <w:rFonts w:ascii="Gill Sans" w:hAnsi="Gill Sans" w:cs="Gill Sans"/>
                <w:color w:val="000000"/>
                <w:szCs w:val="22"/>
                <w:lang w:val="en-AU"/>
              </w:rPr>
              <w:t xml:space="preserve">Bourdieu (field, habitus, capital) </w:t>
            </w:r>
            <w:r>
              <w:rPr>
                <w:rFonts w:cs="Gill Sans"/>
                <w:color w:val="000000"/>
                <w:szCs w:val="22"/>
                <w:lang w:val="en-AU"/>
              </w:rPr>
              <w:t>—</w:t>
            </w:r>
            <w:r>
              <w:rPr>
                <w:rFonts w:ascii="Gill Sans" w:hAnsi="Gill Sans" w:cs="Gill Sans"/>
                <w:color w:val="000000"/>
                <w:szCs w:val="22"/>
                <w:lang w:val="en-AU"/>
              </w:rPr>
              <w:t xml:space="preserve"> as a set of tools to expose the privilege and relational disadvantage that students have/ expose the ‘rules of the game’</w:t>
            </w:r>
          </w:p>
          <w:p w14:paraId="0E0BD218" w14:textId="1A86D18A" w:rsidR="00F934ED" w:rsidRPr="00EC45EA"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Pr>
                <w:rFonts w:ascii="Gill Sans" w:hAnsi="Gill Sans" w:cs="Gill Sans"/>
                <w:color w:val="000000"/>
                <w:szCs w:val="22"/>
                <w:lang w:val="en-AU"/>
              </w:rPr>
              <w:t>Literature review; reference to data collected in Reay, Crozier &amp; Clayton (2009)</w:t>
            </w:r>
          </w:p>
          <w:p w14:paraId="3F400161" w14:textId="77777777" w:rsidR="00F934ED"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Findings: </w:t>
            </w:r>
            <w:r>
              <w:rPr>
                <w:rFonts w:ascii="Gill Sans" w:hAnsi="Gill Sans" w:cs="Gill Sans"/>
                <w:color w:val="000000"/>
                <w:szCs w:val="22"/>
                <w:lang w:val="en-AU"/>
              </w:rPr>
              <w:t>Themes from earlier study for ‘educationally successful’ students:</w:t>
            </w:r>
          </w:p>
          <w:p w14:paraId="7257C315" w14:textId="77777777" w:rsidR="00F934ED" w:rsidRDefault="00F934ED" w:rsidP="00F934ED">
            <w:pPr>
              <w:rPr>
                <w:rFonts w:ascii="Gill Sans" w:hAnsi="Gill Sans" w:cs="Gill Sans"/>
                <w:color w:val="000000"/>
                <w:szCs w:val="22"/>
              </w:rPr>
            </w:pPr>
            <w:r>
              <w:rPr>
                <w:rFonts w:ascii="Gill Sans" w:hAnsi="Gill Sans" w:cs="Gill Sans"/>
                <w:color w:val="000000"/>
                <w:szCs w:val="22"/>
                <w:lang w:val="en-AU"/>
              </w:rPr>
              <w:t>Disappointment/ disheartening experience of Freshers’ Week, often characterised by awkward interactions and which exposed the relational difference from other students and being positioned as ‘outside within’ (p.7) and not fitting in. With reference to other studies, the author writes “</w:t>
            </w:r>
            <w:r w:rsidRPr="00E8357D">
              <w:rPr>
                <w:rFonts w:ascii="Gill Sans" w:hAnsi="Gill Sans" w:cs="Gill Sans"/>
                <w:color w:val="000000"/>
                <w:szCs w:val="22"/>
              </w:rPr>
              <w:t>The habitus of working class students in both studies can be seen to be striated by dispositions of discomfort,</w:t>
            </w:r>
            <w:r>
              <w:rPr>
                <w:rFonts w:ascii="Gill Sans" w:hAnsi="Gill Sans" w:cs="Gill Sans"/>
                <w:color w:val="000000"/>
                <w:szCs w:val="22"/>
              </w:rPr>
              <w:t xml:space="preserve"> </w:t>
            </w:r>
            <w:r w:rsidRPr="00E8357D">
              <w:rPr>
                <w:rFonts w:ascii="Gill Sans" w:hAnsi="Gill Sans" w:cs="Gill Sans"/>
                <w:color w:val="000000"/>
                <w:szCs w:val="22"/>
              </w:rPr>
              <w:t>ill</w:t>
            </w:r>
            <w:r w:rsidRPr="00E8357D">
              <w:rPr>
                <w:rFonts w:ascii="Palatino Linotype" w:hAnsi="Palatino Linotype" w:cs="Palatino Linotype"/>
                <w:color w:val="000000"/>
                <w:szCs w:val="22"/>
              </w:rPr>
              <w:t>‐</w:t>
            </w:r>
            <w:r w:rsidRPr="00E8357D">
              <w:rPr>
                <w:rFonts w:ascii="Gill Sans" w:hAnsi="Gill Sans" w:cs="Gill Sans"/>
                <w:color w:val="000000"/>
                <w:szCs w:val="22"/>
              </w:rPr>
              <w:t>ease, and self</w:t>
            </w:r>
            <w:r w:rsidRPr="00E8357D">
              <w:rPr>
                <w:rFonts w:ascii="Palatino Linotype" w:hAnsi="Palatino Linotype" w:cs="Palatino Linotype"/>
                <w:color w:val="000000"/>
                <w:szCs w:val="22"/>
              </w:rPr>
              <w:t>‐</w:t>
            </w:r>
            <w:r w:rsidRPr="00E8357D">
              <w:rPr>
                <w:rFonts w:ascii="Gill Sans" w:hAnsi="Gill Sans" w:cs="Gill Sans"/>
                <w:color w:val="000000"/>
                <w:szCs w:val="22"/>
              </w:rPr>
              <w:t>deprecation</w:t>
            </w:r>
            <w:r>
              <w:rPr>
                <w:rFonts w:ascii="Gill Sans" w:hAnsi="Gill Sans" w:cs="Gill Sans"/>
                <w:color w:val="000000"/>
                <w:szCs w:val="22"/>
              </w:rPr>
              <w:t>” (p.8)</w:t>
            </w:r>
            <w:r w:rsidRPr="00E8357D">
              <w:rPr>
                <w:rFonts w:ascii="Gill Sans" w:hAnsi="Gill Sans" w:cs="Gill Sans"/>
                <w:color w:val="000000"/>
                <w:szCs w:val="22"/>
              </w:rPr>
              <w:t>.</w:t>
            </w:r>
            <w:r>
              <w:rPr>
                <w:rFonts w:ascii="Gill Sans" w:hAnsi="Gill Sans" w:cs="Gill Sans"/>
                <w:color w:val="000000"/>
                <w:szCs w:val="22"/>
              </w:rPr>
              <w:t xml:space="preserve"> This results in ‘weak integration’ into university social life (p.8). Challenges of social life and belonging played out in the academic domain: “</w:t>
            </w:r>
            <w:r w:rsidRPr="006B32F6">
              <w:rPr>
                <w:rFonts w:ascii="Gill Sans" w:hAnsi="Gill Sans" w:cs="Gill Sans"/>
                <w:color w:val="000000"/>
                <w:szCs w:val="22"/>
              </w:rPr>
              <w:t>The interplay between incentives of the academic field and the</w:t>
            </w:r>
            <w:r>
              <w:rPr>
                <w:rFonts w:ascii="Gill Sans" w:hAnsi="Gill Sans" w:cs="Gill Sans"/>
                <w:color w:val="000000"/>
                <w:szCs w:val="22"/>
              </w:rPr>
              <w:t xml:space="preserve"> </w:t>
            </w:r>
            <w:r w:rsidRPr="006B32F6">
              <w:rPr>
                <w:rFonts w:ascii="Gill Sans" w:hAnsi="Gill Sans" w:cs="Gill Sans"/>
                <w:color w:val="000000"/>
                <w:szCs w:val="22"/>
              </w:rPr>
              <w:t>disincentives of the social field, together with an already highly</w:t>
            </w:r>
            <w:r w:rsidRPr="006B32F6">
              <w:rPr>
                <w:rFonts w:ascii="Palatino Linotype" w:hAnsi="Palatino Linotype" w:cs="Palatino Linotype"/>
                <w:color w:val="000000"/>
                <w:szCs w:val="22"/>
              </w:rPr>
              <w:t>‐</w:t>
            </w:r>
            <w:r w:rsidRPr="006B32F6">
              <w:rPr>
                <w:rFonts w:ascii="Gill Sans" w:hAnsi="Gill Sans" w:cs="Gill Sans"/>
                <w:color w:val="000000"/>
                <w:szCs w:val="22"/>
              </w:rPr>
              <w:t>motivated academic habitus, meant that success</w:t>
            </w:r>
            <w:r>
              <w:rPr>
                <w:rFonts w:ascii="Gill Sans" w:hAnsi="Gill Sans" w:cs="Gill Sans"/>
                <w:color w:val="000000"/>
                <w:szCs w:val="22"/>
              </w:rPr>
              <w:t xml:space="preserve"> </w:t>
            </w:r>
            <w:r w:rsidRPr="006B32F6">
              <w:rPr>
                <w:rFonts w:ascii="Gill Sans" w:hAnsi="Gill Sans" w:cs="Gill Sans"/>
                <w:color w:val="000000"/>
                <w:szCs w:val="22"/>
              </w:rPr>
              <w:t>in academic work became the individual’s m</w:t>
            </w:r>
            <w:r>
              <w:rPr>
                <w:rFonts w:ascii="Gill Sans" w:hAnsi="Gill Sans" w:cs="Gill Sans"/>
                <w:color w:val="000000"/>
                <w:szCs w:val="22"/>
              </w:rPr>
              <w:t>ain source of positive identity” (p.8).</w:t>
            </w:r>
          </w:p>
          <w:p w14:paraId="4882FC1F" w14:textId="7EE2ABE8" w:rsidR="00F934ED" w:rsidRDefault="00F934ED" w:rsidP="00F934ED">
            <w:pPr>
              <w:rPr>
                <w:rFonts w:ascii="Gill Sans" w:hAnsi="Gill Sans" w:cs="Gill Sans"/>
                <w:color w:val="000000"/>
                <w:szCs w:val="22"/>
              </w:rPr>
            </w:pPr>
            <w:r>
              <w:rPr>
                <w:rFonts w:ascii="Gill Sans" w:hAnsi="Gill Sans" w:cs="Gill Sans"/>
                <w:color w:val="000000"/>
                <w:szCs w:val="22"/>
              </w:rPr>
              <w:t>Feeling lost/ unanchored and with no support = described by ‘Jim’ and interpreted as if he “</w:t>
            </w:r>
            <w:r w:rsidRPr="009D225B">
              <w:rPr>
                <w:rFonts w:ascii="Gill Sans" w:hAnsi="Gill Sans" w:cs="Gill Sans"/>
                <w:color w:val="000000"/>
                <w:szCs w:val="22"/>
              </w:rPr>
              <w:t>were inhabiting a parallel universe, one that is</w:t>
            </w:r>
            <w:r>
              <w:rPr>
                <w:rFonts w:ascii="Gill Sans" w:hAnsi="Gill Sans" w:cs="Gill Sans"/>
                <w:color w:val="000000"/>
                <w:szCs w:val="22"/>
              </w:rPr>
              <w:t xml:space="preserve"> </w:t>
            </w:r>
            <w:r w:rsidRPr="009D225B">
              <w:rPr>
                <w:rFonts w:ascii="Gill Sans" w:hAnsi="Gill Sans" w:cs="Gill Sans"/>
                <w:color w:val="000000"/>
                <w:szCs w:val="22"/>
              </w:rPr>
              <w:t>infused with indiscernible mysteries, an esoteric inaccessible world that he still struggles to be part of</w:t>
            </w:r>
            <w:r>
              <w:rPr>
                <w:rFonts w:ascii="Gill Sans" w:hAnsi="Gill Sans" w:cs="Gill Sans"/>
                <w:color w:val="000000"/>
                <w:szCs w:val="22"/>
              </w:rPr>
              <w:t>” (p.9)</w:t>
            </w:r>
            <w:r w:rsidRPr="009D225B">
              <w:rPr>
                <w:rFonts w:ascii="Gill Sans" w:hAnsi="Gill Sans" w:cs="Gill Sans"/>
                <w:color w:val="000000"/>
                <w:szCs w:val="22"/>
              </w:rPr>
              <w:t>.</w:t>
            </w:r>
            <w:r>
              <w:rPr>
                <w:rFonts w:ascii="Gill Sans" w:hAnsi="Gill Sans" w:cs="Gill Sans"/>
                <w:color w:val="000000"/>
                <w:szCs w:val="22"/>
              </w:rPr>
              <w:t xml:space="preserve"> Transition = experienced by many working class students (as per the literature review) as a ‘trial’</w:t>
            </w:r>
            <w:r w:rsidRPr="00076E76">
              <w:rPr>
                <w:rFonts w:ascii="Gill Sans" w:hAnsi="Gill Sans" w:cs="Gill Sans"/>
                <w:b/>
                <w:color w:val="000000"/>
                <w:szCs w:val="22"/>
                <w:lang w:val="en-AU"/>
              </w:rPr>
              <w:br/>
              <w:t>Core argument:</w:t>
            </w:r>
            <w:r>
              <w:rPr>
                <w:rFonts w:ascii="Gill Sans" w:hAnsi="Gill Sans" w:cs="Gill Sans"/>
                <w:b/>
                <w:color w:val="000000"/>
                <w:szCs w:val="22"/>
                <w:lang w:val="en-AU"/>
              </w:rPr>
              <w:t xml:space="preserve"> </w:t>
            </w:r>
            <w:r>
              <w:rPr>
                <w:rFonts w:ascii="Gill Sans" w:hAnsi="Gill Sans" w:cs="Gill Sans"/>
                <w:color w:val="000000"/>
                <w:szCs w:val="22"/>
                <w:lang w:val="en-AU"/>
              </w:rPr>
              <w:t>“</w:t>
            </w:r>
            <w:r w:rsidRPr="00A24E84">
              <w:rPr>
                <w:rFonts w:ascii="Gill Sans" w:hAnsi="Gill Sans" w:cs="Gill Sans"/>
                <w:color w:val="000000"/>
                <w:szCs w:val="22"/>
              </w:rPr>
              <w:t>working class transitions to university reveal</w:t>
            </w:r>
            <w:r>
              <w:rPr>
                <w:rFonts w:ascii="Gill Sans" w:hAnsi="Gill Sans" w:cs="Gill Sans"/>
                <w:color w:val="000000"/>
                <w:szCs w:val="22"/>
              </w:rPr>
              <w:t xml:space="preserve"> </w:t>
            </w:r>
            <w:r w:rsidRPr="00A24E84">
              <w:rPr>
                <w:rFonts w:ascii="Gill Sans" w:hAnsi="Gill Sans" w:cs="Gill Sans"/>
                <w:color w:val="000000"/>
                <w:szCs w:val="22"/>
              </w:rPr>
              <w:t>the failure of the English educational system to</w:t>
            </w:r>
            <w:r>
              <w:rPr>
                <w:rFonts w:ascii="Gill Sans" w:hAnsi="Gill Sans" w:cs="Gill Sans"/>
                <w:color w:val="000000"/>
                <w:szCs w:val="22"/>
              </w:rPr>
              <w:t xml:space="preserve"> </w:t>
            </w:r>
            <w:r w:rsidRPr="00A24E84">
              <w:rPr>
                <w:rFonts w:ascii="Gill Sans" w:hAnsi="Gill Sans" w:cs="Gill Sans"/>
                <w:color w:val="000000"/>
                <w:szCs w:val="22"/>
              </w:rPr>
              <w:t>provide anything like a level playing field to support working</w:t>
            </w:r>
            <w:r>
              <w:rPr>
                <w:rFonts w:ascii="Gill Sans" w:hAnsi="Gill Sans" w:cs="Gill Sans"/>
                <w:color w:val="000000"/>
                <w:szCs w:val="22"/>
              </w:rPr>
              <w:t xml:space="preserve"> </w:t>
            </w:r>
            <w:r w:rsidRPr="00A24E84">
              <w:rPr>
                <w:rFonts w:ascii="Gill Sans" w:hAnsi="Gill Sans" w:cs="Gill Sans"/>
                <w:color w:val="000000"/>
                <w:szCs w:val="22"/>
              </w:rPr>
              <w:t>class young people who are seen to be educational</w:t>
            </w:r>
            <w:r>
              <w:rPr>
                <w:rFonts w:ascii="Gill Sans" w:hAnsi="Gill Sans" w:cs="Gill Sans"/>
                <w:color w:val="000000"/>
                <w:szCs w:val="22"/>
              </w:rPr>
              <w:t xml:space="preserve"> </w:t>
            </w:r>
            <w:r w:rsidRPr="00A24E84">
              <w:rPr>
                <w:rFonts w:ascii="Gill Sans" w:hAnsi="Gill Sans" w:cs="Gill Sans"/>
                <w:color w:val="000000"/>
                <w:szCs w:val="22"/>
              </w:rPr>
              <w:t>successes</w:t>
            </w:r>
            <w:r>
              <w:rPr>
                <w:rFonts w:ascii="Gill Sans" w:hAnsi="Gill Sans" w:cs="Gill Sans"/>
                <w:color w:val="000000"/>
                <w:szCs w:val="22"/>
              </w:rPr>
              <w:t>” (abstract)</w:t>
            </w:r>
            <w:r w:rsidRPr="00A24E84">
              <w:rPr>
                <w:rFonts w:ascii="Gill Sans" w:hAnsi="Gill Sans" w:cs="Gill Sans"/>
                <w:color w:val="000000"/>
                <w:szCs w:val="22"/>
              </w:rPr>
              <w:t>.</w:t>
            </w:r>
          </w:p>
          <w:p w14:paraId="1571DAEC" w14:textId="77777777" w:rsidR="00F934ED" w:rsidRDefault="00F934ED" w:rsidP="00F934ED">
            <w:pPr>
              <w:rPr>
                <w:rFonts w:ascii="Gill Sans" w:hAnsi="Gill Sans" w:cs="Gill Sans"/>
                <w:color w:val="000000"/>
                <w:szCs w:val="22"/>
              </w:rPr>
            </w:pPr>
            <w:r>
              <w:rPr>
                <w:rFonts w:ascii="Gill Sans" w:hAnsi="Gill Sans" w:cs="Gill Sans"/>
                <w:color w:val="000000"/>
                <w:szCs w:val="22"/>
              </w:rPr>
              <w:t>“</w:t>
            </w:r>
            <w:r w:rsidRPr="009D225B">
              <w:rPr>
                <w:rFonts w:ascii="Gill Sans" w:hAnsi="Gill Sans" w:cs="Gill Sans"/>
                <w:color w:val="000000"/>
                <w:szCs w:val="22"/>
              </w:rPr>
              <w:t>The fight for a successful academic identity often means forfeiting a successful social</w:t>
            </w:r>
            <w:r>
              <w:rPr>
                <w:rFonts w:ascii="Gill Sans" w:hAnsi="Gill Sans" w:cs="Gill Sans"/>
                <w:color w:val="000000"/>
                <w:szCs w:val="22"/>
              </w:rPr>
              <w:t xml:space="preserve"> </w:t>
            </w:r>
            <w:r w:rsidRPr="009D225B">
              <w:rPr>
                <w:rFonts w:ascii="Gill Sans" w:hAnsi="Gill Sans" w:cs="Gill Sans"/>
                <w:color w:val="000000"/>
                <w:szCs w:val="22"/>
              </w:rPr>
              <w:t>identity</w:t>
            </w:r>
            <w:r>
              <w:rPr>
                <w:rFonts w:ascii="Gill Sans" w:hAnsi="Gill Sans" w:cs="Gill Sans"/>
                <w:color w:val="000000"/>
                <w:szCs w:val="22"/>
              </w:rPr>
              <w:t>” (p.9)</w:t>
            </w:r>
          </w:p>
          <w:p w14:paraId="6E2EA737" w14:textId="36F089AB" w:rsidR="00F934ED" w:rsidRPr="006B32F6" w:rsidRDefault="00F934ED" w:rsidP="00F934ED">
            <w:pPr>
              <w:rPr>
                <w:rFonts w:ascii="Gill Sans" w:hAnsi="Gill Sans" w:cs="Gill Sans"/>
                <w:color w:val="000000"/>
                <w:szCs w:val="22"/>
              </w:rPr>
            </w:pPr>
            <w:r>
              <w:rPr>
                <w:rFonts w:ascii="Gill Sans" w:hAnsi="Gill Sans" w:cs="Gill Sans"/>
                <w:color w:val="000000"/>
                <w:szCs w:val="22"/>
              </w:rPr>
              <w:t>Exclusion = “</w:t>
            </w:r>
            <w:r w:rsidRPr="00E92002">
              <w:rPr>
                <w:rFonts w:ascii="Gill Sans" w:hAnsi="Gill Sans" w:cs="Gill Sans"/>
                <w:color w:val="000000"/>
                <w:szCs w:val="22"/>
              </w:rPr>
              <w:t>a consequence of the middle class and upper class institutional</w:t>
            </w:r>
            <w:r>
              <w:rPr>
                <w:rFonts w:ascii="Gill Sans" w:hAnsi="Gill Sans" w:cs="Gill Sans"/>
                <w:color w:val="000000"/>
                <w:szCs w:val="22"/>
              </w:rPr>
              <w:t xml:space="preserve"> </w:t>
            </w:r>
            <w:r w:rsidRPr="00E92002">
              <w:rPr>
                <w:rFonts w:ascii="Gill Sans" w:hAnsi="Gill Sans" w:cs="Gill Sans"/>
                <w:color w:val="000000"/>
                <w:szCs w:val="22"/>
              </w:rPr>
              <w:t>culture in Russell Group universities in the UK rather than being attributable to deficits or self</w:t>
            </w:r>
            <w:r w:rsidRPr="00E92002">
              <w:rPr>
                <w:rFonts w:ascii="Palatino Linotype" w:hAnsi="Palatino Linotype" w:cs="Palatino Linotype"/>
                <w:color w:val="000000"/>
                <w:szCs w:val="22"/>
              </w:rPr>
              <w:t>‐</w:t>
            </w:r>
            <w:r w:rsidRPr="00E92002">
              <w:rPr>
                <w:rFonts w:ascii="Gill Sans" w:hAnsi="Gill Sans" w:cs="Gill Sans"/>
                <w:color w:val="000000"/>
                <w:szCs w:val="22"/>
              </w:rPr>
              <w:t>exclusion in the</w:t>
            </w:r>
            <w:r>
              <w:rPr>
                <w:rFonts w:ascii="Gill Sans" w:hAnsi="Gill Sans" w:cs="Gill Sans"/>
                <w:color w:val="000000"/>
                <w:szCs w:val="22"/>
              </w:rPr>
              <w:t xml:space="preserve"> </w:t>
            </w:r>
            <w:r w:rsidRPr="00E92002">
              <w:rPr>
                <w:rFonts w:ascii="Gill Sans" w:hAnsi="Gill Sans" w:cs="Gill Sans"/>
                <w:color w:val="000000"/>
                <w:szCs w:val="22"/>
              </w:rPr>
              <w:t>individual working class student</w:t>
            </w:r>
            <w:r>
              <w:rPr>
                <w:rFonts w:ascii="Gill Sans" w:hAnsi="Gill Sans" w:cs="Gill Sans"/>
                <w:color w:val="000000"/>
                <w:szCs w:val="22"/>
              </w:rPr>
              <w:t>” (p.11). Universities must engage in ‘radical change’ but rather than imposing arbitrary quotas, author argues that universities need to invest in “</w:t>
            </w:r>
            <w:r w:rsidRPr="00391919">
              <w:rPr>
                <w:rFonts w:ascii="Gill Sans" w:hAnsi="Gill Sans" w:cs="Gill Sans"/>
                <w:color w:val="000000"/>
                <w:szCs w:val="22"/>
              </w:rPr>
              <w:t>A more egalitarian, democratic</w:t>
            </w:r>
            <w:r>
              <w:rPr>
                <w:rFonts w:ascii="Gill Sans" w:hAnsi="Gill Sans" w:cs="Gill Sans"/>
                <w:color w:val="000000"/>
                <w:szCs w:val="22"/>
              </w:rPr>
              <w:t xml:space="preserve"> </w:t>
            </w:r>
            <w:r w:rsidRPr="00391919">
              <w:rPr>
                <w:rFonts w:ascii="Gill Sans" w:hAnsi="Gill Sans" w:cs="Gill Sans"/>
                <w:color w:val="000000"/>
                <w:szCs w:val="22"/>
              </w:rPr>
              <w:t xml:space="preserve">system with a fairer distribution of </w:t>
            </w:r>
            <w:r w:rsidRPr="00391919">
              <w:rPr>
                <w:rFonts w:ascii="Gill Sans" w:hAnsi="Gill Sans" w:cs="Gill Sans"/>
                <w:color w:val="000000"/>
                <w:szCs w:val="22"/>
              </w:rPr>
              <w:lastRenderedPageBreak/>
              <w:t>funds, less hierarchy both between and within universities and a recognition</w:t>
            </w:r>
            <w:r>
              <w:rPr>
                <w:rFonts w:ascii="Gill Sans" w:hAnsi="Gill Sans" w:cs="Gill Sans"/>
                <w:color w:val="000000"/>
                <w:szCs w:val="22"/>
              </w:rPr>
              <w:t xml:space="preserve"> </w:t>
            </w:r>
            <w:r w:rsidRPr="00391919">
              <w:rPr>
                <w:rFonts w:ascii="Gill Sans" w:hAnsi="Gill Sans" w:cs="Gill Sans"/>
                <w:color w:val="000000"/>
                <w:szCs w:val="22"/>
              </w:rPr>
              <w:t>that higher education is both racist and classist, and has to transform both its values and culture, not simply policies</w:t>
            </w:r>
            <w:r>
              <w:rPr>
                <w:rFonts w:ascii="Gill Sans" w:hAnsi="Gill Sans" w:cs="Gill Sans"/>
                <w:color w:val="000000"/>
                <w:szCs w:val="22"/>
              </w:rPr>
              <w:t xml:space="preserve"> </w:t>
            </w:r>
            <w:r w:rsidRPr="00391919">
              <w:rPr>
                <w:rFonts w:ascii="Gill Sans" w:hAnsi="Gill Sans" w:cs="Gill Sans"/>
                <w:color w:val="000000"/>
                <w:szCs w:val="22"/>
              </w:rPr>
              <w:t>and practices</w:t>
            </w:r>
            <w:r>
              <w:rPr>
                <w:rFonts w:ascii="Gill Sans" w:hAnsi="Gill Sans" w:cs="Gill Sans"/>
                <w:color w:val="000000"/>
                <w:szCs w:val="22"/>
              </w:rPr>
              <w:t>” (p.11).</w:t>
            </w:r>
          </w:p>
        </w:tc>
      </w:tr>
      <w:tr w:rsidR="00F934ED" w:rsidRPr="00076E76" w14:paraId="78E99623" w14:textId="77777777" w:rsidTr="002E557C">
        <w:tc>
          <w:tcPr>
            <w:tcW w:w="5529" w:type="dxa"/>
          </w:tcPr>
          <w:p w14:paraId="71F2B4E4" w14:textId="2BE3F9D6" w:rsidR="00F934ED" w:rsidRPr="00076E76" w:rsidRDefault="00F934ED" w:rsidP="00F934ED">
            <w:pPr>
              <w:rPr>
                <w:rFonts w:ascii="Gill Sans" w:hAnsi="Gill Sans" w:cs="Gill Sans"/>
                <w:szCs w:val="22"/>
              </w:rPr>
            </w:pPr>
            <w:proofErr w:type="spellStart"/>
            <w:r w:rsidRPr="00076E76">
              <w:rPr>
                <w:rFonts w:ascii="Gill Sans" w:hAnsi="Gill Sans" w:cs="Gill Sans"/>
                <w:szCs w:val="22"/>
              </w:rPr>
              <w:lastRenderedPageBreak/>
              <w:t>Ribchester</w:t>
            </w:r>
            <w:proofErr w:type="spellEnd"/>
            <w:r w:rsidRPr="00076E76">
              <w:rPr>
                <w:rFonts w:ascii="Gill Sans" w:hAnsi="Gill Sans" w:cs="Gill Sans"/>
                <w:szCs w:val="22"/>
              </w:rPr>
              <w:t xml:space="preserve">, C.; Ross, K. &amp; Rees, E. (2014). </w:t>
            </w:r>
            <w:hyperlink r:id="rId120" w:history="1">
              <w:r w:rsidRPr="00DE126F">
                <w:rPr>
                  <w:rStyle w:val="Hyperlink"/>
                  <w:rFonts w:ascii="Gill Sans" w:hAnsi="Gill Sans" w:cs="Gill Sans"/>
                  <w:szCs w:val="22"/>
                </w:rPr>
                <w:t>Examining the impact of pre-induction social networking on the student transition into higher education</w:t>
              </w:r>
            </w:hyperlink>
            <w:r w:rsidRPr="00076E76">
              <w:rPr>
                <w:rFonts w:ascii="Gill Sans" w:hAnsi="Gill Sans" w:cs="Gill Sans"/>
                <w:szCs w:val="22"/>
              </w:rPr>
              <w:t xml:space="preserve">, </w:t>
            </w:r>
            <w:r w:rsidRPr="00076E76">
              <w:rPr>
                <w:rFonts w:ascii="Gill Sans" w:hAnsi="Gill Sans" w:cs="Gill Sans"/>
                <w:i/>
                <w:szCs w:val="22"/>
              </w:rPr>
              <w:t xml:space="preserve">Innovations in Education and Teaching International, </w:t>
            </w:r>
            <w:r>
              <w:rPr>
                <w:rFonts w:ascii="Gill Sans" w:hAnsi="Gill Sans" w:cs="Gill Sans"/>
                <w:szCs w:val="22"/>
              </w:rPr>
              <w:t>51(4), 355–</w:t>
            </w:r>
            <w:r w:rsidRPr="00076E76">
              <w:rPr>
                <w:rFonts w:ascii="Gill Sans" w:hAnsi="Gill Sans" w:cs="Gill Sans"/>
                <w:szCs w:val="22"/>
              </w:rPr>
              <w:t>365.</w:t>
            </w:r>
          </w:p>
          <w:p w14:paraId="6EE06DD2" w14:textId="77777777" w:rsidR="00F934ED" w:rsidRPr="00076E76" w:rsidRDefault="00F934ED" w:rsidP="00F934ED">
            <w:pPr>
              <w:rPr>
                <w:rFonts w:ascii="Gill Sans" w:hAnsi="Gill Sans" w:cs="Gill Sans"/>
                <w:szCs w:val="22"/>
              </w:rPr>
            </w:pPr>
          </w:p>
          <w:p w14:paraId="32E211B8" w14:textId="77777777" w:rsidR="00F934ED" w:rsidRPr="00076E76" w:rsidRDefault="00F934ED" w:rsidP="00F934ED">
            <w:pPr>
              <w:rPr>
                <w:rFonts w:ascii="Gill Sans" w:hAnsi="Gill Sans" w:cs="Gill Sans"/>
                <w:szCs w:val="22"/>
              </w:rPr>
            </w:pPr>
            <w:r w:rsidRPr="00076E76">
              <w:rPr>
                <w:rFonts w:ascii="Gill Sans" w:hAnsi="Gill Sans" w:cs="Gill Sans"/>
                <w:szCs w:val="22"/>
              </w:rPr>
              <w:t>UK</w:t>
            </w:r>
          </w:p>
          <w:p w14:paraId="49C3A070"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7E194C37" w14:textId="77777777" w:rsidR="00F934ED" w:rsidRPr="00076E76" w:rsidRDefault="00F934ED" w:rsidP="00F934ED">
            <w:pPr>
              <w:rPr>
                <w:rFonts w:ascii="Gill Sans" w:hAnsi="Gill Sans" w:cs="Gill Sans"/>
                <w:szCs w:val="22"/>
              </w:rPr>
            </w:pPr>
          </w:p>
          <w:p w14:paraId="09807CD7" w14:textId="2B8DC774" w:rsidR="00F934ED" w:rsidRPr="00076E76" w:rsidRDefault="00F934ED" w:rsidP="00F934ED">
            <w:pPr>
              <w:rPr>
                <w:rFonts w:ascii="Gill Sans" w:hAnsi="Gill Sans" w:cs="Gill Sans"/>
                <w:szCs w:val="22"/>
              </w:rPr>
            </w:pPr>
            <w:r w:rsidRPr="00076E76">
              <w:rPr>
                <w:rFonts w:ascii="Gill Sans" w:hAnsi="Gill Sans" w:cs="Gill Sans"/>
                <w:szCs w:val="22"/>
              </w:rPr>
              <w:t xml:space="preserve">Keywords: </w:t>
            </w:r>
            <w:r w:rsidRPr="00076E76">
              <w:rPr>
                <w:rFonts w:ascii="Gill Sans" w:hAnsi="Gill Sans" w:cs="Gill Sans"/>
                <w:i/>
                <w:szCs w:val="22"/>
              </w:rPr>
              <w:t>transition; social networking; pre-induction; Geography; English</w:t>
            </w:r>
          </w:p>
        </w:tc>
        <w:tc>
          <w:tcPr>
            <w:tcW w:w="10064" w:type="dxa"/>
          </w:tcPr>
          <w:p w14:paraId="21293FB1" w14:textId="6196EF80"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sidRPr="00076E76">
              <w:rPr>
                <w:rFonts w:ascii="Gill Sans" w:hAnsi="Gill Sans" w:cs="Gill Sans"/>
                <w:color w:val="000000"/>
                <w:szCs w:val="22"/>
                <w:lang w:val="en-AU"/>
              </w:rPr>
              <w:t>UK higher education and students’ transitioning into higher education; use of social networking/ online activities prior to ‘on site’ formal induction [in disciplines of Geography and English]</w:t>
            </w:r>
          </w:p>
          <w:p w14:paraId="7F2D75A3" w14:textId="7134AFEB" w:rsidR="00F934ED" w:rsidRPr="00076E76" w:rsidRDefault="00F934ED" w:rsidP="00F934ED">
            <w:pPr>
              <w:rPr>
                <w:rFonts w:ascii="Gill Sans" w:hAnsi="Gill Sans" w:cs="Gill Sans"/>
                <w:b/>
                <w:color w:val="000000"/>
                <w:szCs w:val="22"/>
                <w:lang w:val="en-AU"/>
              </w:rPr>
            </w:pPr>
            <w:r w:rsidRPr="00076E76">
              <w:rPr>
                <w:rFonts w:ascii="Gill Sans" w:hAnsi="Gill Sans" w:cs="Gill Sans"/>
                <w:b/>
                <w:color w:val="000000"/>
                <w:szCs w:val="22"/>
                <w:lang w:val="en-AU"/>
              </w:rPr>
              <w:t xml:space="preserve">Aim: </w:t>
            </w:r>
            <w:r w:rsidRPr="00076E76">
              <w:rPr>
                <w:rFonts w:ascii="Gill Sans" w:hAnsi="Gill Sans" w:cs="Gill Sans"/>
                <w:color w:val="000000"/>
                <w:szCs w:val="22"/>
                <w:lang w:val="en-AU"/>
              </w:rPr>
              <w:t>To discuss eight factors identified as appearing to ease anxieties for students pre-transition as a result of using university social networking site (‘Ning’).</w:t>
            </w:r>
          </w:p>
          <w:p w14:paraId="0E06E774" w14:textId="77777777" w:rsidR="00F934ED" w:rsidRPr="00076E76" w:rsidRDefault="00F934ED" w:rsidP="00F934ED">
            <w:pPr>
              <w:rPr>
                <w:rFonts w:ascii="Gill Sans" w:hAnsi="Gill Sans" w:cs="Gill Sans"/>
                <w:b/>
                <w:color w:val="000000"/>
                <w:szCs w:val="22"/>
                <w:lang w:val="en-AU"/>
              </w:rPr>
            </w:pPr>
            <w:r w:rsidRPr="00076E76">
              <w:rPr>
                <w:rFonts w:ascii="Gill Sans" w:hAnsi="Gill Sans" w:cs="Gill Sans"/>
                <w:b/>
                <w:color w:val="000000"/>
                <w:szCs w:val="22"/>
                <w:lang w:val="en-AU"/>
              </w:rPr>
              <w:t>Theoretical frame:</w:t>
            </w:r>
          </w:p>
          <w:p w14:paraId="39E9FCB9" w14:textId="5B419E0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“Interpretivist and respondent-led” (p.357). Multi-method: student questionnaire (n=145 joined the pre-induction site, focus groups with students, tutor interviews, online content analysis. Only public messages on Ning = captured and thus = impossible to know how many conversations migrated to Facebook or took place in private messaging</w:t>
            </w:r>
          </w:p>
          <w:p w14:paraId="50125F8B"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Findings: </w:t>
            </w:r>
            <w:r w:rsidRPr="00076E76">
              <w:rPr>
                <w:rFonts w:ascii="Gill Sans" w:hAnsi="Gill Sans" w:cs="Gill Sans"/>
                <w:color w:val="000000"/>
                <w:szCs w:val="22"/>
                <w:lang w:val="en-AU"/>
              </w:rPr>
              <w:t>Geography students/ tutors added more photographs than English (319 to 55) – difference in disciplinary orientation: Geography = more field-work related; English = more text-based interaction (English = 1438 messages compared to 219 Geography).</w:t>
            </w:r>
          </w:p>
          <w:p w14:paraId="0024DC2F" w14:textId="54D66C4E"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Academic course = main topic (20% of messages), followed by discussions about accommodation (17%)</w:t>
            </w:r>
            <w:r w:rsidRPr="00076E76">
              <w:rPr>
                <w:rFonts w:ascii="Gill Sans" w:hAnsi="Gill Sans" w:cs="Gill Sans"/>
                <w:b/>
                <w:color w:val="000000"/>
                <w:szCs w:val="22"/>
                <w:lang w:val="en-AU"/>
              </w:rPr>
              <w:br/>
            </w:r>
            <w:r w:rsidRPr="00076E76">
              <w:rPr>
                <w:rFonts w:ascii="Gill Sans" w:hAnsi="Gill Sans" w:cs="Gill Sans"/>
                <w:color w:val="000000"/>
                <w:szCs w:val="22"/>
                <w:lang w:val="en-AU"/>
              </w:rPr>
              <w:t>Data suggests students found the site relieved anxiety because they could put a name to a face (with both fellow students and tutors) and facilitated meetings between peers.</w:t>
            </w:r>
          </w:p>
          <w:p w14:paraId="1473EAD3" w14:textId="59C6ADC2"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Core argument: </w:t>
            </w:r>
            <w:r w:rsidRPr="00076E76">
              <w:rPr>
                <w:rFonts w:ascii="Gill Sans" w:hAnsi="Gill Sans" w:cs="Gill Sans"/>
                <w:color w:val="000000"/>
                <w:szCs w:val="22"/>
                <w:lang w:val="en-AU"/>
              </w:rPr>
              <w:t>Authors identify 8 key characteristics for staff to develop effective social networks:</w:t>
            </w:r>
          </w:p>
          <w:p w14:paraId="0CB3EAE9" w14:textId="6EC2A359" w:rsidR="00F934ED" w:rsidRPr="00076E76" w:rsidRDefault="00F934ED" w:rsidP="00F934ED">
            <w:pPr>
              <w:pStyle w:val="ListParagraph"/>
              <w:numPr>
                <w:ilvl w:val="0"/>
                <w:numId w:val="13"/>
              </w:numPr>
              <w:rPr>
                <w:rFonts w:ascii="Gill Sans" w:hAnsi="Gill Sans" w:cs="Gill Sans"/>
                <w:color w:val="000000"/>
                <w:szCs w:val="22"/>
                <w:lang w:val="en-AU"/>
              </w:rPr>
            </w:pPr>
            <w:r w:rsidRPr="00076E76">
              <w:rPr>
                <w:rFonts w:ascii="Gill Sans" w:hAnsi="Gill Sans" w:cs="Gill Sans"/>
                <w:color w:val="000000"/>
                <w:szCs w:val="22"/>
                <w:lang w:val="en-AU"/>
              </w:rPr>
              <w:t>High tutor membership and participation</w:t>
            </w:r>
          </w:p>
          <w:p w14:paraId="4FE49D86" w14:textId="77777777" w:rsidR="00F934ED" w:rsidRPr="00076E76" w:rsidRDefault="00F934ED" w:rsidP="00F934ED">
            <w:pPr>
              <w:pStyle w:val="ListParagraph"/>
              <w:numPr>
                <w:ilvl w:val="0"/>
                <w:numId w:val="13"/>
              </w:numPr>
              <w:rPr>
                <w:rFonts w:ascii="Gill Sans" w:hAnsi="Gill Sans" w:cs="Gill Sans"/>
                <w:color w:val="000000"/>
                <w:szCs w:val="22"/>
                <w:lang w:val="en-AU"/>
              </w:rPr>
            </w:pPr>
            <w:r w:rsidRPr="00076E76">
              <w:rPr>
                <w:rFonts w:ascii="Gill Sans" w:hAnsi="Gill Sans" w:cs="Gill Sans"/>
                <w:color w:val="000000"/>
                <w:szCs w:val="22"/>
                <w:lang w:val="en-AU"/>
              </w:rPr>
              <w:t>Show your face</w:t>
            </w:r>
          </w:p>
          <w:p w14:paraId="7FF2EE0D" w14:textId="2C8AA3E2" w:rsidR="00F934ED" w:rsidRPr="00076E76" w:rsidRDefault="00F934ED" w:rsidP="00F934ED">
            <w:pPr>
              <w:pStyle w:val="ListParagraph"/>
              <w:numPr>
                <w:ilvl w:val="0"/>
                <w:numId w:val="13"/>
              </w:numPr>
              <w:rPr>
                <w:rFonts w:ascii="Gill Sans" w:hAnsi="Gill Sans" w:cs="Gill Sans"/>
                <w:color w:val="000000"/>
                <w:szCs w:val="22"/>
                <w:lang w:val="en-AU"/>
              </w:rPr>
            </w:pPr>
            <w:r w:rsidRPr="00076E76">
              <w:rPr>
                <w:rFonts w:ascii="Gill Sans" w:hAnsi="Gill Sans" w:cs="Gill Sans"/>
                <w:color w:val="000000"/>
                <w:szCs w:val="22"/>
                <w:lang w:val="en-AU"/>
              </w:rPr>
              <w:t xml:space="preserve">Give a little </w:t>
            </w:r>
          </w:p>
          <w:p w14:paraId="0A674D8E" w14:textId="77777777" w:rsidR="00F934ED" w:rsidRPr="00076E76" w:rsidRDefault="00F934ED" w:rsidP="00F934ED">
            <w:pPr>
              <w:pStyle w:val="ListParagraph"/>
              <w:numPr>
                <w:ilvl w:val="0"/>
                <w:numId w:val="13"/>
              </w:numPr>
              <w:rPr>
                <w:rFonts w:ascii="Gill Sans" w:hAnsi="Gill Sans" w:cs="Gill Sans"/>
                <w:color w:val="000000"/>
                <w:szCs w:val="22"/>
                <w:lang w:val="en-AU"/>
              </w:rPr>
            </w:pPr>
            <w:r w:rsidRPr="00076E76">
              <w:rPr>
                <w:rFonts w:ascii="Gill Sans" w:hAnsi="Gill Sans" w:cs="Gill Sans"/>
                <w:color w:val="000000"/>
                <w:szCs w:val="22"/>
                <w:lang w:val="en-AU"/>
              </w:rPr>
              <w:t>Prompt responses</w:t>
            </w:r>
          </w:p>
          <w:p w14:paraId="3604C850" w14:textId="77777777" w:rsidR="00F934ED" w:rsidRPr="00076E76" w:rsidRDefault="00F934ED" w:rsidP="00F934ED">
            <w:pPr>
              <w:pStyle w:val="ListParagraph"/>
              <w:numPr>
                <w:ilvl w:val="0"/>
                <w:numId w:val="13"/>
              </w:numPr>
              <w:rPr>
                <w:rFonts w:ascii="Gill Sans" w:hAnsi="Gill Sans" w:cs="Gill Sans"/>
                <w:color w:val="000000"/>
                <w:szCs w:val="22"/>
                <w:lang w:val="en-AU"/>
              </w:rPr>
            </w:pPr>
            <w:r w:rsidRPr="00076E76">
              <w:rPr>
                <w:rFonts w:ascii="Gill Sans" w:hAnsi="Gill Sans" w:cs="Gill Sans"/>
                <w:color w:val="000000"/>
                <w:szCs w:val="22"/>
                <w:lang w:val="en-AU"/>
              </w:rPr>
              <w:t>Encouragement and facilitation of discussions</w:t>
            </w:r>
          </w:p>
          <w:p w14:paraId="4CAFD219" w14:textId="77777777" w:rsidR="00F934ED" w:rsidRPr="00076E76" w:rsidRDefault="00F934ED" w:rsidP="00F934ED">
            <w:pPr>
              <w:pStyle w:val="ListParagraph"/>
              <w:numPr>
                <w:ilvl w:val="0"/>
                <w:numId w:val="13"/>
              </w:numPr>
              <w:rPr>
                <w:rFonts w:ascii="Gill Sans" w:hAnsi="Gill Sans" w:cs="Gill Sans"/>
                <w:color w:val="000000"/>
                <w:szCs w:val="22"/>
                <w:lang w:val="en-AU"/>
              </w:rPr>
            </w:pPr>
            <w:r w:rsidRPr="00076E76">
              <w:rPr>
                <w:rFonts w:ascii="Gill Sans" w:hAnsi="Gill Sans" w:cs="Gill Sans"/>
                <w:color w:val="000000"/>
                <w:szCs w:val="22"/>
                <w:lang w:val="en-AU"/>
              </w:rPr>
              <w:t>Regular refreshing of content</w:t>
            </w:r>
          </w:p>
          <w:p w14:paraId="19618376" w14:textId="77777777" w:rsidR="00F934ED" w:rsidRPr="00076E76" w:rsidRDefault="00F934ED" w:rsidP="00F934ED">
            <w:pPr>
              <w:pStyle w:val="ListParagraph"/>
              <w:numPr>
                <w:ilvl w:val="0"/>
                <w:numId w:val="13"/>
              </w:numPr>
              <w:rPr>
                <w:rFonts w:ascii="Gill Sans" w:hAnsi="Gill Sans" w:cs="Gill Sans"/>
                <w:color w:val="000000"/>
                <w:szCs w:val="22"/>
                <w:lang w:val="en-AU"/>
              </w:rPr>
            </w:pPr>
            <w:r w:rsidRPr="00076E76">
              <w:rPr>
                <w:rFonts w:ascii="Gill Sans" w:hAnsi="Gill Sans" w:cs="Gill Sans"/>
                <w:color w:val="000000"/>
                <w:szCs w:val="22"/>
                <w:lang w:val="en-AU"/>
              </w:rPr>
              <w:t>Opportunity for program-specific information/ interactions</w:t>
            </w:r>
          </w:p>
          <w:p w14:paraId="2141EB38" w14:textId="203B738A" w:rsidR="00F934ED" w:rsidRPr="00076E76" w:rsidRDefault="00F934ED" w:rsidP="00F934ED">
            <w:pPr>
              <w:pStyle w:val="ListParagraph"/>
              <w:numPr>
                <w:ilvl w:val="0"/>
                <w:numId w:val="13"/>
              </w:numPr>
              <w:rPr>
                <w:rFonts w:ascii="Gill Sans" w:hAnsi="Gill Sans" w:cs="Gill Sans"/>
                <w:color w:val="000000"/>
                <w:szCs w:val="22"/>
                <w:lang w:val="en-AU"/>
              </w:rPr>
            </w:pPr>
            <w:r w:rsidRPr="00076E76">
              <w:rPr>
                <w:rFonts w:ascii="Gill Sans" w:hAnsi="Gill Sans" w:cs="Gill Sans"/>
                <w:color w:val="000000"/>
                <w:szCs w:val="22"/>
                <w:lang w:val="en-AU"/>
              </w:rPr>
              <w:t>Prompt invitations to all potential participants (p.363)</w:t>
            </w:r>
          </w:p>
        </w:tc>
      </w:tr>
      <w:tr w:rsidR="00F934ED" w:rsidRPr="00076E76" w14:paraId="5A55EE5C" w14:textId="77777777" w:rsidTr="00ED2F9F">
        <w:tc>
          <w:tcPr>
            <w:tcW w:w="5529" w:type="dxa"/>
            <w:shd w:val="clear" w:color="auto" w:fill="auto"/>
          </w:tcPr>
          <w:p w14:paraId="22A3E04D" w14:textId="268B72F7" w:rsidR="00F934ED" w:rsidRPr="00076E76" w:rsidRDefault="00F934ED" w:rsidP="00F934ED">
            <w:pPr>
              <w:rPr>
                <w:rFonts w:ascii="Gill Sans" w:hAnsi="Gill Sans" w:cs="Gill Sans"/>
                <w:szCs w:val="22"/>
              </w:rPr>
            </w:pPr>
            <w:r w:rsidRPr="00076E76">
              <w:rPr>
                <w:rFonts w:ascii="Gill Sans" w:hAnsi="Gill Sans" w:cs="Gill Sans"/>
                <w:szCs w:val="22"/>
              </w:rPr>
              <w:t xml:space="preserve">Rhodes, C. &amp; </w:t>
            </w:r>
            <w:proofErr w:type="spellStart"/>
            <w:r w:rsidRPr="00076E76">
              <w:rPr>
                <w:rFonts w:ascii="Gill Sans" w:hAnsi="Gill Sans" w:cs="Gill Sans"/>
                <w:szCs w:val="22"/>
              </w:rPr>
              <w:t>Nevill</w:t>
            </w:r>
            <w:proofErr w:type="spellEnd"/>
            <w:r w:rsidRPr="00076E76">
              <w:rPr>
                <w:rFonts w:ascii="Gill Sans" w:hAnsi="Gill Sans" w:cs="Gill Sans"/>
                <w:szCs w:val="22"/>
              </w:rPr>
              <w:t xml:space="preserve">, A. (2004). </w:t>
            </w:r>
            <w:hyperlink r:id="rId121" w:history="1">
              <w:r w:rsidRPr="001A3485">
                <w:rPr>
                  <w:rStyle w:val="Hyperlink"/>
                  <w:rFonts w:ascii="Gill Sans" w:hAnsi="Gill Sans" w:cs="Gill Sans"/>
                  <w:szCs w:val="22"/>
                </w:rPr>
                <w:t>Academic and Social Integration in Higher Education: a survey of satisfaction and dissatisfaction within a first-year education studies cohort at a new university</w:t>
              </w:r>
            </w:hyperlink>
            <w:r w:rsidRPr="00076E76">
              <w:rPr>
                <w:rFonts w:ascii="Gill Sans" w:hAnsi="Gill Sans" w:cs="Gill Sans"/>
                <w:szCs w:val="22"/>
              </w:rPr>
              <w:t xml:space="preserve">, </w:t>
            </w:r>
            <w:r w:rsidRPr="00076E76">
              <w:rPr>
                <w:rFonts w:ascii="Gill Sans" w:hAnsi="Gill Sans" w:cs="Gill Sans"/>
                <w:i/>
                <w:szCs w:val="22"/>
              </w:rPr>
              <w:t xml:space="preserve">Journal of Further and Higher Education, </w:t>
            </w:r>
            <w:r>
              <w:rPr>
                <w:rFonts w:ascii="Gill Sans" w:hAnsi="Gill Sans" w:cs="Gill Sans"/>
                <w:szCs w:val="22"/>
              </w:rPr>
              <w:t>28(2), 179–</w:t>
            </w:r>
            <w:r w:rsidRPr="00076E76">
              <w:rPr>
                <w:rFonts w:ascii="Gill Sans" w:hAnsi="Gill Sans" w:cs="Gill Sans"/>
                <w:szCs w:val="22"/>
              </w:rPr>
              <w:t>193.</w:t>
            </w:r>
          </w:p>
          <w:p w14:paraId="60437A0D" w14:textId="77777777" w:rsidR="00F934ED" w:rsidRPr="00076E76" w:rsidRDefault="00F934ED" w:rsidP="00F934ED">
            <w:pPr>
              <w:rPr>
                <w:rFonts w:ascii="Gill Sans" w:hAnsi="Gill Sans" w:cs="Gill Sans"/>
                <w:szCs w:val="22"/>
              </w:rPr>
            </w:pPr>
          </w:p>
          <w:p w14:paraId="3C8EF7D0" w14:textId="77777777" w:rsidR="00F934ED" w:rsidRDefault="00F934ED" w:rsidP="00F934ED">
            <w:pPr>
              <w:rPr>
                <w:rFonts w:ascii="Gill Sans" w:hAnsi="Gill Sans" w:cs="Gill Sans"/>
                <w:szCs w:val="22"/>
              </w:rPr>
            </w:pPr>
            <w:r w:rsidRPr="00076E76">
              <w:rPr>
                <w:rFonts w:ascii="Gill Sans" w:hAnsi="Gill Sans" w:cs="Gill Sans"/>
                <w:szCs w:val="22"/>
              </w:rPr>
              <w:lastRenderedPageBreak/>
              <w:t>UK</w:t>
            </w:r>
          </w:p>
          <w:p w14:paraId="53C5AC05"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2C0EF704" w14:textId="1291758B" w:rsidR="00F934ED" w:rsidRPr="00076E76" w:rsidRDefault="00F934ED" w:rsidP="00F934ED">
            <w:pPr>
              <w:rPr>
                <w:rFonts w:ascii="Gill Sans" w:hAnsi="Gill Sans" w:cs="Gill Sans"/>
                <w:szCs w:val="22"/>
              </w:rPr>
            </w:pPr>
          </w:p>
        </w:tc>
        <w:tc>
          <w:tcPr>
            <w:tcW w:w="10064" w:type="dxa"/>
          </w:tcPr>
          <w:p w14:paraId="7156FFE7" w14:textId="3A93F21C" w:rsidR="00F934ED" w:rsidRPr="0050151C"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lastRenderedPageBreak/>
              <w:t xml:space="preserve">Context: </w:t>
            </w:r>
            <w:r>
              <w:rPr>
                <w:rFonts w:ascii="Gill Sans" w:hAnsi="Gill Sans" w:cs="Gill Sans"/>
                <w:color w:val="000000"/>
                <w:szCs w:val="22"/>
                <w:lang w:val="en-AU"/>
              </w:rPr>
              <w:t>Transition for diversified cohort of undergraduate education students (traditional and non-traditional) in an English university. Justification for article set against retention/ support/ success of non-traditional students; student (dis)satisfaction</w:t>
            </w:r>
          </w:p>
          <w:p w14:paraId="31A439C7" w14:textId="1FF67778" w:rsidR="00F934ED" w:rsidRPr="008C0CB9"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Pr>
                <w:rFonts w:ascii="Gill Sans" w:hAnsi="Gill Sans" w:cs="Gill Sans"/>
                <w:color w:val="000000"/>
                <w:szCs w:val="22"/>
                <w:lang w:val="en-AU"/>
              </w:rPr>
              <w:t>To explore students’ satisfaction/ dissatisfaction amongst first year university (education) students</w:t>
            </w:r>
          </w:p>
          <w:p w14:paraId="0E0EE7CD" w14:textId="7E1EB5B9" w:rsidR="00F934ED" w:rsidRPr="00515A6D"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Pr>
                <w:rFonts w:ascii="Gill Sans" w:hAnsi="Gill Sans" w:cs="Gill Sans"/>
                <w:color w:val="000000"/>
                <w:szCs w:val="22"/>
                <w:lang w:val="en-AU"/>
              </w:rPr>
              <w:t xml:space="preserve">Focus groups with students (n=10; diverse cohort) to develop a questionnaire on student satisfaction, which was distributed during class (n=185). </w:t>
            </w:r>
            <w:proofErr w:type="spellStart"/>
            <w:r>
              <w:rPr>
                <w:rFonts w:ascii="Gill Sans" w:hAnsi="Gill Sans" w:cs="Gill Sans"/>
                <w:color w:val="000000"/>
                <w:szCs w:val="22"/>
                <w:lang w:val="en-AU"/>
              </w:rPr>
              <w:t>Q’naire</w:t>
            </w:r>
            <w:proofErr w:type="spellEnd"/>
            <w:r>
              <w:rPr>
                <w:rFonts w:ascii="Gill Sans" w:hAnsi="Gill Sans" w:cs="Gill Sans"/>
                <w:color w:val="000000"/>
                <w:szCs w:val="22"/>
                <w:lang w:val="en-AU"/>
              </w:rPr>
              <w:t xml:space="preserve"> had four sections: demographics, motivations </w:t>
            </w:r>
            <w:r>
              <w:rPr>
                <w:rFonts w:ascii="Gill Sans" w:hAnsi="Gill Sans" w:cs="Gill Sans"/>
                <w:color w:val="000000"/>
                <w:szCs w:val="22"/>
                <w:lang w:val="en-AU"/>
              </w:rPr>
              <w:lastRenderedPageBreak/>
              <w:t xml:space="preserve">for attending university, 25 facets of satisfaction, facets deemed deeply satisfying. </w:t>
            </w:r>
          </w:p>
          <w:p w14:paraId="207D5961" w14:textId="77777777" w:rsidR="00F934ED" w:rsidRDefault="00F934ED" w:rsidP="00F934ED">
            <w:pPr>
              <w:rPr>
                <w:rFonts w:ascii="Gill Sans" w:hAnsi="Gill Sans" w:cs="Gill Sans"/>
                <w:b/>
                <w:color w:val="000000"/>
                <w:szCs w:val="22"/>
                <w:lang w:val="en-AU"/>
              </w:rPr>
            </w:pPr>
            <w:r w:rsidRPr="00076E76">
              <w:rPr>
                <w:rFonts w:ascii="Gill Sans" w:hAnsi="Gill Sans" w:cs="Gill Sans"/>
                <w:b/>
                <w:color w:val="000000"/>
                <w:szCs w:val="22"/>
                <w:lang w:val="en-AU"/>
              </w:rPr>
              <w:t xml:space="preserve">Findings: </w:t>
            </w:r>
          </w:p>
          <w:p w14:paraId="22083CE1" w14:textId="77777777" w:rsidR="00F934ED" w:rsidRDefault="00F934ED" w:rsidP="00F934ED">
            <w:pPr>
              <w:rPr>
                <w:rFonts w:ascii="Gill Sans" w:hAnsi="Gill Sans" w:cs="Gill Sans"/>
                <w:color w:val="000000"/>
                <w:szCs w:val="22"/>
                <w:lang w:val="en-AU"/>
              </w:rPr>
            </w:pPr>
            <w:r>
              <w:rPr>
                <w:rFonts w:ascii="Gill Sans" w:hAnsi="Gill Sans" w:cs="Gill Sans"/>
                <w:color w:val="000000"/>
                <w:szCs w:val="22"/>
                <w:lang w:val="en-AU"/>
              </w:rPr>
              <w:t>142/185 = were in first choice university</w:t>
            </w:r>
          </w:p>
          <w:p w14:paraId="7A1C6266" w14:textId="16C84FE7" w:rsidR="00F934ED" w:rsidRDefault="00F934ED" w:rsidP="00F934ED">
            <w:pPr>
              <w:rPr>
                <w:rFonts w:ascii="Gill Sans" w:hAnsi="Gill Sans" w:cs="Gill Sans"/>
                <w:color w:val="000000"/>
                <w:szCs w:val="22"/>
                <w:lang w:val="en-AU"/>
              </w:rPr>
            </w:pPr>
            <w:r>
              <w:rPr>
                <w:rFonts w:ascii="Gill Sans" w:hAnsi="Gill Sans" w:cs="Gill Sans"/>
                <w:color w:val="000000"/>
                <w:szCs w:val="22"/>
                <w:lang w:val="en-AU"/>
              </w:rPr>
              <w:t>Most reported ‘knowledge acquisition’ and improving employment chances as giving intrinsic motivation to study</w:t>
            </w:r>
          </w:p>
          <w:p w14:paraId="1DAE134F" w14:textId="15CBE16B" w:rsidR="00F934ED" w:rsidRDefault="00F934ED" w:rsidP="00F934ED">
            <w:pPr>
              <w:rPr>
                <w:rFonts w:ascii="Gill Sans" w:hAnsi="Gill Sans" w:cs="Gill Sans"/>
                <w:color w:val="000000"/>
                <w:szCs w:val="22"/>
                <w:lang w:val="en-AU"/>
              </w:rPr>
            </w:pPr>
            <w:r>
              <w:rPr>
                <w:rFonts w:ascii="Gill Sans" w:hAnsi="Gill Sans" w:cs="Gill Sans"/>
                <w:color w:val="000000"/>
                <w:szCs w:val="22"/>
                <w:lang w:val="en-AU"/>
              </w:rPr>
              <w:t>Some students reported self-doubt for several reasons (see p.184)</w:t>
            </w:r>
          </w:p>
          <w:p w14:paraId="499391EC" w14:textId="3B1D7592" w:rsidR="00F934ED" w:rsidRDefault="00F934ED" w:rsidP="00F934ED">
            <w:pPr>
              <w:rPr>
                <w:rFonts w:ascii="Gill Sans" w:hAnsi="Gill Sans" w:cs="Gill Sans"/>
                <w:color w:val="000000"/>
                <w:szCs w:val="22"/>
              </w:rPr>
            </w:pPr>
            <w:r>
              <w:rPr>
                <w:rFonts w:ascii="Gill Sans" w:hAnsi="Gill Sans" w:cs="Gill Sans"/>
                <w:color w:val="000000"/>
                <w:szCs w:val="22"/>
                <w:lang w:val="en-AU"/>
              </w:rPr>
              <w:t xml:space="preserve">Most important facet determining satisfaction = </w:t>
            </w:r>
            <w:r w:rsidRPr="00FD3540">
              <w:rPr>
                <w:rFonts w:ascii="Gill Sans" w:hAnsi="Gill Sans" w:cs="Gill Sans"/>
                <w:color w:val="000000"/>
                <w:szCs w:val="22"/>
              </w:rPr>
              <w:t>‘Balance between study and personal life’</w:t>
            </w:r>
          </w:p>
          <w:p w14:paraId="12F577E5" w14:textId="3DDD1F84" w:rsidR="00F934ED" w:rsidRDefault="00F934ED" w:rsidP="00F934ED">
            <w:pPr>
              <w:rPr>
                <w:rFonts w:ascii="Gill Sans" w:hAnsi="Gill Sans" w:cs="Gill Sans"/>
                <w:color w:val="000000"/>
                <w:szCs w:val="22"/>
              </w:rPr>
            </w:pPr>
            <w:r>
              <w:rPr>
                <w:rFonts w:ascii="Gill Sans" w:hAnsi="Gill Sans" w:cs="Gill Sans"/>
                <w:color w:val="000000"/>
                <w:szCs w:val="22"/>
              </w:rPr>
              <w:t>Least important = ‘friendliness of teaching staff’</w:t>
            </w:r>
          </w:p>
          <w:p w14:paraId="670EDEF2" w14:textId="408BDB81" w:rsidR="00F934ED" w:rsidRDefault="00F934ED" w:rsidP="00F934ED">
            <w:pPr>
              <w:rPr>
                <w:rFonts w:ascii="Gill Sans" w:hAnsi="Gill Sans" w:cs="Gill Sans"/>
                <w:color w:val="000000"/>
                <w:szCs w:val="22"/>
              </w:rPr>
            </w:pPr>
            <w:r>
              <w:rPr>
                <w:rFonts w:ascii="Gill Sans" w:hAnsi="Gill Sans" w:cs="Gill Sans"/>
                <w:color w:val="000000"/>
                <w:szCs w:val="22"/>
              </w:rPr>
              <w:t xml:space="preserve">Conversely, top 8 reasons for dissatisfaction = </w:t>
            </w:r>
          </w:p>
          <w:p w14:paraId="6253911F" w14:textId="77777777" w:rsidR="00F934ED" w:rsidRPr="00FD3540" w:rsidRDefault="00F934ED" w:rsidP="00F934ED">
            <w:pPr>
              <w:rPr>
                <w:rFonts w:ascii="Gill Sans" w:hAnsi="Gill Sans" w:cs="Gill Sans"/>
                <w:color w:val="000000"/>
                <w:szCs w:val="22"/>
              </w:rPr>
            </w:pPr>
            <w:r>
              <w:rPr>
                <w:rFonts w:ascii="Gill Sans" w:hAnsi="Gill Sans" w:cs="Gill Sans"/>
                <w:color w:val="000000"/>
                <w:szCs w:val="22"/>
              </w:rPr>
              <w:t>“</w:t>
            </w:r>
            <w:r w:rsidRPr="00FD3540">
              <w:rPr>
                <w:rFonts w:ascii="Gill Sans" w:hAnsi="Gill Sans" w:cs="Gill Sans"/>
                <w:color w:val="000000"/>
                <w:szCs w:val="22"/>
              </w:rPr>
              <w:t>• balance between study and personal life;</w:t>
            </w:r>
          </w:p>
          <w:p w14:paraId="3AF3432E" w14:textId="77777777" w:rsidR="00F934ED" w:rsidRPr="00FD3540" w:rsidRDefault="00F934ED" w:rsidP="00F934ED">
            <w:pPr>
              <w:rPr>
                <w:rFonts w:ascii="Gill Sans" w:hAnsi="Gill Sans" w:cs="Gill Sans"/>
                <w:color w:val="000000"/>
                <w:szCs w:val="22"/>
              </w:rPr>
            </w:pPr>
            <w:r w:rsidRPr="00FD3540">
              <w:rPr>
                <w:rFonts w:ascii="Gill Sans" w:hAnsi="Gill Sans" w:cs="Gill Sans"/>
                <w:color w:val="000000"/>
                <w:szCs w:val="22"/>
              </w:rPr>
              <w:t>• availability of learning resources;</w:t>
            </w:r>
          </w:p>
          <w:p w14:paraId="21650B49" w14:textId="77777777" w:rsidR="00F934ED" w:rsidRPr="00FD3540" w:rsidRDefault="00F934ED" w:rsidP="00F934ED">
            <w:pPr>
              <w:rPr>
                <w:rFonts w:ascii="Gill Sans" w:hAnsi="Gill Sans" w:cs="Gill Sans"/>
                <w:color w:val="000000"/>
                <w:szCs w:val="22"/>
              </w:rPr>
            </w:pPr>
            <w:r w:rsidRPr="00FD3540">
              <w:rPr>
                <w:rFonts w:ascii="Gill Sans" w:hAnsi="Gill Sans" w:cs="Gill Sans"/>
                <w:color w:val="000000"/>
                <w:szCs w:val="22"/>
              </w:rPr>
              <w:t>• society’s views of students;</w:t>
            </w:r>
          </w:p>
          <w:p w14:paraId="3C6EC59D" w14:textId="77777777" w:rsidR="00F934ED" w:rsidRPr="00FD3540" w:rsidRDefault="00F934ED" w:rsidP="00F934ED">
            <w:pPr>
              <w:rPr>
                <w:rFonts w:ascii="Gill Sans" w:hAnsi="Gill Sans" w:cs="Gill Sans"/>
                <w:color w:val="000000"/>
                <w:szCs w:val="22"/>
              </w:rPr>
            </w:pPr>
            <w:r w:rsidRPr="00FD3540">
              <w:rPr>
                <w:rFonts w:ascii="Gill Sans" w:hAnsi="Gill Sans" w:cs="Gill Sans"/>
                <w:color w:val="000000"/>
                <w:szCs w:val="22"/>
              </w:rPr>
              <w:t>• feeling able to cope with workload;</w:t>
            </w:r>
          </w:p>
          <w:p w14:paraId="009FE690" w14:textId="77777777" w:rsidR="00F934ED" w:rsidRPr="00FD3540" w:rsidRDefault="00F934ED" w:rsidP="00F934ED">
            <w:pPr>
              <w:rPr>
                <w:rFonts w:ascii="Gill Sans" w:hAnsi="Gill Sans" w:cs="Gill Sans"/>
                <w:color w:val="000000"/>
                <w:szCs w:val="22"/>
              </w:rPr>
            </w:pPr>
            <w:r w:rsidRPr="00FD3540">
              <w:rPr>
                <w:rFonts w:ascii="Gill Sans" w:hAnsi="Gill Sans" w:cs="Gill Sans"/>
                <w:color w:val="000000"/>
                <w:szCs w:val="22"/>
              </w:rPr>
              <w:t>• physical condition of the learning environment;</w:t>
            </w:r>
          </w:p>
          <w:p w14:paraId="115CE394" w14:textId="77777777" w:rsidR="00F934ED" w:rsidRPr="00FD3540" w:rsidRDefault="00F934ED" w:rsidP="00F934ED">
            <w:pPr>
              <w:rPr>
                <w:rFonts w:ascii="Gill Sans" w:hAnsi="Gill Sans" w:cs="Gill Sans"/>
                <w:color w:val="000000"/>
                <w:szCs w:val="22"/>
              </w:rPr>
            </w:pPr>
            <w:r w:rsidRPr="00FD3540">
              <w:rPr>
                <w:rFonts w:ascii="Gill Sans" w:hAnsi="Gill Sans" w:cs="Gill Sans"/>
                <w:color w:val="000000"/>
                <w:szCs w:val="22"/>
              </w:rPr>
              <w:t>• feeling able to get financial advice;</w:t>
            </w:r>
          </w:p>
          <w:p w14:paraId="33936043" w14:textId="77777777" w:rsidR="00F934ED" w:rsidRPr="00FD3540" w:rsidRDefault="00F934ED" w:rsidP="00F934ED">
            <w:pPr>
              <w:rPr>
                <w:rFonts w:ascii="Gill Sans" w:hAnsi="Gill Sans" w:cs="Gill Sans"/>
                <w:color w:val="000000"/>
                <w:szCs w:val="22"/>
              </w:rPr>
            </w:pPr>
            <w:r w:rsidRPr="00FD3540">
              <w:rPr>
                <w:rFonts w:ascii="Gill Sans" w:hAnsi="Gill Sans" w:cs="Gill Sans"/>
                <w:color w:val="000000"/>
                <w:szCs w:val="22"/>
              </w:rPr>
              <w:t>• variety of assessment techniques;</w:t>
            </w:r>
          </w:p>
          <w:p w14:paraId="1246DBC1" w14:textId="2017A19B" w:rsidR="00F934ED" w:rsidRDefault="00F934ED" w:rsidP="00F934ED">
            <w:pPr>
              <w:rPr>
                <w:rFonts w:ascii="Gill Sans" w:hAnsi="Gill Sans" w:cs="Gill Sans"/>
                <w:color w:val="000000"/>
                <w:szCs w:val="22"/>
              </w:rPr>
            </w:pPr>
            <w:r w:rsidRPr="00FD3540">
              <w:rPr>
                <w:rFonts w:ascii="Gill Sans" w:hAnsi="Gill Sans" w:cs="Gill Sans"/>
                <w:color w:val="000000"/>
                <w:szCs w:val="22"/>
              </w:rPr>
              <w:t>• other students’ views of university life</w:t>
            </w:r>
            <w:r>
              <w:rPr>
                <w:rFonts w:ascii="Gill Sans" w:hAnsi="Gill Sans" w:cs="Gill Sans"/>
                <w:color w:val="000000"/>
                <w:szCs w:val="22"/>
              </w:rPr>
              <w:t>” (p.187)</w:t>
            </w:r>
          </w:p>
          <w:p w14:paraId="7FF1E299" w14:textId="1AF7FDA0" w:rsidR="00F934ED" w:rsidRDefault="00F934ED" w:rsidP="00F934ED">
            <w:pPr>
              <w:rPr>
                <w:rFonts w:ascii="Gill Sans" w:hAnsi="Gill Sans" w:cs="Gill Sans"/>
                <w:color w:val="000000"/>
                <w:szCs w:val="22"/>
              </w:rPr>
            </w:pPr>
            <w:r>
              <w:rPr>
                <w:rFonts w:ascii="Gill Sans" w:hAnsi="Gill Sans" w:cs="Gill Sans"/>
                <w:color w:val="000000"/>
                <w:szCs w:val="22"/>
              </w:rPr>
              <w:t>Women = generally more positive than men about ‘intellectual challenge’; otherwise, little difference found according to demographic differences.</w:t>
            </w:r>
          </w:p>
          <w:p w14:paraId="36C9B52C" w14:textId="77777777" w:rsidR="00F934ED" w:rsidRDefault="00F934ED" w:rsidP="00F934ED">
            <w:pPr>
              <w:rPr>
                <w:rFonts w:ascii="Gill Sans" w:hAnsi="Gill Sans" w:cs="Gill Sans"/>
                <w:color w:val="000000"/>
                <w:szCs w:val="22"/>
              </w:rPr>
            </w:pPr>
            <w:r>
              <w:rPr>
                <w:rFonts w:ascii="Gill Sans" w:hAnsi="Gill Sans" w:cs="Gill Sans"/>
                <w:color w:val="000000"/>
                <w:szCs w:val="22"/>
              </w:rPr>
              <w:t>Facets most likely to retain students:</w:t>
            </w:r>
          </w:p>
          <w:p w14:paraId="4FC8128B" w14:textId="37FF30D8" w:rsidR="00F934ED" w:rsidRPr="00C9033C" w:rsidRDefault="00F934ED" w:rsidP="00F934ED">
            <w:pPr>
              <w:pStyle w:val="ListParagraph"/>
              <w:numPr>
                <w:ilvl w:val="0"/>
                <w:numId w:val="35"/>
              </w:numPr>
              <w:rPr>
                <w:rFonts w:ascii="Gill Sans" w:hAnsi="Gill Sans" w:cs="Gill Sans"/>
                <w:color w:val="000000"/>
                <w:szCs w:val="22"/>
              </w:rPr>
            </w:pPr>
            <w:r w:rsidRPr="00C9033C">
              <w:rPr>
                <w:rFonts w:ascii="Gill Sans" w:hAnsi="Gill Sans" w:cs="Gill Sans"/>
                <w:color w:val="000000"/>
                <w:szCs w:val="22"/>
              </w:rPr>
              <w:t>“Chance to attain desired career/life progress</w:t>
            </w:r>
          </w:p>
          <w:p w14:paraId="497C4EE3" w14:textId="76215B59" w:rsidR="00F934ED" w:rsidRPr="00C9033C" w:rsidRDefault="00F934ED" w:rsidP="00F934ED">
            <w:pPr>
              <w:pStyle w:val="ListParagraph"/>
              <w:numPr>
                <w:ilvl w:val="0"/>
                <w:numId w:val="35"/>
              </w:numPr>
              <w:rPr>
                <w:rFonts w:ascii="Gill Sans" w:hAnsi="Gill Sans" w:cs="Gill Sans"/>
                <w:color w:val="000000"/>
                <w:szCs w:val="22"/>
              </w:rPr>
            </w:pPr>
            <w:r w:rsidRPr="00C9033C">
              <w:rPr>
                <w:rFonts w:ascii="Gill Sans" w:hAnsi="Gill Sans" w:cs="Gill Sans"/>
                <w:color w:val="000000"/>
                <w:szCs w:val="22"/>
              </w:rPr>
              <w:t>Good self-confidence resulting from success</w:t>
            </w:r>
          </w:p>
          <w:p w14:paraId="40EB45FD" w14:textId="39E42968" w:rsidR="00F934ED" w:rsidRPr="00C9033C" w:rsidRDefault="00F934ED" w:rsidP="00F934ED">
            <w:pPr>
              <w:pStyle w:val="ListParagraph"/>
              <w:numPr>
                <w:ilvl w:val="0"/>
                <w:numId w:val="35"/>
              </w:numPr>
              <w:rPr>
                <w:rFonts w:ascii="Gill Sans" w:hAnsi="Gill Sans" w:cs="Gill Sans"/>
                <w:color w:val="000000"/>
                <w:szCs w:val="22"/>
              </w:rPr>
            </w:pPr>
            <w:r w:rsidRPr="00C9033C">
              <w:rPr>
                <w:rFonts w:ascii="Gill Sans" w:hAnsi="Gill Sans" w:cs="Gill Sans"/>
                <w:color w:val="000000"/>
                <w:szCs w:val="22"/>
              </w:rPr>
              <w:t>Stimulating/interesting course</w:t>
            </w:r>
          </w:p>
          <w:p w14:paraId="1CE8C77D" w14:textId="231AFDDF" w:rsidR="00F934ED" w:rsidRPr="00C9033C" w:rsidRDefault="00F934ED" w:rsidP="00F934ED">
            <w:pPr>
              <w:pStyle w:val="ListParagraph"/>
              <w:numPr>
                <w:ilvl w:val="0"/>
                <w:numId w:val="35"/>
              </w:numPr>
              <w:rPr>
                <w:rFonts w:ascii="Gill Sans" w:hAnsi="Gill Sans" w:cs="Gill Sans"/>
                <w:color w:val="000000"/>
                <w:szCs w:val="22"/>
              </w:rPr>
            </w:pPr>
            <w:r w:rsidRPr="00C9033C">
              <w:rPr>
                <w:rFonts w:ascii="Gill Sans" w:hAnsi="Gill Sans" w:cs="Gill Sans"/>
                <w:color w:val="000000"/>
                <w:szCs w:val="22"/>
              </w:rPr>
              <w:t>Support from family/peer group</w:t>
            </w:r>
          </w:p>
          <w:p w14:paraId="2939D250" w14:textId="654E5FF2" w:rsidR="00F934ED" w:rsidRPr="00C9033C" w:rsidRDefault="00F934ED" w:rsidP="00F934ED">
            <w:pPr>
              <w:pStyle w:val="ListParagraph"/>
              <w:numPr>
                <w:ilvl w:val="0"/>
                <w:numId w:val="35"/>
              </w:numPr>
              <w:rPr>
                <w:rFonts w:ascii="Gill Sans" w:hAnsi="Gill Sans" w:cs="Gill Sans"/>
                <w:color w:val="000000"/>
                <w:szCs w:val="22"/>
              </w:rPr>
            </w:pPr>
            <w:r w:rsidRPr="00C9033C">
              <w:rPr>
                <w:rFonts w:ascii="Gill Sans" w:hAnsi="Gill Sans" w:cs="Gill Sans"/>
                <w:color w:val="000000"/>
                <w:szCs w:val="22"/>
              </w:rPr>
              <w:t>Good teaching</w:t>
            </w:r>
          </w:p>
          <w:p w14:paraId="2A4620FA" w14:textId="7D820B6F" w:rsidR="00F934ED" w:rsidRPr="00C9033C" w:rsidRDefault="00F934ED" w:rsidP="00F934ED">
            <w:pPr>
              <w:pStyle w:val="ListParagraph"/>
              <w:numPr>
                <w:ilvl w:val="0"/>
                <w:numId w:val="35"/>
              </w:numPr>
              <w:rPr>
                <w:rFonts w:ascii="Gill Sans" w:hAnsi="Gill Sans" w:cs="Gill Sans"/>
                <w:color w:val="000000"/>
                <w:szCs w:val="22"/>
              </w:rPr>
            </w:pPr>
            <w:r w:rsidRPr="00C9033C">
              <w:rPr>
                <w:rFonts w:ascii="Gill Sans" w:hAnsi="Gill Sans" w:cs="Gill Sans"/>
                <w:color w:val="000000"/>
                <w:szCs w:val="22"/>
              </w:rPr>
              <w:t>Quality of the learning environment</w:t>
            </w:r>
          </w:p>
          <w:p w14:paraId="171A56D9" w14:textId="1E358763" w:rsidR="00F934ED" w:rsidRDefault="00F934ED" w:rsidP="00F934ED">
            <w:pPr>
              <w:pStyle w:val="ListParagraph"/>
              <w:numPr>
                <w:ilvl w:val="0"/>
                <w:numId w:val="35"/>
              </w:numPr>
              <w:rPr>
                <w:rFonts w:ascii="Gill Sans" w:hAnsi="Gill Sans" w:cs="Gill Sans"/>
                <w:color w:val="000000"/>
                <w:szCs w:val="22"/>
              </w:rPr>
            </w:pPr>
            <w:r w:rsidRPr="00C9033C">
              <w:rPr>
                <w:rFonts w:ascii="Gill Sans" w:hAnsi="Gill Sans" w:cs="Gill Sans"/>
                <w:color w:val="000000"/>
                <w:szCs w:val="22"/>
              </w:rPr>
              <w:t>Desire to act as a role model for others</w:t>
            </w:r>
            <w:r>
              <w:rPr>
                <w:rFonts w:ascii="Gill Sans" w:hAnsi="Gill Sans" w:cs="Gill Sans"/>
                <w:color w:val="000000"/>
                <w:szCs w:val="22"/>
              </w:rPr>
              <w:t>” (p.187)</w:t>
            </w:r>
          </w:p>
          <w:p w14:paraId="0311E31A" w14:textId="02BDCFBD" w:rsidR="00F934ED" w:rsidRDefault="00F934ED" w:rsidP="00F934ED">
            <w:pPr>
              <w:rPr>
                <w:rFonts w:ascii="Gill Sans" w:hAnsi="Gill Sans" w:cs="Gill Sans"/>
                <w:color w:val="000000"/>
                <w:szCs w:val="22"/>
              </w:rPr>
            </w:pPr>
            <w:r>
              <w:rPr>
                <w:rFonts w:ascii="Gill Sans" w:hAnsi="Gill Sans" w:cs="Gill Sans"/>
                <w:color w:val="000000"/>
                <w:szCs w:val="22"/>
              </w:rPr>
              <w:t>Reasons that make students likely to drop out:</w:t>
            </w:r>
          </w:p>
          <w:p w14:paraId="1CE81E1B" w14:textId="12E7B47F" w:rsidR="00F934ED" w:rsidRPr="00C9033C" w:rsidRDefault="00F934ED" w:rsidP="00F934ED">
            <w:pPr>
              <w:rPr>
                <w:rFonts w:ascii="Gill Sans" w:hAnsi="Gill Sans" w:cs="Gill Sans"/>
                <w:color w:val="000000"/>
                <w:szCs w:val="22"/>
              </w:rPr>
            </w:pPr>
            <w:r>
              <w:rPr>
                <w:rFonts w:ascii="Gill Sans" w:hAnsi="Gill Sans" w:cs="Gill Sans"/>
                <w:color w:val="000000"/>
                <w:szCs w:val="22"/>
              </w:rPr>
              <w:t>“</w:t>
            </w:r>
            <w:r w:rsidRPr="00C9033C">
              <w:rPr>
                <w:rFonts w:ascii="Gill Sans" w:hAnsi="Gill Sans" w:cs="Gill Sans"/>
                <w:color w:val="000000"/>
                <w:szCs w:val="22"/>
              </w:rPr>
              <w:t>Debt/money worries</w:t>
            </w:r>
          </w:p>
          <w:p w14:paraId="0FD7A5BD" w14:textId="21FF4125" w:rsidR="00F934ED" w:rsidRPr="00C9033C" w:rsidRDefault="00F934ED" w:rsidP="00F934ED">
            <w:pPr>
              <w:rPr>
                <w:rFonts w:ascii="Gill Sans" w:hAnsi="Gill Sans" w:cs="Gill Sans"/>
                <w:color w:val="000000"/>
                <w:szCs w:val="22"/>
              </w:rPr>
            </w:pPr>
            <w:r w:rsidRPr="00C9033C">
              <w:rPr>
                <w:rFonts w:ascii="Gill Sans" w:hAnsi="Gill Sans" w:cs="Gill Sans"/>
                <w:color w:val="000000"/>
                <w:szCs w:val="22"/>
              </w:rPr>
              <w:t>Poor teaching</w:t>
            </w:r>
          </w:p>
          <w:p w14:paraId="5EFDF26A" w14:textId="4AD7FD81" w:rsidR="00F934ED" w:rsidRPr="00C9033C" w:rsidRDefault="00F934ED" w:rsidP="00F934ED">
            <w:pPr>
              <w:rPr>
                <w:rFonts w:ascii="Gill Sans" w:hAnsi="Gill Sans" w:cs="Gill Sans"/>
                <w:color w:val="000000"/>
                <w:szCs w:val="22"/>
              </w:rPr>
            </w:pPr>
            <w:r w:rsidRPr="00C9033C">
              <w:rPr>
                <w:rFonts w:ascii="Gill Sans" w:hAnsi="Gill Sans" w:cs="Gill Sans"/>
                <w:color w:val="000000"/>
                <w:szCs w:val="22"/>
              </w:rPr>
              <w:t>Not coping with the workload</w:t>
            </w:r>
          </w:p>
          <w:p w14:paraId="4F49B389" w14:textId="68EE7E57" w:rsidR="00F934ED" w:rsidRPr="00C9033C" w:rsidRDefault="00F934ED" w:rsidP="00F934ED">
            <w:pPr>
              <w:rPr>
                <w:rFonts w:ascii="Gill Sans" w:hAnsi="Gill Sans" w:cs="Gill Sans"/>
                <w:color w:val="000000"/>
                <w:szCs w:val="22"/>
              </w:rPr>
            </w:pPr>
            <w:r w:rsidRPr="00C9033C">
              <w:rPr>
                <w:rFonts w:ascii="Gill Sans" w:hAnsi="Gill Sans" w:cs="Gill Sans"/>
                <w:color w:val="000000"/>
                <w:szCs w:val="22"/>
              </w:rPr>
              <w:t>Family/work commitments</w:t>
            </w:r>
          </w:p>
          <w:p w14:paraId="59795F3E" w14:textId="6B1DE976" w:rsidR="00F934ED" w:rsidRPr="00C9033C" w:rsidRDefault="00F934ED" w:rsidP="00F934ED">
            <w:pPr>
              <w:rPr>
                <w:rFonts w:ascii="Gill Sans" w:hAnsi="Gill Sans" w:cs="Gill Sans"/>
                <w:color w:val="000000"/>
                <w:szCs w:val="22"/>
              </w:rPr>
            </w:pPr>
            <w:r w:rsidRPr="00C9033C">
              <w:rPr>
                <w:rFonts w:ascii="Gill Sans" w:hAnsi="Gill Sans" w:cs="Gill Sans"/>
                <w:color w:val="000000"/>
                <w:szCs w:val="22"/>
              </w:rPr>
              <w:lastRenderedPageBreak/>
              <w:t>Lack of self-confidence resulting from failure</w:t>
            </w:r>
          </w:p>
          <w:p w14:paraId="2047AA83" w14:textId="39F61901" w:rsidR="00F934ED" w:rsidRPr="00C9033C" w:rsidRDefault="00F934ED" w:rsidP="00F934ED">
            <w:pPr>
              <w:rPr>
                <w:rFonts w:ascii="Gill Sans" w:hAnsi="Gill Sans" w:cs="Gill Sans"/>
                <w:color w:val="000000"/>
                <w:szCs w:val="22"/>
              </w:rPr>
            </w:pPr>
            <w:r w:rsidRPr="00C9033C">
              <w:rPr>
                <w:rFonts w:ascii="Gill Sans" w:hAnsi="Gill Sans" w:cs="Gill Sans"/>
                <w:color w:val="000000"/>
                <w:szCs w:val="22"/>
              </w:rPr>
              <w:t>Poor stimulation/interest in course</w:t>
            </w:r>
          </w:p>
          <w:p w14:paraId="78652706" w14:textId="13C02D53" w:rsidR="00F934ED" w:rsidRPr="00C9033C" w:rsidRDefault="00F934ED" w:rsidP="00F934ED">
            <w:pPr>
              <w:rPr>
                <w:rFonts w:ascii="Gill Sans" w:hAnsi="Gill Sans" w:cs="Gill Sans"/>
                <w:color w:val="000000"/>
                <w:szCs w:val="22"/>
              </w:rPr>
            </w:pPr>
            <w:r w:rsidRPr="00C9033C">
              <w:rPr>
                <w:rFonts w:ascii="Gill Sans" w:hAnsi="Gill Sans" w:cs="Gill Sans"/>
                <w:color w:val="000000"/>
                <w:szCs w:val="22"/>
              </w:rPr>
              <w:t>Travel difficulties</w:t>
            </w:r>
          </w:p>
          <w:p w14:paraId="5B96FD4D" w14:textId="7142A1BF" w:rsidR="00F934ED" w:rsidRPr="00C9033C" w:rsidRDefault="00F934ED" w:rsidP="00F934ED">
            <w:pPr>
              <w:rPr>
                <w:rFonts w:ascii="Gill Sans" w:hAnsi="Gill Sans" w:cs="Gill Sans"/>
                <w:color w:val="000000"/>
                <w:szCs w:val="22"/>
              </w:rPr>
            </w:pPr>
            <w:r w:rsidRPr="00C9033C">
              <w:rPr>
                <w:rFonts w:ascii="Gill Sans" w:hAnsi="Gill Sans" w:cs="Gill Sans"/>
                <w:color w:val="000000"/>
                <w:szCs w:val="22"/>
              </w:rPr>
              <w:t>Alternative route to desired job/career</w:t>
            </w:r>
          </w:p>
          <w:p w14:paraId="72AB59A4" w14:textId="42E87B41" w:rsidR="00F934ED" w:rsidRPr="00C9033C" w:rsidRDefault="00F934ED" w:rsidP="00F934ED">
            <w:pPr>
              <w:rPr>
                <w:rFonts w:ascii="Gill Sans" w:hAnsi="Gill Sans" w:cs="Gill Sans"/>
                <w:color w:val="000000"/>
                <w:szCs w:val="22"/>
              </w:rPr>
            </w:pPr>
            <w:r w:rsidRPr="00C9033C">
              <w:rPr>
                <w:rFonts w:ascii="Gill Sans" w:hAnsi="Gill Sans" w:cs="Gill Sans"/>
                <w:color w:val="000000"/>
                <w:szCs w:val="22"/>
              </w:rPr>
              <w:t>Unfriendliness of other students</w:t>
            </w:r>
            <w:r>
              <w:rPr>
                <w:rFonts w:ascii="Gill Sans" w:hAnsi="Gill Sans" w:cs="Gill Sans"/>
                <w:color w:val="000000"/>
                <w:szCs w:val="22"/>
              </w:rPr>
              <w:t>” (p.188)</w:t>
            </w:r>
          </w:p>
          <w:p w14:paraId="552728D2" w14:textId="1B6CCDDA" w:rsidR="00F934ED" w:rsidRPr="00CC3B0B"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Core argument:</w:t>
            </w:r>
            <w:r>
              <w:rPr>
                <w:rFonts w:ascii="Gill Sans" w:hAnsi="Gill Sans" w:cs="Gill Sans"/>
                <w:b/>
                <w:color w:val="000000"/>
                <w:szCs w:val="22"/>
                <w:lang w:val="en-AU"/>
              </w:rPr>
              <w:t xml:space="preserve"> </w:t>
            </w:r>
            <w:r>
              <w:rPr>
                <w:rFonts w:ascii="Gill Sans" w:hAnsi="Gill Sans" w:cs="Gill Sans"/>
                <w:color w:val="000000"/>
                <w:szCs w:val="22"/>
                <w:lang w:val="en-AU"/>
              </w:rPr>
              <w:t>Although not all facets of student dis/satisfaction are under the control of universities, they can and should design interventions: “</w:t>
            </w:r>
            <w:r w:rsidRPr="009C5C72">
              <w:rPr>
                <w:rFonts w:ascii="Gill Sans" w:hAnsi="Gill Sans" w:cs="Gill Sans"/>
                <w:color w:val="000000"/>
                <w:szCs w:val="22"/>
              </w:rPr>
              <w:t>Intervention will have resonance with</w:t>
            </w:r>
            <w:r>
              <w:rPr>
                <w:rFonts w:ascii="Gill Sans" w:hAnsi="Gill Sans" w:cs="Gill Sans"/>
                <w:color w:val="000000"/>
                <w:szCs w:val="22"/>
              </w:rPr>
              <w:t xml:space="preserve"> </w:t>
            </w:r>
            <w:r w:rsidRPr="009C5C72">
              <w:rPr>
                <w:rFonts w:ascii="Gill Sans" w:hAnsi="Gill Sans" w:cs="Gill Sans"/>
                <w:color w:val="000000"/>
                <w:szCs w:val="22"/>
              </w:rPr>
              <w:t>many institutions given that student non-completion is increasingly being viewed as</w:t>
            </w:r>
            <w:r>
              <w:rPr>
                <w:rFonts w:ascii="Gill Sans" w:hAnsi="Gill Sans" w:cs="Gill Sans"/>
                <w:color w:val="000000"/>
                <w:szCs w:val="22"/>
              </w:rPr>
              <w:t xml:space="preserve"> </w:t>
            </w:r>
            <w:r w:rsidRPr="009C5C72">
              <w:rPr>
                <w:rFonts w:ascii="Gill Sans" w:hAnsi="Gill Sans" w:cs="Gill Sans"/>
                <w:color w:val="000000"/>
                <w:szCs w:val="22"/>
              </w:rPr>
              <w:t>an important institutional performance indicator. Whilst acknowledging that student</w:t>
            </w:r>
            <w:r>
              <w:rPr>
                <w:rFonts w:ascii="Gill Sans" w:hAnsi="Gill Sans" w:cs="Gill Sans"/>
                <w:color w:val="000000"/>
                <w:szCs w:val="22"/>
              </w:rPr>
              <w:t xml:space="preserve"> </w:t>
            </w:r>
            <w:r w:rsidRPr="009C5C72">
              <w:rPr>
                <w:rFonts w:ascii="Gill Sans" w:hAnsi="Gill Sans" w:cs="Gill Sans"/>
                <w:color w:val="000000"/>
                <w:szCs w:val="22"/>
              </w:rPr>
              <w:t>retention must be viewed within institutions as a matter of financial expediency, it</w:t>
            </w:r>
            <w:r>
              <w:rPr>
                <w:rFonts w:ascii="Gill Sans" w:hAnsi="Gill Sans" w:cs="Gill Sans"/>
                <w:color w:val="000000"/>
                <w:szCs w:val="22"/>
              </w:rPr>
              <w:t xml:space="preserve"> </w:t>
            </w:r>
            <w:r w:rsidRPr="009C5C72">
              <w:rPr>
                <w:rFonts w:ascii="Gill Sans" w:hAnsi="Gill Sans" w:cs="Gill Sans"/>
                <w:color w:val="000000"/>
                <w:szCs w:val="22"/>
              </w:rPr>
              <w:t>is also important to view student retention in terms of being an educational issue</w:t>
            </w:r>
            <w:r>
              <w:rPr>
                <w:rFonts w:ascii="Gill Sans" w:hAnsi="Gill Sans" w:cs="Gill Sans"/>
                <w:color w:val="000000"/>
                <w:szCs w:val="22"/>
              </w:rPr>
              <w:t>” (p.189)</w:t>
            </w:r>
            <w:r w:rsidRPr="009C5C72">
              <w:rPr>
                <w:rFonts w:ascii="Gill Sans" w:hAnsi="Gill Sans" w:cs="Gill Sans"/>
                <w:color w:val="000000"/>
                <w:szCs w:val="22"/>
              </w:rPr>
              <w:t>.</w:t>
            </w:r>
          </w:p>
        </w:tc>
      </w:tr>
      <w:tr w:rsidR="00F934ED" w:rsidRPr="00076E76" w14:paraId="4F7D03F0" w14:textId="77777777" w:rsidTr="00C01897">
        <w:tc>
          <w:tcPr>
            <w:tcW w:w="5529" w:type="dxa"/>
            <w:shd w:val="clear" w:color="auto" w:fill="auto"/>
          </w:tcPr>
          <w:p w14:paraId="4F669693" w14:textId="35B6BF81" w:rsidR="00F934ED" w:rsidRPr="00076E76" w:rsidRDefault="00F934ED" w:rsidP="00F934ED">
            <w:pPr>
              <w:rPr>
                <w:rFonts w:ascii="Gill Sans" w:hAnsi="Gill Sans" w:cs="Gill Sans"/>
                <w:szCs w:val="22"/>
                <w:lang w:val="en-GB"/>
              </w:rPr>
            </w:pPr>
            <w:r w:rsidRPr="00076E76">
              <w:rPr>
                <w:rFonts w:ascii="Gill Sans" w:hAnsi="Gill Sans" w:cs="Gill Sans"/>
                <w:szCs w:val="22"/>
                <w:lang w:val="en-GB"/>
              </w:rPr>
              <w:lastRenderedPageBreak/>
              <w:t xml:space="preserve">Scanlon, L.; Rowling, L. &amp; Weber, Z. (2007). </w:t>
            </w:r>
            <w:hyperlink r:id="rId122" w:history="1">
              <w:r w:rsidRPr="001A3485">
                <w:rPr>
                  <w:rStyle w:val="Hyperlink"/>
                  <w:rFonts w:ascii="Gill Sans" w:hAnsi="Gill Sans" w:cs="Gill Sans"/>
                  <w:szCs w:val="22"/>
                  <w:lang w:val="en-GB"/>
                </w:rPr>
                <w:t>‘You don’t have like an identity… you are just lost in a crowd’</w:t>
              </w:r>
            </w:hyperlink>
            <w:r w:rsidRPr="00076E76">
              <w:rPr>
                <w:rFonts w:ascii="Gill Sans" w:hAnsi="Gill Sans" w:cs="Gill Sans"/>
                <w:szCs w:val="22"/>
                <w:lang w:val="en-GB"/>
              </w:rPr>
              <w:t xml:space="preserve">, </w:t>
            </w:r>
            <w:r w:rsidRPr="00076E76">
              <w:rPr>
                <w:rFonts w:ascii="Gill Sans" w:hAnsi="Gill Sans" w:cs="Gill Sans"/>
                <w:i/>
                <w:szCs w:val="22"/>
                <w:lang w:val="en-GB"/>
              </w:rPr>
              <w:t>Journal of Youth Studies</w:t>
            </w:r>
            <w:r>
              <w:rPr>
                <w:rFonts w:ascii="Gill Sans" w:hAnsi="Gill Sans" w:cs="Gill Sans"/>
                <w:szCs w:val="22"/>
                <w:lang w:val="en-GB"/>
              </w:rPr>
              <w:t xml:space="preserve">, 2(1), </w:t>
            </w:r>
            <w:r w:rsidRPr="00076E76">
              <w:rPr>
                <w:rFonts w:ascii="Gill Sans" w:hAnsi="Gill Sans" w:cs="Gill Sans"/>
                <w:szCs w:val="22"/>
                <w:lang w:val="en-GB"/>
              </w:rPr>
              <w:t>223–241.</w:t>
            </w:r>
          </w:p>
          <w:p w14:paraId="585E5430" w14:textId="77777777" w:rsidR="00F934ED" w:rsidRPr="00076E76" w:rsidRDefault="00F934ED" w:rsidP="00F934ED">
            <w:pPr>
              <w:rPr>
                <w:rFonts w:ascii="Gill Sans" w:hAnsi="Gill Sans" w:cs="Gill Sans"/>
                <w:szCs w:val="22"/>
                <w:lang w:val="en-GB"/>
              </w:rPr>
            </w:pPr>
          </w:p>
          <w:p w14:paraId="35D0A588" w14:textId="206B220F" w:rsidR="00F934ED" w:rsidRPr="00076E76" w:rsidRDefault="00F934ED" w:rsidP="00F934ED">
            <w:pPr>
              <w:rPr>
                <w:rFonts w:ascii="Gill Sans" w:hAnsi="Gill Sans" w:cs="Gill Sans"/>
                <w:szCs w:val="22"/>
                <w:lang w:val="en-GB"/>
              </w:rPr>
            </w:pPr>
            <w:r w:rsidRPr="00076E76">
              <w:rPr>
                <w:rFonts w:ascii="Gill Sans" w:hAnsi="Gill Sans" w:cs="Gill Sans"/>
                <w:szCs w:val="22"/>
                <w:lang w:val="en-GB"/>
              </w:rPr>
              <w:t>AUS</w:t>
            </w:r>
          </w:p>
          <w:p w14:paraId="70EEBF87"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5FF25CF6" w14:textId="77777777" w:rsidR="00F934ED" w:rsidRPr="00076E76" w:rsidRDefault="00F934ED" w:rsidP="00F934ED">
            <w:pPr>
              <w:rPr>
                <w:rFonts w:ascii="Gill Sans" w:hAnsi="Gill Sans" w:cs="Gill Sans"/>
                <w:szCs w:val="22"/>
                <w:lang w:val="en-GB"/>
              </w:rPr>
            </w:pPr>
          </w:p>
          <w:p w14:paraId="6FE543CC" w14:textId="46D550D1" w:rsidR="00F934ED" w:rsidRPr="00076E76" w:rsidRDefault="00F934ED" w:rsidP="00F934ED">
            <w:pPr>
              <w:rPr>
                <w:rFonts w:ascii="Gill Sans" w:hAnsi="Gill Sans" w:cs="Gill Sans"/>
                <w:szCs w:val="22"/>
                <w:lang w:val="en-GB"/>
              </w:rPr>
            </w:pPr>
            <w:r w:rsidRPr="00076E76">
              <w:rPr>
                <w:rFonts w:ascii="Gill Sans" w:hAnsi="Gill Sans" w:cs="Gill Sans"/>
                <w:szCs w:val="22"/>
                <w:lang w:val="en-GB"/>
              </w:rPr>
              <w:t>Keywords</w:t>
            </w:r>
            <w:r w:rsidR="00043A90">
              <w:rPr>
                <w:rFonts w:ascii="Gill Sans" w:hAnsi="Gill Sans" w:cs="Gill Sans"/>
                <w:szCs w:val="22"/>
                <w:lang w:val="en-GB"/>
              </w:rPr>
              <w:t xml:space="preserve"> (</w:t>
            </w:r>
            <w:r w:rsidR="00913907">
              <w:rPr>
                <w:rFonts w:ascii="Gill Sans" w:hAnsi="Gill Sans" w:cs="Gill Sans"/>
                <w:szCs w:val="22"/>
                <w:lang w:val="en-GB"/>
              </w:rPr>
              <w:t>Sally’s)</w:t>
            </w:r>
            <w:r w:rsidRPr="00076E76">
              <w:rPr>
                <w:rFonts w:ascii="Gill Sans" w:hAnsi="Gill Sans" w:cs="Gill Sans"/>
                <w:szCs w:val="22"/>
                <w:lang w:val="en-GB"/>
              </w:rPr>
              <w:t xml:space="preserve">: </w:t>
            </w:r>
            <w:r w:rsidRPr="00913907">
              <w:rPr>
                <w:rFonts w:ascii="Gill Sans" w:hAnsi="Gill Sans" w:cs="Gill Sans"/>
                <w:i/>
                <w:szCs w:val="22"/>
                <w:lang w:val="en-GB"/>
              </w:rPr>
              <w:t>identity; loss; transition; emotions</w:t>
            </w:r>
          </w:p>
          <w:p w14:paraId="0ED79E91" w14:textId="77777777" w:rsidR="00F934ED" w:rsidRPr="00076E76" w:rsidRDefault="00F934ED" w:rsidP="00F934ED">
            <w:pPr>
              <w:rPr>
                <w:rFonts w:ascii="Gill Sans" w:hAnsi="Gill Sans" w:cs="Gill Sans"/>
                <w:szCs w:val="22"/>
              </w:rPr>
            </w:pPr>
          </w:p>
        </w:tc>
        <w:tc>
          <w:tcPr>
            <w:tcW w:w="10064" w:type="dxa"/>
          </w:tcPr>
          <w:p w14:paraId="1EB92F99" w14:textId="664558B5"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sidRPr="00076E76">
              <w:rPr>
                <w:rFonts w:ascii="Gill Sans" w:hAnsi="Gill Sans" w:cs="Gill Sans"/>
                <w:color w:val="000000"/>
                <w:szCs w:val="22"/>
                <w:lang w:val="en-AU"/>
              </w:rPr>
              <w:t>Transition as loss experience – student identity discontinuity as a result of ‘knowledge about’ rather than ‘knowledge of’ university. Scopes literature that has pointed to negative aspects of educational transition (lack of connection, dissatisfaction, loneliness and isolation, alienation), leading to attrition. Transition = “</w:t>
            </w:r>
            <w:r w:rsidRPr="00076E76">
              <w:rPr>
                <w:rFonts w:ascii="Gill Sans" w:hAnsi="Gill Sans" w:cs="Gill Sans"/>
                <w:color w:val="000000"/>
                <w:szCs w:val="22"/>
              </w:rPr>
              <w:t xml:space="preserve">a process entailing the loss of taken-for-granted realities and associated identities” (p.224; see Milligan, 2003). Authors situate paper in context of neoliberal/ ‘lean and mean’ higher education system of ‘late modernity’. Scopes theories that help to explore transition (Tinto, Van </w:t>
            </w:r>
            <w:proofErr w:type="spellStart"/>
            <w:r w:rsidRPr="00076E76">
              <w:rPr>
                <w:rFonts w:ascii="Gill Sans" w:hAnsi="Gill Sans" w:cs="Gill Sans"/>
                <w:color w:val="000000"/>
                <w:szCs w:val="22"/>
              </w:rPr>
              <w:t>Gennep</w:t>
            </w:r>
            <w:proofErr w:type="spellEnd"/>
            <w:r w:rsidRPr="00076E76">
              <w:rPr>
                <w:rFonts w:ascii="Gill Sans" w:hAnsi="Gill Sans" w:cs="Gill Sans"/>
                <w:color w:val="000000"/>
                <w:szCs w:val="22"/>
              </w:rPr>
              <w:t>, Bourdieu)</w:t>
            </w:r>
          </w:p>
          <w:p w14:paraId="4163BEB3" w14:textId="77777777" w:rsidR="00F934ED" w:rsidRPr="00076E76" w:rsidRDefault="00F934ED" w:rsidP="00F934ED">
            <w:pPr>
              <w:rPr>
                <w:rFonts w:ascii="Gill Sans" w:hAnsi="Gill Sans" w:cs="Gill Sans"/>
                <w:b/>
                <w:color w:val="000000"/>
                <w:szCs w:val="22"/>
                <w:lang w:val="en-AU"/>
              </w:rPr>
            </w:pPr>
            <w:r w:rsidRPr="00076E76">
              <w:rPr>
                <w:rFonts w:ascii="Gill Sans" w:hAnsi="Gill Sans" w:cs="Gill Sans"/>
                <w:b/>
                <w:color w:val="000000"/>
                <w:szCs w:val="22"/>
                <w:lang w:val="en-AU"/>
              </w:rPr>
              <w:t xml:space="preserve">Aim: </w:t>
            </w:r>
          </w:p>
          <w:p w14:paraId="2A97A2C2" w14:textId="592CAB90"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Theoretical frame: </w:t>
            </w:r>
            <w:r w:rsidRPr="00076E76">
              <w:rPr>
                <w:rFonts w:ascii="Gill Sans" w:hAnsi="Gill Sans" w:cs="Gill Sans"/>
                <w:color w:val="000000"/>
                <w:szCs w:val="22"/>
                <w:lang w:val="en-AU"/>
              </w:rPr>
              <w:t xml:space="preserve">Schutz (1964) – symbolic interactionist framework. Schutz’s argument = people use 3 sources of information (reference schema) to define situations: </w:t>
            </w:r>
            <w:r w:rsidRPr="00076E76">
              <w:rPr>
                <w:rFonts w:ascii="Gill Sans" w:hAnsi="Gill Sans" w:cs="Gill Sans"/>
                <w:color w:val="000000"/>
                <w:szCs w:val="22"/>
              </w:rPr>
              <w:t>previous experience, present goals and interaction with others – leading to ‘knowledge about’ (outsider) rather than ‘knowledge of’ (insider) information. Students’ familiarity with university divides knowledge into ‘layers of relevance’. Offers conceptual discussion of identity (taking a situational and processual view)</w:t>
            </w:r>
          </w:p>
          <w:p w14:paraId="184D702F" w14:textId="7B273F9B"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Questionnaire-based (</w:t>
            </w:r>
            <w:r w:rsidRPr="00076E76">
              <w:rPr>
                <w:rFonts w:ascii="Gill Sans" w:hAnsi="Gill Sans" w:cs="Gill Sans"/>
                <w:color w:val="000000"/>
                <w:szCs w:val="22"/>
              </w:rPr>
              <w:t>‘First Year Students’ Experience of Loss &amp; Academic Performance Questionnaire’)</w:t>
            </w:r>
            <w:r w:rsidRPr="00076E76">
              <w:rPr>
                <w:rFonts w:ascii="Gill Sans" w:hAnsi="Gill Sans" w:cs="Gill Sans"/>
                <w:color w:val="000000"/>
                <w:szCs w:val="22"/>
                <w:lang w:val="en-AU"/>
              </w:rPr>
              <w:t xml:space="preserve">, but qualitatively written. Research conducted in 6 faculties in several diverse universities. Participants = first-year students (n=602). </w:t>
            </w:r>
            <w:proofErr w:type="spellStart"/>
            <w:r w:rsidRPr="00076E76">
              <w:rPr>
                <w:rFonts w:ascii="Gill Sans" w:hAnsi="Gill Sans" w:cs="Gill Sans"/>
                <w:color w:val="000000"/>
                <w:szCs w:val="22"/>
                <w:lang w:val="en-AU"/>
              </w:rPr>
              <w:t>Q’naire</w:t>
            </w:r>
            <w:proofErr w:type="spellEnd"/>
            <w:r w:rsidRPr="00076E76">
              <w:rPr>
                <w:rFonts w:ascii="Gill Sans" w:hAnsi="Gill Sans" w:cs="Gill Sans"/>
                <w:color w:val="000000"/>
                <w:szCs w:val="22"/>
                <w:lang w:val="en-AU"/>
              </w:rPr>
              <w:t xml:space="preserve"> distributed at end of semester 1. 27 students participated in follow-up individual interviews (demographic profile on p.229).</w:t>
            </w:r>
          </w:p>
          <w:p w14:paraId="2BC02322" w14:textId="77777777" w:rsidR="00F934ED" w:rsidRPr="00076E76" w:rsidRDefault="00F934ED" w:rsidP="00F934ED">
            <w:pPr>
              <w:rPr>
                <w:rFonts w:ascii="Gill Sans" w:hAnsi="Gill Sans" w:cs="Gill Sans"/>
                <w:b/>
                <w:color w:val="000000"/>
                <w:szCs w:val="22"/>
                <w:lang w:val="en-AU"/>
              </w:rPr>
            </w:pPr>
            <w:r w:rsidRPr="00076E76">
              <w:rPr>
                <w:rFonts w:ascii="Gill Sans" w:hAnsi="Gill Sans" w:cs="Gill Sans"/>
                <w:b/>
                <w:color w:val="000000"/>
                <w:szCs w:val="22"/>
                <w:lang w:val="en-AU"/>
              </w:rPr>
              <w:t xml:space="preserve">Findings: </w:t>
            </w:r>
          </w:p>
          <w:p w14:paraId="62B38E23" w14:textId="7777777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lang w:val="en-AU"/>
              </w:rPr>
              <w:t>When student encounter transitional challenges = largely due to reliance on past experiences: “</w:t>
            </w:r>
            <w:r w:rsidRPr="00076E76">
              <w:rPr>
                <w:rFonts w:ascii="Gill Sans" w:hAnsi="Gill Sans" w:cs="Gill Sans"/>
                <w:color w:val="000000"/>
                <w:szCs w:val="22"/>
              </w:rPr>
              <w:t xml:space="preserve">These experiences, however, do not prepare students for the learning context of the university nor for the kinds of students they are expected to become. The reason for this is, as we have argued earlier, that they lack the </w:t>
            </w:r>
            <w:proofErr w:type="spellStart"/>
            <w:r w:rsidRPr="00076E76">
              <w:rPr>
                <w:rFonts w:ascii="Gill Sans" w:hAnsi="Gill Sans" w:cs="Gill Sans"/>
                <w:color w:val="000000"/>
                <w:szCs w:val="22"/>
              </w:rPr>
              <w:t>all important</w:t>
            </w:r>
            <w:proofErr w:type="spellEnd"/>
            <w:r w:rsidRPr="00076E76">
              <w:rPr>
                <w:rFonts w:ascii="Gill Sans" w:hAnsi="Gill Sans" w:cs="Gill Sans"/>
                <w:color w:val="000000"/>
                <w:szCs w:val="22"/>
              </w:rPr>
              <w:t xml:space="preserve"> ‘knowledge </w:t>
            </w:r>
            <w:proofErr w:type="gramStart"/>
            <w:r w:rsidRPr="00076E76">
              <w:rPr>
                <w:rFonts w:ascii="Gill Sans" w:hAnsi="Gill Sans" w:cs="Gill Sans"/>
                <w:color w:val="000000"/>
                <w:szCs w:val="22"/>
              </w:rPr>
              <w:t>of ’</w:t>
            </w:r>
            <w:proofErr w:type="gramEnd"/>
            <w:r w:rsidRPr="00076E76">
              <w:rPr>
                <w:rFonts w:ascii="Gill Sans" w:hAnsi="Gill Sans" w:cs="Gill Sans"/>
                <w:color w:val="000000"/>
                <w:szCs w:val="22"/>
              </w:rPr>
              <w:t xml:space="preserve"> the university context, having instead only </w:t>
            </w:r>
            <w:proofErr w:type="spellStart"/>
            <w:r w:rsidRPr="00076E76">
              <w:rPr>
                <w:rFonts w:ascii="Gill Sans" w:hAnsi="Gill Sans" w:cs="Gill Sans"/>
                <w:color w:val="000000"/>
                <w:szCs w:val="22"/>
              </w:rPr>
              <w:t>naı¨ve</w:t>
            </w:r>
            <w:proofErr w:type="spellEnd"/>
            <w:r w:rsidRPr="00076E76">
              <w:rPr>
                <w:rFonts w:ascii="Gill Sans" w:hAnsi="Gill Sans" w:cs="Gill Sans"/>
                <w:color w:val="000000"/>
                <w:szCs w:val="22"/>
              </w:rPr>
              <w:t xml:space="preserve"> ‘knowledge about’ the university” (p.230). This was also true of students who entered via university-based alternative pathway.</w:t>
            </w:r>
          </w:p>
          <w:p w14:paraId="4B37FDB3" w14:textId="7777777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rPr>
              <w:lastRenderedPageBreak/>
              <w:t>Students found it difficult to connect with staff because of their perceived remoteness (compared with ‘teacher as friend’ at school): “When students feel that they are only a number and the lecturer is no longer a friend, then they suffer identity displacement and a sense of loss for past learning situations” (p.232). Also, students reported struggling with inadequate communication of academic expectations/ feedback.</w:t>
            </w:r>
          </w:p>
          <w:p w14:paraId="00EAEC6F" w14:textId="2559595B"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rPr>
              <w:t xml:space="preserve">Students’ loss of identity = related to initial feelings of anonymity (shifting from school friends/ being known). Participants also signaled that the diversity of students = confronting [my word]. Mature age students made more comments about age. </w:t>
            </w:r>
            <w:r w:rsidRPr="00076E76">
              <w:rPr>
                <w:rFonts w:ascii="Gill Sans" w:hAnsi="Gill Sans" w:cs="Gill Sans"/>
                <w:b/>
                <w:color w:val="000000"/>
                <w:szCs w:val="22"/>
                <w:lang w:val="en-AU"/>
              </w:rPr>
              <w:br/>
              <w:t xml:space="preserve">Core argument: </w:t>
            </w:r>
            <w:r w:rsidRPr="00076E76">
              <w:rPr>
                <w:rFonts w:ascii="Gill Sans" w:hAnsi="Gill Sans" w:cs="Gill Sans"/>
                <w:color w:val="000000"/>
                <w:szCs w:val="22"/>
                <w:lang w:val="en-AU"/>
              </w:rPr>
              <w:t>Unfamiliarity with new learning context = poses significant challenges for students. Students “</w:t>
            </w:r>
            <w:r w:rsidRPr="00076E76">
              <w:rPr>
                <w:rFonts w:ascii="Gill Sans" w:hAnsi="Gill Sans" w:cs="Gill Sans"/>
                <w:color w:val="000000"/>
                <w:szCs w:val="22"/>
              </w:rPr>
              <w:t>experience feelings of loss of continuity as they leave behind familiar learning contexts and make the transition to university” (p.237).</w:t>
            </w:r>
          </w:p>
        </w:tc>
      </w:tr>
      <w:tr w:rsidR="00F934ED" w:rsidRPr="00076E76" w14:paraId="44EBA80C" w14:textId="77777777" w:rsidTr="002E557C">
        <w:tc>
          <w:tcPr>
            <w:tcW w:w="5529" w:type="dxa"/>
          </w:tcPr>
          <w:p w14:paraId="3783C233" w14:textId="14DD8D8C" w:rsidR="00F934ED" w:rsidRPr="00076E76" w:rsidRDefault="00F934ED" w:rsidP="00F934ED">
            <w:pPr>
              <w:rPr>
                <w:rFonts w:ascii="Gill Sans" w:hAnsi="Gill Sans" w:cs="Gill Sans"/>
                <w:szCs w:val="22"/>
              </w:rPr>
            </w:pPr>
            <w:r w:rsidRPr="00076E76">
              <w:rPr>
                <w:rFonts w:ascii="Gill Sans" w:hAnsi="Gill Sans" w:cs="Gill Sans"/>
                <w:szCs w:val="22"/>
              </w:rPr>
              <w:lastRenderedPageBreak/>
              <w:t xml:space="preserve">Skinner, K. (2014). </w:t>
            </w:r>
            <w:hyperlink r:id="rId123" w:history="1">
              <w:r w:rsidRPr="001A3485">
                <w:rPr>
                  <w:rStyle w:val="Hyperlink"/>
                  <w:rFonts w:ascii="Gill Sans" w:hAnsi="Gill Sans" w:cs="Gill Sans"/>
                  <w:szCs w:val="22"/>
                </w:rPr>
                <w:t>Bridging gaps and jumping through hoops: First-year History students’ expectations and perceptions of assessment and feedback in a research-intensive UK university</w:t>
              </w:r>
            </w:hyperlink>
            <w:r w:rsidRPr="00076E76">
              <w:rPr>
                <w:rFonts w:ascii="Gill Sans" w:hAnsi="Gill Sans" w:cs="Gill Sans"/>
                <w:szCs w:val="22"/>
              </w:rPr>
              <w:t xml:space="preserve">, </w:t>
            </w:r>
            <w:r w:rsidRPr="00076E76">
              <w:rPr>
                <w:rFonts w:ascii="Gill Sans" w:hAnsi="Gill Sans" w:cs="Gill Sans"/>
                <w:i/>
                <w:szCs w:val="22"/>
              </w:rPr>
              <w:t xml:space="preserve">Arts and Humanities in Higher Education, </w:t>
            </w:r>
            <w:r>
              <w:rPr>
                <w:rFonts w:ascii="Gill Sans" w:hAnsi="Gill Sans" w:cs="Gill Sans"/>
                <w:szCs w:val="22"/>
              </w:rPr>
              <w:t>13(4), 359–376.</w:t>
            </w:r>
          </w:p>
          <w:p w14:paraId="145E9D4F" w14:textId="77777777" w:rsidR="00F934ED" w:rsidRPr="00076E76" w:rsidRDefault="00F934ED" w:rsidP="00F934ED">
            <w:pPr>
              <w:rPr>
                <w:rFonts w:ascii="Gill Sans" w:hAnsi="Gill Sans" w:cs="Gill Sans"/>
                <w:szCs w:val="22"/>
              </w:rPr>
            </w:pPr>
          </w:p>
          <w:p w14:paraId="0CC5A59C" w14:textId="77777777" w:rsidR="00F934ED" w:rsidRPr="00076E76" w:rsidRDefault="00F934ED" w:rsidP="00F934ED">
            <w:pPr>
              <w:rPr>
                <w:rFonts w:ascii="Gill Sans" w:hAnsi="Gill Sans" w:cs="Gill Sans"/>
                <w:szCs w:val="22"/>
              </w:rPr>
            </w:pPr>
            <w:r w:rsidRPr="00076E76">
              <w:rPr>
                <w:rFonts w:ascii="Gill Sans" w:hAnsi="Gill Sans" w:cs="Gill Sans"/>
                <w:szCs w:val="22"/>
              </w:rPr>
              <w:t>UK</w:t>
            </w:r>
          </w:p>
          <w:p w14:paraId="51A16864"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12368BE4" w14:textId="77777777" w:rsidR="00F934ED" w:rsidRPr="00076E76" w:rsidRDefault="00F934ED" w:rsidP="00F934ED">
            <w:pPr>
              <w:rPr>
                <w:rFonts w:ascii="Gill Sans" w:hAnsi="Gill Sans" w:cs="Gill Sans"/>
                <w:szCs w:val="22"/>
              </w:rPr>
            </w:pPr>
          </w:p>
          <w:p w14:paraId="61DA154F" w14:textId="77777777" w:rsidR="00F934ED" w:rsidRPr="00076E76" w:rsidRDefault="00F934ED" w:rsidP="00F934ED">
            <w:pPr>
              <w:rPr>
                <w:rFonts w:ascii="Gill Sans" w:hAnsi="Gill Sans" w:cs="Gill Sans"/>
                <w:szCs w:val="22"/>
              </w:rPr>
            </w:pPr>
          </w:p>
          <w:p w14:paraId="4B296F17" w14:textId="18DD421D" w:rsidR="00F934ED" w:rsidRPr="00076E76" w:rsidRDefault="00F934ED" w:rsidP="00F934ED">
            <w:pPr>
              <w:rPr>
                <w:rFonts w:ascii="Gill Sans" w:hAnsi="Gill Sans" w:cs="Gill Sans"/>
                <w:szCs w:val="22"/>
              </w:rPr>
            </w:pPr>
            <w:r w:rsidRPr="00076E76">
              <w:rPr>
                <w:rFonts w:ascii="Gill Sans" w:hAnsi="Gill Sans" w:cs="Gill Sans"/>
                <w:szCs w:val="22"/>
              </w:rPr>
              <w:t xml:space="preserve">Keywords: </w:t>
            </w:r>
            <w:r w:rsidRPr="00076E76">
              <w:rPr>
                <w:rFonts w:ascii="Gill Sans" w:hAnsi="Gill Sans" w:cs="Gill Sans"/>
                <w:i/>
                <w:szCs w:val="22"/>
              </w:rPr>
              <w:t>Assessment</w:t>
            </w:r>
            <w:r w:rsidR="00913907">
              <w:rPr>
                <w:rFonts w:ascii="Gill Sans" w:hAnsi="Gill Sans" w:cs="Gill Sans"/>
                <w:i/>
                <w:szCs w:val="22"/>
              </w:rPr>
              <w:t>;</w:t>
            </w:r>
            <w:r w:rsidRPr="00076E76">
              <w:rPr>
                <w:rFonts w:ascii="Gill Sans" w:hAnsi="Gill Sans" w:cs="Gill Sans"/>
                <w:i/>
                <w:szCs w:val="22"/>
              </w:rPr>
              <w:t xml:space="preserve"> feedback</w:t>
            </w:r>
            <w:r w:rsidR="00913907">
              <w:rPr>
                <w:rFonts w:ascii="Gill Sans" w:hAnsi="Gill Sans" w:cs="Gill Sans"/>
                <w:i/>
                <w:szCs w:val="22"/>
              </w:rPr>
              <w:t>;</w:t>
            </w:r>
            <w:r w:rsidRPr="00076E76">
              <w:rPr>
                <w:rFonts w:ascii="Gill Sans" w:hAnsi="Gill Sans" w:cs="Gill Sans"/>
                <w:i/>
                <w:szCs w:val="22"/>
              </w:rPr>
              <w:t xml:space="preserve"> history</w:t>
            </w:r>
            <w:r w:rsidR="00913907">
              <w:rPr>
                <w:rFonts w:ascii="Gill Sans" w:hAnsi="Gill Sans" w:cs="Gill Sans"/>
                <w:i/>
                <w:szCs w:val="22"/>
              </w:rPr>
              <w:t>;</w:t>
            </w:r>
            <w:r w:rsidRPr="00076E76">
              <w:rPr>
                <w:rFonts w:ascii="Gill Sans" w:hAnsi="Gill Sans" w:cs="Gill Sans"/>
                <w:i/>
                <w:szCs w:val="22"/>
              </w:rPr>
              <w:t xml:space="preserve"> learning</w:t>
            </w:r>
            <w:r w:rsidR="00913907">
              <w:rPr>
                <w:rFonts w:ascii="Gill Sans" w:hAnsi="Gill Sans" w:cs="Gill Sans"/>
                <w:i/>
                <w:szCs w:val="22"/>
              </w:rPr>
              <w:t xml:space="preserve">; </w:t>
            </w:r>
            <w:r w:rsidRPr="00076E76">
              <w:rPr>
                <w:rFonts w:ascii="Gill Sans" w:hAnsi="Gill Sans" w:cs="Gill Sans"/>
                <w:i/>
                <w:szCs w:val="22"/>
              </w:rPr>
              <w:t>transition</w:t>
            </w:r>
          </w:p>
        </w:tc>
        <w:tc>
          <w:tcPr>
            <w:tcW w:w="10064" w:type="dxa"/>
          </w:tcPr>
          <w:p w14:paraId="18C9FBB5" w14:textId="46296CF8"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sidRPr="00076E76">
              <w:rPr>
                <w:rFonts w:ascii="Gill Sans" w:hAnsi="Gill Sans" w:cs="Gill Sans"/>
                <w:color w:val="000000"/>
                <w:szCs w:val="22"/>
                <w:lang w:val="en-AU"/>
              </w:rPr>
              <w:t xml:space="preserve">UK Russell Group context in first-year History – students’ expectations of assessment and feedback on first year students’ transition. Broadly set in institutional demand to focus on ‘end points’. Scopes assessment literature, noting ‘sustainable learning from feedback’ turn in literature. ‘End points’ create potential disconnect between aims of programs and everyday experience of university teachers. Notes connections between assessment and accountability. Responds to </w:t>
            </w:r>
            <w:proofErr w:type="spellStart"/>
            <w:r w:rsidRPr="00076E76">
              <w:rPr>
                <w:rFonts w:ascii="Gill Sans" w:hAnsi="Gill Sans" w:cs="Gill Sans"/>
                <w:color w:val="000000"/>
                <w:szCs w:val="22"/>
                <w:lang w:val="en-AU"/>
              </w:rPr>
              <w:t>Heiland</w:t>
            </w:r>
            <w:proofErr w:type="spellEnd"/>
            <w:r w:rsidRPr="00076E76">
              <w:rPr>
                <w:rFonts w:ascii="Gill Sans" w:hAnsi="Gill Sans" w:cs="Gill Sans"/>
                <w:color w:val="000000"/>
                <w:szCs w:val="22"/>
                <w:lang w:val="en-AU"/>
              </w:rPr>
              <w:t xml:space="preserve"> &amp; Rosenthal’s (2013) call for more local studies of assessment in context. Works from author’s own experience as teacher; describes own assessment regime. Notes concern with ‘fuzzy criteria’. Notes differences between A-levels and emergence of neo-liberal modes of surveillance (league tables, ‘performance goals’) and examines similarities with higher education – focus = provision of feedback (by teachers) rather than student focus (reception of feedback). Quantitative approaches to feedback (e.g. NSS survey) = raise more questions than they answer</w:t>
            </w:r>
          </w:p>
          <w:p w14:paraId="17CA0E85" w14:textId="3DC6B7FD"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sidRPr="00076E76">
              <w:rPr>
                <w:rFonts w:ascii="Gill Sans" w:hAnsi="Gill Sans" w:cs="Gill Sans"/>
                <w:color w:val="000000"/>
                <w:szCs w:val="22"/>
                <w:lang w:val="en-AU"/>
              </w:rPr>
              <w:t>To explore the first assignment experiences (writing an essay and receiving feedback). To contribute to ‘transition pedagogy’ (Kift 2010)</w:t>
            </w:r>
          </w:p>
          <w:p w14:paraId="3D9BCDE5" w14:textId="74C17124"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Theoretical frame: </w:t>
            </w:r>
            <w:r w:rsidRPr="00913907">
              <w:rPr>
                <w:rFonts w:ascii="Gill Sans" w:hAnsi="Gill Sans" w:cs="Gill Sans"/>
                <w:color w:val="000000"/>
                <w:szCs w:val="22"/>
                <w:lang w:val="en-AU"/>
              </w:rPr>
              <w:t>None explicit</w:t>
            </w:r>
          </w:p>
          <w:p w14:paraId="1D36B245" w14:textId="0ADC0C63"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Qualitative and mixed methods: 1) survey (not massively successful); 2) interviews with A-level teachers about A-level History exam papers; 3) student reference/ focus group for design of questionnaire; 4) design of 2</w:t>
            </w:r>
            <w:r w:rsidRPr="00076E76">
              <w:rPr>
                <w:rFonts w:ascii="Gill Sans" w:hAnsi="Gill Sans" w:cs="Gill Sans"/>
                <w:color w:val="000000"/>
                <w:szCs w:val="22"/>
                <w:vertAlign w:val="superscript"/>
                <w:lang w:val="en-AU"/>
              </w:rPr>
              <w:t>nd</w:t>
            </w:r>
            <w:r w:rsidRPr="00076E76">
              <w:rPr>
                <w:rFonts w:ascii="Gill Sans" w:hAnsi="Gill Sans" w:cs="Gill Sans"/>
                <w:color w:val="000000"/>
                <w:szCs w:val="22"/>
                <w:lang w:val="en-AU"/>
              </w:rPr>
              <w:t xml:space="preserve"> questionnaire (week 10, semester 1 – poor uptake in 2011/12, better uptake when repeated following year – but this was when tuition fees had grown to 9000GBP per year)</w:t>
            </w:r>
          </w:p>
          <w:p w14:paraId="3C1E5DE7" w14:textId="77777777" w:rsidR="00F934ED" w:rsidRPr="00076E76" w:rsidRDefault="00F934ED" w:rsidP="00F934ED">
            <w:pPr>
              <w:rPr>
                <w:rFonts w:ascii="Gill Sans" w:hAnsi="Gill Sans" w:cs="Gill Sans"/>
                <w:b/>
                <w:color w:val="000000"/>
                <w:szCs w:val="22"/>
                <w:lang w:val="en-AU"/>
              </w:rPr>
            </w:pPr>
            <w:r w:rsidRPr="00076E76">
              <w:rPr>
                <w:rFonts w:ascii="Gill Sans" w:hAnsi="Gill Sans" w:cs="Gill Sans"/>
                <w:b/>
                <w:color w:val="000000"/>
                <w:szCs w:val="22"/>
                <w:lang w:val="en-AU"/>
              </w:rPr>
              <w:t xml:space="preserve">Findings: </w:t>
            </w:r>
          </w:p>
          <w:p w14:paraId="5DCAEE0F"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Students in FG = critical of A-levels (‘hoops you have to jump through’; see p.366)</w:t>
            </w:r>
          </w:p>
          <w:p w14:paraId="67935F0F"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Differences in assessment from AS to A2 = perceived as problematic. A2 assessment = closer to university assessment</w:t>
            </w:r>
          </w:p>
          <w:p w14:paraId="2C50B472"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 xml:space="preserve">2 main differences: volume and difficulty of reading; teacher input at the planning stage of writing (unsure of </w:t>
            </w:r>
            <w:r w:rsidRPr="00076E76">
              <w:rPr>
                <w:rFonts w:ascii="Gill Sans" w:hAnsi="Gill Sans" w:cs="Gill Sans"/>
                <w:color w:val="000000"/>
                <w:szCs w:val="22"/>
                <w:lang w:val="en-AU"/>
              </w:rPr>
              <w:lastRenderedPageBreak/>
              <w:t>what to write, ask teacher)</w:t>
            </w:r>
          </w:p>
          <w:p w14:paraId="36F868BC" w14:textId="7DE39430"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Relatively high percentage of students strongly/disagreed that A-levels = useful preparation (42% in 2011/12); students in 2012/13 = more positive (66% = strongly/agreed). Majority students = reading lists need pointers to help students get started and 87% thought teachers should look at essay plans.</w:t>
            </w:r>
          </w:p>
          <w:p w14:paraId="62425A9E" w14:textId="6CE96BF2"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Students = sceptical of formative assessment (‘unassessed essays’) – not seen as useful for next writing (‘essay’) because = different topic. Students in FG thought comments on formative essay = need to be followed up with conversation. Timing and regularity of assessment commented on.</w:t>
            </w:r>
          </w:p>
          <w:p w14:paraId="51DF1FD2" w14:textId="1B2470D3"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Nearly 90% of both groups strongly/agreed that feedback = ‘only useful if it helps you to do better next time’ = “suggests that many students are hostile to summative judgements about ability within an educational setting” (p.369)</w:t>
            </w:r>
          </w:p>
          <w:p w14:paraId="0F9792E9" w14:textId="0EEE2524" w:rsidR="00F934ED" w:rsidRPr="00076E76" w:rsidRDefault="00F934ED" w:rsidP="00F934ED">
            <w:pPr>
              <w:ind w:left="34" w:hanging="34"/>
              <w:rPr>
                <w:rFonts w:ascii="Gill Sans" w:hAnsi="Gill Sans" w:cs="Gill Sans"/>
                <w:color w:val="000000"/>
                <w:szCs w:val="22"/>
                <w:lang w:val="en-AU"/>
              </w:rPr>
            </w:pPr>
            <w:r w:rsidRPr="00076E76">
              <w:rPr>
                <w:rFonts w:ascii="Gill Sans" w:hAnsi="Gill Sans" w:cs="Gill Sans"/>
                <w:b/>
                <w:color w:val="000000"/>
                <w:szCs w:val="22"/>
                <w:lang w:val="en-AU"/>
              </w:rPr>
              <w:t xml:space="preserve">Core argument: </w:t>
            </w:r>
            <w:r w:rsidRPr="00076E76">
              <w:rPr>
                <w:rFonts w:ascii="Gill Sans" w:hAnsi="Gill Sans" w:cs="Gill Sans"/>
                <w:color w:val="000000"/>
                <w:szCs w:val="22"/>
                <w:lang w:val="en-AU"/>
              </w:rPr>
              <w:t>It’s difficult to change assessment/ feedback practices, and underlying cultural and ideological roots, without changing the performance culture. Academic teachers need to develop better understandings of students’ prior educational experiences so as to anticipate understandings of assessment tasks and expectations of feedback. Teachers also need to think about their own ‘fuzzy criteria’ which disconnect from students’ previously explicit criteria (A-levels)</w:t>
            </w:r>
          </w:p>
        </w:tc>
      </w:tr>
      <w:tr w:rsidR="00F934ED" w:rsidRPr="00076E76" w14:paraId="6DF24CB0" w14:textId="77777777" w:rsidTr="00D545AB">
        <w:tc>
          <w:tcPr>
            <w:tcW w:w="5529" w:type="dxa"/>
            <w:shd w:val="clear" w:color="auto" w:fill="auto"/>
          </w:tcPr>
          <w:p w14:paraId="10B7D202" w14:textId="3A4C0AC4" w:rsidR="00F934ED" w:rsidRPr="00076E76" w:rsidRDefault="00F934ED" w:rsidP="00F934ED">
            <w:pPr>
              <w:rPr>
                <w:rFonts w:ascii="Gill Sans" w:hAnsi="Gill Sans" w:cs="Gill Sans"/>
                <w:szCs w:val="22"/>
              </w:rPr>
            </w:pPr>
            <w:r w:rsidRPr="00076E76">
              <w:rPr>
                <w:rFonts w:ascii="Gill Sans" w:hAnsi="Gill Sans" w:cs="Gill Sans"/>
                <w:szCs w:val="22"/>
              </w:rPr>
              <w:lastRenderedPageBreak/>
              <w:t xml:space="preserve">Smith, K. &amp; Hopkins, C. (2005). </w:t>
            </w:r>
            <w:hyperlink r:id="rId124" w:history="1">
              <w:r w:rsidRPr="00A22B05">
                <w:rPr>
                  <w:rStyle w:val="Hyperlink"/>
                  <w:rFonts w:ascii="Gill Sans" w:hAnsi="Gill Sans" w:cs="Gill Sans"/>
                  <w:szCs w:val="22"/>
                </w:rPr>
                <w:t>Great Expectations: Sixth-formers’ perceptions of teaching and learning in degree-level English</w:t>
              </w:r>
            </w:hyperlink>
            <w:r w:rsidRPr="00076E76">
              <w:rPr>
                <w:rFonts w:ascii="Gill Sans" w:hAnsi="Gill Sans" w:cs="Gill Sans"/>
                <w:szCs w:val="22"/>
              </w:rPr>
              <w:t xml:space="preserve">, </w:t>
            </w:r>
            <w:r w:rsidRPr="00076E76">
              <w:rPr>
                <w:rFonts w:ascii="Gill Sans" w:hAnsi="Gill Sans" w:cs="Gill Sans"/>
                <w:i/>
                <w:szCs w:val="22"/>
              </w:rPr>
              <w:t xml:space="preserve">Arts &amp; Humanities in Higher Education, </w:t>
            </w:r>
            <w:r>
              <w:rPr>
                <w:rFonts w:ascii="Gill Sans" w:hAnsi="Gill Sans" w:cs="Gill Sans"/>
                <w:szCs w:val="22"/>
              </w:rPr>
              <w:t>4(3), 304–</w:t>
            </w:r>
            <w:r w:rsidRPr="00076E76">
              <w:rPr>
                <w:rFonts w:ascii="Gill Sans" w:hAnsi="Gill Sans" w:cs="Gill Sans"/>
                <w:szCs w:val="22"/>
              </w:rPr>
              <w:t>328.</w:t>
            </w:r>
          </w:p>
          <w:p w14:paraId="6364A4F4" w14:textId="77777777" w:rsidR="00F934ED" w:rsidRPr="00076E76" w:rsidRDefault="00F934ED" w:rsidP="00F934ED">
            <w:pPr>
              <w:rPr>
                <w:rFonts w:ascii="Gill Sans" w:hAnsi="Gill Sans" w:cs="Gill Sans"/>
                <w:szCs w:val="22"/>
              </w:rPr>
            </w:pPr>
          </w:p>
          <w:p w14:paraId="0F566448" w14:textId="77777777" w:rsidR="00F934ED" w:rsidRDefault="00F934ED" w:rsidP="00F934ED">
            <w:pPr>
              <w:rPr>
                <w:rFonts w:ascii="Gill Sans" w:hAnsi="Gill Sans" w:cs="Gill Sans"/>
                <w:szCs w:val="22"/>
              </w:rPr>
            </w:pPr>
            <w:r w:rsidRPr="00076E76">
              <w:rPr>
                <w:rFonts w:ascii="Gill Sans" w:hAnsi="Gill Sans" w:cs="Gill Sans"/>
                <w:szCs w:val="22"/>
              </w:rPr>
              <w:t>UK</w:t>
            </w:r>
          </w:p>
          <w:p w14:paraId="61652444"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0051E365" w14:textId="77777777" w:rsidR="00F934ED" w:rsidRDefault="00F934ED" w:rsidP="00F934ED">
            <w:pPr>
              <w:rPr>
                <w:rFonts w:ascii="Gill Sans" w:hAnsi="Gill Sans" w:cs="Gill Sans"/>
                <w:szCs w:val="22"/>
              </w:rPr>
            </w:pPr>
          </w:p>
          <w:p w14:paraId="26AC8BA2" w14:textId="0656F0D9" w:rsidR="00F934ED" w:rsidRPr="00076E76" w:rsidRDefault="00F934ED" w:rsidP="00F934ED">
            <w:pPr>
              <w:rPr>
                <w:rFonts w:ascii="Gill Sans" w:hAnsi="Gill Sans" w:cs="Gill Sans"/>
                <w:szCs w:val="22"/>
              </w:rPr>
            </w:pPr>
            <w:r>
              <w:rPr>
                <w:rFonts w:ascii="Gill Sans" w:hAnsi="Gill Sans" w:cs="Gill Sans"/>
                <w:szCs w:val="22"/>
              </w:rPr>
              <w:t xml:space="preserve">Keywords: </w:t>
            </w:r>
            <w:r w:rsidRPr="00D84A03">
              <w:rPr>
                <w:rFonts w:ascii="Gill Sans" w:hAnsi="Gill Sans" w:cs="Gill Sans"/>
                <w:i/>
                <w:szCs w:val="22"/>
              </w:rPr>
              <w:t>A-level, degree level, English studies, expectations, first-year experience, transition</w:t>
            </w:r>
          </w:p>
        </w:tc>
        <w:tc>
          <w:tcPr>
            <w:tcW w:w="10064" w:type="dxa"/>
          </w:tcPr>
          <w:p w14:paraId="090956C4" w14:textId="65DE6CC0" w:rsidR="00F934ED" w:rsidRPr="00915827"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Pr>
                <w:rFonts w:ascii="Gill Sans" w:hAnsi="Gill Sans" w:cs="Gill Sans"/>
                <w:color w:val="000000"/>
                <w:szCs w:val="22"/>
                <w:lang w:val="en-AU"/>
              </w:rPr>
              <w:t>High school (A-levels) students’ expectations of university compared with experiences of university students and lecturers (English literature). Authors note methodological limitations of asking undergraduate students to reflect on their experiences (as was the most common methodological approach at the time of writing); therefore, to explore pre-entry expectations, the authors included A-level students in their study.</w:t>
            </w:r>
          </w:p>
          <w:p w14:paraId="46526236" w14:textId="3E50E0A7" w:rsidR="00F934ED" w:rsidRPr="006F1D2D"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Pr>
                <w:rFonts w:ascii="Gill Sans" w:hAnsi="Gill Sans" w:cs="Gill Sans"/>
                <w:color w:val="000000"/>
                <w:szCs w:val="22"/>
                <w:lang w:val="en-AU"/>
              </w:rPr>
              <w:t>To offer “</w:t>
            </w:r>
            <w:r w:rsidRPr="006F1D2D">
              <w:rPr>
                <w:rFonts w:ascii="Gill Sans" w:hAnsi="Gill Sans" w:cs="Gill Sans"/>
                <w:color w:val="000000"/>
                <w:szCs w:val="22"/>
              </w:rPr>
              <w:t>an account of an approach to understanding pre-higher</w:t>
            </w:r>
            <w:r>
              <w:rPr>
                <w:rFonts w:ascii="Gill Sans" w:hAnsi="Gill Sans" w:cs="Gill Sans"/>
                <w:color w:val="000000"/>
                <w:szCs w:val="22"/>
              </w:rPr>
              <w:t xml:space="preserve"> </w:t>
            </w:r>
            <w:r w:rsidRPr="006F1D2D">
              <w:rPr>
                <w:rFonts w:ascii="Gill Sans" w:hAnsi="Gill Sans" w:cs="Gill Sans"/>
                <w:color w:val="000000"/>
                <w:szCs w:val="22"/>
              </w:rPr>
              <w:t>education students’ expectations of learning in degree level English courses,</w:t>
            </w:r>
            <w:r>
              <w:rPr>
                <w:rFonts w:ascii="Gill Sans" w:hAnsi="Gill Sans" w:cs="Gill Sans"/>
                <w:color w:val="000000"/>
                <w:szCs w:val="22"/>
              </w:rPr>
              <w:t xml:space="preserve"> </w:t>
            </w:r>
            <w:r w:rsidRPr="006F1D2D">
              <w:rPr>
                <w:rFonts w:ascii="Gill Sans" w:hAnsi="Gill Sans" w:cs="Gill Sans"/>
                <w:color w:val="000000"/>
                <w:szCs w:val="22"/>
              </w:rPr>
              <w:t>and of how this might inform and improve approaches to transition</w:t>
            </w:r>
            <w:r>
              <w:rPr>
                <w:rFonts w:ascii="Gill Sans" w:hAnsi="Gill Sans" w:cs="Gill Sans"/>
                <w:color w:val="000000"/>
                <w:szCs w:val="22"/>
              </w:rPr>
              <w:t>” (p.305)</w:t>
            </w:r>
          </w:p>
          <w:p w14:paraId="5E04B805" w14:textId="5241B7E3" w:rsidR="00F934ED" w:rsidRPr="004B71E3"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Pr>
                <w:rFonts w:ascii="Gill Sans" w:hAnsi="Gill Sans" w:cs="Gill Sans"/>
                <w:color w:val="000000"/>
                <w:szCs w:val="22"/>
                <w:lang w:val="en-AU"/>
              </w:rPr>
              <w:t>Broader study = ‘Great Expectations’ project, which involved focus groups with A-level English students (n=35); A-level English teachers (n=6); focus groups with undergraduate English students (n=8); English lecturers (n=7).</w:t>
            </w:r>
          </w:p>
          <w:p w14:paraId="30791B19" w14:textId="77777777" w:rsidR="00F934ED"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Findings: </w:t>
            </w:r>
            <w:r>
              <w:rPr>
                <w:rFonts w:ascii="Gill Sans" w:hAnsi="Gill Sans" w:cs="Gill Sans"/>
                <w:color w:val="000000"/>
                <w:szCs w:val="22"/>
                <w:lang w:val="en-AU"/>
              </w:rPr>
              <w:t xml:space="preserve">Challenges of independent learning: anxiously expected by A-level students; experienced as ‘the major difference’/ a shock by undergraduate students; understood to be a challenge by university lecturers </w:t>
            </w:r>
            <w:r>
              <w:rPr>
                <w:rFonts w:cs="Gill Sans"/>
                <w:color w:val="000000"/>
                <w:szCs w:val="22"/>
                <w:lang w:val="en-AU"/>
              </w:rPr>
              <w:t>—</w:t>
            </w:r>
            <w:r>
              <w:rPr>
                <w:rFonts w:ascii="Gill Sans" w:hAnsi="Gill Sans" w:cs="Gill Sans"/>
                <w:color w:val="000000"/>
                <w:szCs w:val="22"/>
                <w:lang w:val="en-AU"/>
              </w:rPr>
              <w:t xml:space="preserve"> also understood to not be the fault of </w:t>
            </w:r>
            <w:proofErr w:type="gramStart"/>
            <w:r>
              <w:rPr>
                <w:rFonts w:ascii="Gill Sans" w:hAnsi="Gill Sans" w:cs="Gill Sans"/>
                <w:color w:val="000000"/>
                <w:szCs w:val="22"/>
                <w:lang w:val="en-AU"/>
              </w:rPr>
              <w:t>school teachers</w:t>
            </w:r>
            <w:proofErr w:type="gramEnd"/>
            <w:r>
              <w:rPr>
                <w:rFonts w:ascii="Gill Sans" w:hAnsi="Gill Sans" w:cs="Gill Sans"/>
                <w:color w:val="000000"/>
                <w:szCs w:val="22"/>
                <w:lang w:val="en-AU"/>
              </w:rPr>
              <w:t>, who are constrained by teaching for exams. In contrast, A-level teachers viewed themselves as trying to provide opportunities to experience independent learning (but also conceding these efforts are constrained by the curriculum).</w:t>
            </w:r>
          </w:p>
          <w:p w14:paraId="7F7BDE9D" w14:textId="77777777" w:rsidR="00F934ED" w:rsidRDefault="00F934ED" w:rsidP="00F934ED">
            <w:pPr>
              <w:rPr>
                <w:rFonts w:ascii="Gill Sans" w:hAnsi="Gill Sans" w:cs="Gill Sans"/>
                <w:color w:val="000000"/>
                <w:szCs w:val="22"/>
                <w:lang w:val="en-AU"/>
              </w:rPr>
            </w:pPr>
            <w:r>
              <w:rPr>
                <w:rFonts w:ascii="Gill Sans" w:hAnsi="Gill Sans" w:cs="Gill Sans"/>
                <w:color w:val="000000"/>
                <w:szCs w:val="22"/>
                <w:lang w:val="en-AU"/>
              </w:rPr>
              <w:t xml:space="preserve">Mismatched expectations in terms of contact time with lecturers and scheduled individual time with university </w:t>
            </w:r>
            <w:r>
              <w:rPr>
                <w:rFonts w:ascii="Gill Sans" w:hAnsi="Gill Sans" w:cs="Gill Sans"/>
                <w:color w:val="000000"/>
                <w:szCs w:val="22"/>
                <w:lang w:val="en-AU"/>
              </w:rPr>
              <w:lastRenderedPageBreak/>
              <w:t>teaching staff.</w:t>
            </w:r>
          </w:p>
          <w:p w14:paraId="4475956D" w14:textId="1207BF2E" w:rsidR="00F934ED" w:rsidRPr="00F44C2D" w:rsidRDefault="00F934ED" w:rsidP="00F934ED">
            <w:pPr>
              <w:rPr>
                <w:rFonts w:ascii="Gill Sans" w:hAnsi="Gill Sans" w:cs="Gill Sans"/>
                <w:color w:val="000000"/>
                <w:szCs w:val="22"/>
                <w:lang w:val="en-AU"/>
              </w:rPr>
            </w:pPr>
            <w:r>
              <w:rPr>
                <w:rFonts w:ascii="Gill Sans" w:hAnsi="Gill Sans" w:cs="Gill Sans"/>
                <w:color w:val="000000"/>
                <w:szCs w:val="22"/>
                <w:lang w:val="en-AU"/>
              </w:rPr>
              <w:t>Challenges of adapting to reading: some A-level students were anxious about not enjoying the set texts for university level English. Lecturers reflected that new student often underestimate how much reading they have to do; A-level teachers note that they try to prepare their students for the diversity, pace and volume of reading coming. Also, the reading is a lot more guided for A-level study (metaphor of ‘spoon feeding’ invoked on p.313 in student quote); authors suggest that “</w:t>
            </w:r>
            <w:r w:rsidRPr="00EE7EDA">
              <w:rPr>
                <w:rFonts w:ascii="Gill Sans" w:hAnsi="Gill Sans" w:cs="Gill Sans"/>
                <w:color w:val="000000"/>
                <w:szCs w:val="22"/>
              </w:rPr>
              <w:t>students seem to be lacking the skills necessary to approach an unknown</w:t>
            </w:r>
            <w:r>
              <w:rPr>
                <w:rFonts w:ascii="Gill Sans" w:hAnsi="Gill Sans" w:cs="Gill Sans"/>
                <w:color w:val="000000"/>
                <w:szCs w:val="22"/>
              </w:rPr>
              <w:t xml:space="preserve"> </w:t>
            </w:r>
            <w:r w:rsidRPr="00EE7EDA">
              <w:rPr>
                <w:rFonts w:ascii="Gill Sans" w:hAnsi="Gill Sans" w:cs="Gill Sans"/>
                <w:color w:val="000000"/>
                <w:szCs w:val="22"/>
              </w:rPr>
              <w:t>text cold</w:t>
            </w:r>
            <w:r>
              <w:rPr>
                <w:rFonts w:ascii="Gill Sans" w:hAnsi="Gill Sans" w:cs="Gill Sans"/>
                <w:color w:val="000000"/>
                <w:szCs w:val="22"/>
              </w:rPr>
              <w:t>” (p.313). The authors paraphrase the thoughts of Lecturer 7, saying “</w:t>
            </w:r>
            <w:r w:rsidRPr="005A457D">
              <w:rPr>
                <w:rFonts w:ascii="Gill Sans" w:hAnsi="Gill Sans" w:cs="Gill Sans"/>
                <w:color w:val="000000"/>
                <w:szCs w:val="22"/>
              </w:rPr>
              <w:t>Reading has to stop being a leisure activity and become an intellectual one</w:t>
            </w:r>
            <w:r>
              <w:rPr>
                <w:rFonts w:ascii="Gill Sans" w:hAnsi="Gill Sans" w:cs="Gill Sans"/>
                <w:color w:val="000000"/>
                <w:szCs w:val="22"/>
              </w:rPr>
              <w:t xml:space="preserve">” (p.313). </w:t>
            </w:r>
            <w:r w:rsidRPr="00076E76">
              <w:rPr>
                <w:rFonts w:ascii="Gill Sans" w:hAnsi="Gill Sans" w:cs="Gill Sans"/>
                <w:b/>
                <w:color w:val="000000"/>
                <w:szCs w:val="22"/>
                <w:lang w:val="en-AU"/>
              </w:rPr>
              <w:br/>
              <w:t>Core argument:</w:t>
            </w:r>
            <w:r>
              <w:rPr>
                <w:rFonts w:ascii="Gill Sans" w:hAnsi="Gill Sans" w:cs="Gill Sans"/>
                <w:b/>
                <w:color w:val="000000"/>
                <w:szCs w:val="22"/>
                <w:lang w:val="en-AU"/>
              </w:rPr>
              <w:t xml:space="preserve"> </w:t>
            </w:r>
            <w:r>
              <w:rPr>
                <w:rFonts w:ascii="Gill Sans" w:hAnsi="Gill Sans" w:cs="Gill Sans"/>
                <w:color w:val="000000"/>
                <w:szCs w:val="22"/>
                <w:lang w:val="en-AU"/>
              </w:rPr>
              <w:t>Authors note the need/ importance of supporting students more with choosing their courses. Responsibility for transition should be shared between universities and schools/ A-level colleges</w:t>
            </w:r>
          </w:p>
        </w:tc>
      </w:tr>
      <w:tr w:rsidR="00F934ED" w:rsidRPr="00076E76" w14:paraId="34E8B6DC" w14:textId="77777777" w:rsidTr="002E557C">
        <w:tc>
          <w:tcPr>
            <w:tcW w:w="5529" w:type="dxa"/>
          </w:tcPr>
          <w:p w14:paraId="1608D483" w14:textId="7A41149A" w:rsidR="00F934ED" w:rsidRPr="00076E76" w:rsidRDefault="00F934ED" w:rsidP="00F934ED">
            <w:pPr>
              <w:rPr>
                <w:rFonts w:ascii="Gill Sans" w:hAnsi="Gill Sans" w:cs="Gill Sans"/>
                <w:szCs w:val="22"/>
                <w:lang w:val="en-GB"/>
              </w:rPr>
            </w:pPr>
            <w:r w:rsidRPr="00076E76">
              <w:rPr>
                <w:rFonts w:ascii="Gill Sans" w:hAnsi="Gill Sans" w:cs="Gill Sans"/>
                <w:szCs w:val="22"/>
                <w:lang w:val="en-GB"/>
              </w:rPr>
              <w:lastRenderedPageBreak/>
              <w:t xml:space="preserve">Smyth, E. &amp; Banks, J. (2012). </w:t>
            </w:r>
            <w:hyperlink r:id="rId125" w:history="1">
              <w:r w:rsidRPr="005D1C50">
                <w:rPr>
                  <w:rStyle w:val="Hyperlink"/>
                  <w:rFonts w:ascii="Gill Sans" w:hAnsi="Gill Sans" w:cs="Gill Sans"/>
                  <w:szCs w:val="22"/>
                  <w:lang w:val="en-GB"/>
                </w:rPr>
                <w:t>“There was never really any question of anything else”: young people’s agency, institutional habitus and the transition to higher education</w:t>
              </w:r>
            </w:hyperlink>
            <w:r w:rsidRPr="00076E76">
              <w:rPr>
                <w:rFonts w:ascii="Gill Sans" w:hAnsi="Gill Sans" w:cs="Gill Sans"/>
                <w:szCs w:val="22"/>
                <w:lang w:val="en-GB"/>
              </w:rPr>
              <w:t xml:space="preserve">, </w:t>
            </w:r>
            <w:r w:rsidRPr="00076E76">
              <w:rPr>
                <w:rFonts w:ascii="Gill Sans" w:hAnsi="Gill Sans" w:cs="Gill Sans"/>
                <w:i/>
                <w:szCs w:val="22"/>
                <w:lang w:val="en-GB"/>
              </w:rPr>
              <w:t xml:space="preserve">British Journal of Sociology of Education, </w:t>
            </w:r>
            <w:r>
              <w:rPr>
                <w:rFonts w:ascii="Gill Sans" w:hAnsi="Gill Sans" w:cs="Gill Sans"/>
                <w:szCs w:val="22"/>
                <w:lang w:val="en-GB"/>
              </w:rPr>
              <w:t>33(2), 263–</w:t>
            </w:r>
            <w:r w:rsidRPr="00076E76">
              <w:rPr>
                <w:rFonts w:ascii="Gill Sans" w:hAnsi="Gill Sans" w:cs="Gill Sans"/>
                <w:szCs w:val="22"/>
                <w:lang w:val="en-GB"/>
              </w:rPr>
              <w:t>281.</w:t>
            </w:r>
          </w:p>
          <w:p w14:paraId="4788CF9C" w14:textId="77777777" w:rsidR="00F934ED" w:rsidRPr="00076E76" w:rsidRDefault="00F934ED" w:rsidP="00F934ED">
            <w:pPr>
              <w:rPr>
                <w:rFonts w:ascii="Gill Sans" w:hAnsi="Gill Sans" w:cs="Gill Sans"/>
                <w:szCs w:val="22"/>
                <w:lang w:val="en-GB"/>
              </w:rPr>
            </w:pPr>
          </w:p>
          <w:p w14:paraId="66916C4F" w14:textId="73F50E54" w:rsidR="00F934ED" w:rsidRPr="00076E76" w:rsidRDefault="00F934ED" w:rsidP="00F934ED">
            <w:pPr>
              <w:rPr>
                <w:rFonts w:ascii="Gill Sans" w:hAnsi="Gill Sans" w:cs="Gill Sans"/>
                <w:szCs w:val="22"/>
                <w:lang w:val="en-GB"/>
              </w:rPr>
            </w:pPr>
            <w:r w:rsidRPr="00076E76">
              <w:rPr>
                <w:rFonts w:ascii="Gill Sans" w:hAnsi="Gill Sans" w:cs="Gill Sans"/>
                <w:szCs w:val="22"/>
                <w:lang w:val="en-GB"/>
              </w:rPr>
              <w:t>IRE</w:t>
            </w:r>
          </w:p>
          <w:p w14:paraId="382EB7DE"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1B33A17B" w14:textId="77777777" w:rsidR="00F934ED" w:rsidRPr="00076E76" w:rsidRDefault="00F934ED" w:rsidP="00F934ED">
            <w:pPr>
              <w:rPr>
                <w:rFonts w:ascii="Gill Sans" w:hAnsi="Gill Sans" w:cs="Gill Sans"/>
                <w:szCs w:val="22"/>
                <w:lang w:val="en-GB"/>
              </w:rPr>
            </w:pPr>
          </w:p>
          <w:p w14:paraId="2FF3D59D" w14:textId="6DEBAFEF" w:rsidR="00F934ED" w:rsidRPr="00076E76" w:rsidRDefault="00F934ED" w:rsidP="00F934ED">
            <w:pPr>
              <w:rPr>
                <w:rFonts w:ascii="Gill Sans" w:hAnsi="Gill Sans" w:cs="Gill Sans"/>
                <w:szCs w:val="22"/>
                <w:lang w:val="en-GB"/>
              </w:rPr>
            </w:pPr>
            <w:r w:rsidRPr="00076E76">
              <w:rPr>
                <w:rFonts w:ascii="Gill Sans" w:hAnsi="Gill Sans" w:cs="Gill Sans"/>
                <w:szCs w:val="22"/>
                <w:lang w:val="en-GB"/>
              </w:rPr>
              <w:t xml:space="preserve">Keywords: </w:t>
            </w:r>
            <w:r w:rsidRPr="00076E76">
              <w:rPr>
                <w:rFonts w:ascii="Gill Sans" w:hAnsi="Gill Sans" w:cs="Gill Sans"/>
                <w:i/>
                <w:szCs w:val="22"/>
              </w:rPr>
              <w:t>social class; institutional habitus; educational decision-making; secondary schools</w:t>
            </w:r>
          </w:p>
          <w:p w14:paraId="76D52EA9" w14:textId="6B6BEDCC" w:rsidR="00F934ED" w:rsidRPr="00076E76" w:rsidRDefault="00F934ED" w:rsidP="00F934ED">
            <w:pPr>
              <w:rPr>
                <w:rFonts w:ascii="Gill Sans" w:hAnsi="Gill Sans" w:cs="Gill Sans"/>
                <w:szCs w:val="22"/>
                <w:lang w:val="en-GB"/>
              </w:rPr>
            </w:pPr>
          </w:p>
          <w:p w14:paraId="268E943C" w14:textId="77777777" w:rsidR="00F934ED" w:rsidRPr="00076E76" w:rsidRDefault="00F934ED" w:rsidP="00F934ED">
            <w:pPr>
              <w:rPr>
                <w:rFonts w:ascii="Gill Sans" w:hAnsi="Gill Sans" w:cs="Gill Sans"/>
                <w:szCs w:val="22"/>
                <w:lang w:val="en-GB"/>
              </w:rPr>
            </w:pPr>
          </w:p>
          <w:p w14:paraId="6B8E6208" w14:textId="77777777" w:rsidR="00F934ED" w:rsidRPr="00076E76" w:rsidRDefault="00F934ED" w:rsidP="00F934ED">
            <w:pPr>
              <w:rPr>
                <w:rFonts w:ascii="Gill Sans" w:hAnsi="Gill Sans" w:cs="Gill Sans"/>
                <w:szCs w:val="22"/>
                <w:lang w:val="en-GB"/>
              </w:rPr>
            </w:pPr>
          </w:p>
        </w:tc>
        <w:tc>
          <w:tcPr>
            <w:tcW w:w="10064" w:type="dxa"/>
          </w:tcPr>
          <w:p w14:paraId="4EF1D664" w14:textId="28B113CC"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sidRPr="00076E76">
              <w:rPr>
                <w:rFonts w:ascii="Gill Sans" w:hAnsi="Gill Sans" w:cs="Gill Sans"/>
                <w:color w:val="000000"/>
                <w:szCs w:val="22"/>
                <w:lang w:val="en-AU"/>
              </w:rPr>
              <w:t>Access to information/ decision-making about higher education for students and families from different social classes. Transition = not understood as process/ phenomenon/ discourse; rather = choice to go to university (or not) – informed by Irish school system having a ‘transition year’ towards end of compulsory schooling</w:t>
            </w:r>
          </w:p>
          <w:p w14:paraId="2EBA9ECF" w14:textId="3F61DB9E"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sidRPr="00076E76">
              <w:rPr>
                <w:rFonts w:ascii="Gill Sans" w:hAnsi="Gill Sans" w:cs="Gill Sans"/>
                <w:color w:val="000000"/>
                <w:szCs w:val="22"/>
                <w:lang w:val="en-AU"/>
              </w:rPr>
              <w:t>To explore to what extent students from different schools/ social classes have equal access to information about higher education, and to examine the role that schools play in the process</w:t>
            </w:r>
          </w:p>
          <w:p w14:paraId="7B467DD6" w14:textId="52A80B44" w:rsidR="00F934ED" w:rsidRPr="00076E76" w:rsidRDefault="00F934ED" w:rsidP="00F934ED">
            <w:pPr>
              <w:widowControl w:val="0"/>
              <w:autoSpaceDE w:val="0"/>
              <w:autoSpaceDN w:val="0"/>
              <w:adjustRightInd w:val="0"/>
              <w:rPr>
                <w:rFonts w:ascii="Gill Sans" w:hAnsi="Gill Sans" w:cs="Gill Sans"/>
                <w:color w:val="000000"/>
                <w:szCs w:val="22"/>
              </w:rPr>
            </w:pPr>
            <w:r w:rsidRPr="00076E76">
              <w:rPr>
                <w:rFonts w:ascii="Gill Sans" w:hAnsi="Gill Sans" w:cs="Gill Sans"/>
                <w:b/>
                <w:color w:val="000000"/>
                <w:szCs w:val="22"/>
                <w:lang w:val="en-AU"/>
              </w:rPr>
              <w:t xml:space="preserve">Theoretical frame: </w:t>
            </w:r>
            <w:r w:rsidRPr="00076E76">
              <w:rPr>
                <w:rFonts w:ascii="Gill Sans" w:hAnsi="Gill Sans" w:cs="Gill Sans"/>
                <w:color w:val="000000"/>
                <w:szCs w:val="22"/>
                <w:lang w:val="en-AU"/>
              </w:rPr>
              <w:t>Situates paper against social class/ social reproduction (institutional habitus - Bourdieu)/ rational choice arguments about higher education choice – but notes the difference (I.e. habitus = largely not agentic and explicit, whereas rational choice is). Agency = used “</w:t>
            </w:r>
            <w:r w:rsidRPr="00076E76">
              <w:rPr>
                <w:rFonts w:ascii="Gill Sans" w:hAnsi="Gill Sans" w:cs="Gill Sans"/>
                <w:color w:val="000000"/>
                <w:szCs w:val="22"/>
              </w:rPr>
              <w:t>to reflect the conscious decisions made by young people in deciding whether to go to university and which college or course to attend” (p.264). Post-school planning conceptualized as:</w:t>
            </w:r>
          </w:p>
          <w:p w14:paraId="2338D4EB" w14:textId="77777777" w:rsidR="00F934ED" w:rsidRPr="00076E76" w:rsidRDefault="00F934ED" w:rsidP="00F934ED">
            <w:pPr>
              <w:pStyle w:val="ListParagraph"/>
              <w:widowControl w:val="0"/>
              <w:numPr>
                <w:ilvl w:val="0"/>
                <w:numId w:val="28"/>
              </w:numPr>
              <w:autoSpaceDE w:val="0"/>
              <w:autoSpaceDN w:val="0"/>
              <w:adjustRightInd w:val="0"/>
              <w:rPr>
                <w:rFonts w:ascii="Gill Sans" w:hAnsi="Gill Sans" w:cs="Gill Sans"/>
                <w:color w:val="000000"/>
                <w:szCs w:val="22"/>
              </w:rPr>
            </w:pPr>
            <w:r w:rsidRPr="00076E76">
              <w:rPr>
                <w:rFonts w:ascii="Gill Sans" w:hAnsi="Gill Sans" w:cs="Gill Sans"/>
                <w:color w:val="000000"/>
                <w:szCs w:val="22"/>
              </w:rPr>
              <w:t>individual/ familial habitus</w:t>
            </w:r>
          </w:p>
          <w:p w14:paraId="1EEE477F" w14:textId="564D0BC5" w:rsidR="00F934ED" w:rsidRPr="00076E76" w:rsidRDefault="00F934ED" w:rsidP="00F934ED">
            <w:pPr>
              <w:pStyle w:val="ListParagraph"/>
              <w:widowControl w:val="0"/>
              <w:numPr>
                <w:ilvl w:val="0"/>
                <w:numId w:val="28"/>
              </w:numPr>
              <w:autoSpaceDE w:val="0"/>
              <w:autoSpaceDN w:val="0"/>
              <w:adjustRightInd w:val="0"/>
              <w:rPr>
                <w:rFonts w:ascii="Gill Sans" w:hAnsi="Gill Sans" w:cs="Gill Sans"/>
                <w:color w:val="000000"/>
                <w:szCs w:val="22"/>
              </w:rPr>
            </w:pPr>
            <w:r w:rsidRPr="00076E76">
              <w:rPr>
                <w:rFonts w:ascii="Gill Sans" w:hAnsi="Gill Sans" w:cs="Gill Sans"/>
              </w:rPr>
              <w:t>institutional habitus</w:t>
            </w:r>
          </w:p>
          <w:p w14:paraId="64C95A95" w14:textId="336D670F" w:rsidR="00F934ED" w:rsidRPr="00076E76" w:rsidRDefault="00F934ED" w:rsidP="00F934ED">
            <w:pPr>
              <w:pStyle w:val="ListParagraph"/>
              <w:widowControl w:val="0"/>
              <w:numPr>
                <w:ilvl w:val="0"/>
                <w:numId w:val="28"/>
              </w:numPr>
              <w:autoSpaceDE w:val="0"/>
              <w:autoSpaceDN w:val="0"/>
              <w:adjustRightInd w:val="0"/>
              <w:rPr>
                <w:rFonts w:ascii="Gill Sans" w:hAnsi="Gill Sans" w:cs="Gill Sans"/>
                <w:color w:val="000000"/>
                <w:szCs w:val="22"/>
              </w:rPr>
            </w:pPr>
            <w:r w:rsidRPr="00076E76">
              <w:rPr>
                <w:rFonts w:ascii="Gill Sans" w:hAnsi="Gill Sans" w:cs="Gill Sans"/>
              </w:rPr>
              <w:t>agency</w:t>
            </w:r>
          </w:p>
          <w:p w14:paraId="55922A52" w14:textId="6BCD3A10"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Qualitative (part of broader post-primary longitudinal study): questionnaires and in-depth interviews/ focus groups with final-year students and staff from two different high schools (1: middle class, fee-paying = Fig Lane; 2: working class, state school = Barrack Street)</w:t>
            </w:r>
          </w:p>
          <w:p w14:paraId="0DDA9294" w14:textId="77777777" w:rsidR="00F934ED" w:rsidRPr="00076E76" w:rsidRDefault="00F934ED" w:rsidP="00F934ED">
            <w:pPr>
              <w:rPr>
                <w:rFonts w:ascii="Gill Sans" w:hAnsi="Gill Sans" w:cs="Gill Sans"/>
                <w:b/>
                <w:color w:val="000000"/>
                <w:szCs w:val="22"/>
                <w:lang w:val="en-AU"/>
              </w:rPr>
            </w:pPr>
            <w:r w:rsidRPr="00076E76">
              <w:rPr>
                <w:rFonts w:ascii="Gill Sans" w:hAnsi="Gill Sans" w:cs="Gill Sans"/>
                <w:b/>
                <w:color w:val="000000"/>
                <w:szCs w:val="22"/>
                <w:lang w:val="en-AU"/>
              </w:rPr>
              <w:t xml:space="preserve">Findings: </w:t>
            </w:r>
          </w:p>
          <w:p w14:paraId="35618BCE" w14:textId="04A05C1E"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 xml:space="preserve">82% of FL students planned to go to university compared </w:t>
            </w:r>
            <w:proofErr w:type="gramStart"/>
            <w:r w:rsidRPr="00076E76">
              <w:rPr>
                <w:rFonts w:ascii="Gill Sans" w:hAnsi="Gill Sans" w:cs="Gill Sans"/>
                <w:color w:val="000000"/>
                <w:szCs w:val="22"/>
                <w:lang w:val="en-AU"/>
              </w:rPr>
              <w:t>with  52</w:t>
            </w:r>
            <w:proofErr w:type="gramEnd"/>
            <w:r w:rsidRPr="00076E76">
              <w:rPr>
                <w:rFonts w:ascii="Gill Sans" w:hAnsi="Gill Sans" w:cs="Gill Sans"/>
                <w:color w:val="000000"/>
                <w:szCs w:val="22"/>
                <w:lang w:val="en-AU"/>
              </w:rPr>
              <w:t>% of BS students.</w:t>
            </w:r>
          </w:p>
          <w:p w14:paraId="5053AB8A" w14:textId="59BC2ADF"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u w:val="single"/>
                <w:lang w:val="en-AU"/>
              </w:rPr>
              <w:t>Fig Lane</w:t>
            </w:r>
            <w:r w:rsidRPr="00076E76">
              <w:rPr>
                <w:rFonts w:ascii="Gill Sans" w:hAnsi="Gill Sans" w:cs="Gill Sans"/>
                <w:color w:val="000000"/>
                <w:szCs w:val="22"/>
                <w:lang w:val="en-AU"/>
              </w:rPr>
              <w:t>: Many of students from FL = not first-in-family and so could request advice from parents/ siblings (although only a third thought parents were influential on post-school decision-making). Authors note “</w:t>
            </w:r>
            <w:r w:rsidRPr="00076E76">
              <w:rPr>
                <w:rFonts w:ascii="Gill Sans" w:hAnsi="Gill Sans" w:cs="Gill Sans"/>
                <w:color w:val="000000"/>
                <w:szCs w:val="22"/>
              </w:rPr>
              <w:t xml:space="preserve">an extraordinarily high level of expectations and confidence” in FL students about going to university (plan not </w:t>
            </w:r>
            <w:r w:rsidRPr="00076E76">
              <w:rPr>
                <w:rFonts w:ascii="Gill Sans" w:hAnsi="Gill Sans" w:cs="Gill Sans"/>
                <w:color w:val="000000"/>
                <w:szCs w:val="22"/>
              </w:rPr>
              <w:lastRenderedPageBreak/>
              <w:t xml:space="preserve">aspiration). 76% planned to go to university. Students at FL given lots of support from guidance counselor about going to university (but most students = dissatisfied with guidance given) but the orientation/ campus visits organized with elite university = viewed positively by students and staff. Overall, “students’ subjective assessments are most probably based on the multiple </w:t>
            </w:r>
            <w:proofErr w:type="spellStart"/>
            <w:r w:rsidRPr="00076E76">
              <w:rPr>
                <w:rFonts w:ascii="Gill Sans" w:hAnsi="Gill Sans" w:cs="Gill Sans"/>
                <w:color w:val="000000"/>
                <w:szCs w:val="22"/>
              </w:rPr>
              <w:t>habituses</w:t>
            </w:r>
            <w:proofErr w:type="spellEnd"/>
            <w:r w:rsidRPr="00076E76">
              <w:rPr>
                <w:rFonts w:ascii="Gill Sans" w:hAnsi="Gill Sans" w:cs="Gill Sans"/>
                <w:color w:val="000000"/>
                <w:szCs w:val="22"/>
              </w:rPr>
              <w:t xml:space="preserve"> of family and school over longer periods of time” (p.271).</w:t>
            </w:r>
            <w:r w:rsidRPr="00076E76">
              <w:rPr>
                <w:rFonts w:ascii="Gill Sans" w:hAnsi="Gill Sans" w:cs="Gill Sans"/>
                <w:color w:val="000000"/>
                <w:szCs w:val="22"/>
              </w:rPr>
              <w:br/>
            </w:r>
            <w:r w:rsidRPr="00076E76">
              <w:rPr>
                <w:rFonts w:ascii="Gill Sans" w:hAnsi="Gill Sans" w:cs="Gill Sans"/>
                <w:color w:val="000000"/>
                <w:szCs w:val="22"/>
                <w:u w:val="single"/>
              </w:rPr>
              <w:t>Barrack Street:</w:t>
            </w:r>
            <w:r w:rsidRPr="00076E76">
              <w:rPr>
                <w:rFonts w:ascii="Gill Sans" w:hAnsi="Gill Sans" w:cs="Gill Sans"/>
                <w:color w:val="000000"/>
                <w:szCs w:val="22"/>
              </w:rPr>
              <w:t xml:space="preserve"> BS students = generally first-in-family and deference to parents’ influence = considerably higher (75% mothers; 60% fathers) = suggests classed/ gendered difference. Students reported being frustrated by lack of guidance on offer at BS – they felt the onus was on them to collate information about university and students appeared to have a lack of information about courses available and many felt the guidance counselor did not care about them because she is too busy (disputed by interview data from guidance counselor). 59% of BS students wanted more information about different options at uni/ 67% wanted more information about college (compared to 20% at FL). Analysis of the data suggestions expectation gap between students have higher aspirations than teachers/ guidance counselor; “Instead of withdrawing or becoming disengaged from school, students appear to react to these low expectations and are </w:t>
            </w:r>
            <w:proofErr w:type="spellStart"/>
            <w:r w:rsidRPr="00076E76">
              <w:rPr>
                <w:rFonts w:ascii="Gill Sans" w:hAnsi="Gill Sans" w:cs="Gill Sans"/>
                <w:color w:val="000000"/>
                <w:szCs w:val="22"/>
              </w:rPr>
              <w:t>mobilised</w:t>
            </w:r>
            <w:proofErr w:type="spellEnd"/>
            <w:r w:rsidRPr="00076E76">
              <w:rPr>
                <w:rFonts w:ascii="Gill Sans" w:hAnsi="Gill Sans" w:cs="Gill Sans"/>
                <w:color w:val="000000"/>
                <w:szCs w:val="22"/>
              </w:rPr>
              <w:t xml:space="preserve"> to do well at school, which is an unusual form of resistance” (p.275). Peer influence = more important for BS students than for FL students</w:t>
            </w:r>
            <w:r w:rsidRPr="00076E76">
              <w:rPr>
                <w:rFonts w:ascii="Gill Sans" w:hAnsi="Gill Sans" w:cs="Gill Sans"/>
                <w:b/>
                <w:color w:val="000000"/>
                <w:szCs w:val="22"/>
                <w:lang w:val="en-AU"/>
              </w:rPr>
              <w:br/>
              <w:t xml:space="preserve">Core argument: </w:t>
            </w:r>
            <w:r w:rsidRPr="00076E76">
              <w:rPr>
                <w:rFonts w:ascii="Gill Sans" w:hAnsi="Gill Sans" w:cs="Gill Sans"/>
                <w:color w:val="000000"/>
                <w:szCs w:val="22"/>
                <w:lang w:val="en-AU"/>
              </w:rPr>
              <w:t>Students in middle class/ working class schools appeared to have different sets of habitus/ capitals for negotiating the education field. The institutional habitus of the schools “</w:t>
            </w:r>
            <w:r w:rsidRPr="00076E76">
              <w:rPr>
                <w:rFonts w:ascii="Gill Sans" w:hAnsi="Gill Sans" w:cs="Gill Sans"/>
                <w:color w:val="000000"/>
                <w:szCs w:val="22"/>
              </w:rPr>
              <w:t xml:space="preserve">are made manifest through the academic climate and through guidance provision” and “is reflected in the nature of guidance within the school”, impacting on a </w:t>
            </w:r>
            <w:proofErr w:type="gramStart"/>
            <w:r w:rsidRPr="00076E76">
              <w:rPr>
                <w:rFonts w:ascii="Gill Sans" w:hAnsi="Gill Sans" w:cs="Gill Sans"/>
                <w:color w:val="000000"/>
                <w:szCs w:val="22"/>
              </w:rPr>
              <w:t>students</w:t>
            </w:r>
            <w:proofErr w:type="gramEnd"/>
            <w:r w:rsidRPr="00076E76">
              <w:rPr>
                <w:rFonts w:ascii="Gill Sans" w:hAnsi="Gill Sans" w:cs="Gill Sans"/>
                <w:color w:val="000000"/>
                <w:szCs w:val="22"/>
              </w:rPr>
              <w:t xml:space="preserve">’ view of/ approach to/ aspiration or plan for further education. However, the data also demonstrate the students’ agency in obtaining information/ making decisions which is often ignored in similar research: “Young people make rational decisions about attending higher education, but this rationality is ‘bounded’ by their individual, familial and institutional </w:t>
            </w:r>
            <w:proofErr w:type="spellStart"/>
            <w:r w:rsidRPr="00076E76">
              <w:rPr>
                <w:rFonts w:ascii="Gill Sans" w:hAnsi="Gill Sans" w:cs="Gill Sans"/>
                <w:color w:val="000000"/>
                <w:szCs w:val="22"/>
              </w:rPr>
              <w:t>habituses</w:t>
            </w:r>
            <w:proofErr w:type="spellEnd"/>
            <w:r w:rsidRPr="00076E76">
              <w:rPr>
                <w:rFonts w:ascii="Gill Sans" w:hAnsi="Gill Sans" w:cs="Gill Sans"/>
                <w:color w:val="000000"/>
                <w:szCs w:val="22"/>
              </w:rPr>
              <w:t xml:space="preserve"> and it can in no way be assumed that the information to which students have access is complete or impartial” (p.279). For some students, academic achievement = “a form of resistance to classed expectations” (p.279).</w:t>
            </w:r>
          </w:p>
        </w:tc>
      </w:tr>
      <w:tr w:rsidR="00F934ED" w:rsidRPr="00076E76" w14:paraId="25987752" w14:textId="77777777" w:rsidTr="007A6A23">
        <w:tc>
          <w:tcPr>
            <w:tcW w:w="5529" w:type="dxa"/>
            <w:shd w:val="clear" w:color="auto" w:fill="auto"/>
          </w:tcPr>
          <w:p w14:paraId="67EF87D5" w14:textId="2D59A99E" w:rsidR="00F934ED" w:rsidRPr="00DC2261" w:rsidRDefault="00F934ED" w:rsidP="00F934ED">
            <w:pPr>
              <w:rPr>
                <w:rFonts w:ascii="Gill Sans" w:hAnsi="Gill Sans" w:cs="Gill Sans"/>
                <w:bCs/>
                <w:szCs w:val="22"/>
              </w:rPr>
            </w:pPr>
            <w:proofErr w:type="spellStart"/>
            <w:r w:rsidRPr="00076E76">
              <w:rPr>
                <w:rFonts w:ascii="Gill Sans" w:hAnsi="Gill Sans" w:cs="Gill Sans"/>
                <w:szCs w:val="22"/>
              </w:rPr>
              <w:lastRenderedPageBreak/>
              <w:t>Sotardi</w:t>
            </w:r>
            <w:proofErr w:type="spellEnd"/>
            <w:r w:rsidRPr="00076E76">
              <w:rPr>
                <w:rFonts w:ascii="Gill Sans" w:hAnsi="Gill Sans" w:cs="Gill Sans"/>
                <w:szCs w:val="22"/>
              </w:rPr>
              <w:t>, V.</w:t>
            </w:r>
            <w:r>
              <w:rPr>
                <w:rFonts w:ascii="Gill Sans" w:hAnsi="Gill Sans" w:cs="Gill Sans"/>
                <w:szCs w:val="22"/>
              </w:rPr>
              <w:t xml:space="preserve"> &amp; </w:t>
            </w:r>
            <w:proofErr w:type="spellStart"/>
            <w:r>
              <w:rPr>
                <w:rFonts w:ascii="Gill Sans" w:hAnsi="Gill Sans" w:cs="Gill Sans"/>
                <w:szCs w:val="22"/>
              </w:rPr>
              <w:t>Brogt</w:t>
            </w:r>
            <w:proofErr w:type="spellEnd"/>
            <w:r>
              <w:rPr>
                <w:rFonts w:ascii="Gill Sans" w:hAnsi="Gill Sans" w:cs="Gill Sans"/>
                <w:szCs w:val="22"/>
              </w:rPr>
              <w:t xml:space="preserve">, E. (2019). </w:t>
            </w:r>
            <w:hyperlink r:id="rId126" w:history="1">
              <w:r w:rsidRPr="00190932">
                <w:rPr>
                  <w:rStyle w:val="Hyperlink"/>
                  <w:rFonts w:ascii="Gill Sans" w:hAnsi="Gill Sans" w:cs="Gill Sans"/>
                  <w:bCs/>
                  <w:szCs w:val="22"/>
                </w:rPr>
                <w:t>Influences of learning strategies on assessment experiences and outcomes during the transition to university, Studies in Higher Education</w:t>
              </w:r>
            </w:hyperlink>
            <w:r w:rsidRPr="00DC2261">
              <w:rPr>
                <w:rFonts w:ascii="Gill Sans" w:hAnsi="Gill Sans" w:cs="Gill Sans"/>
                <w:bCs/>
                <w:szCs w:val="22"/>
              </w:rPr>
              <w:t>, DOI: 10.1080/03075079.2019.1647411</w:t>
            </w:r>
            <w:r>
              <w:rPr>
                <w:rFonts w:ascii="Gill Sans" w:hAnsi="Gill Sans" w:cs="Gill Sans"/>
                <w:bCs/>
                <w:szCs w:val="22"/>
              </w:rPr>
              <w:t xml:space="preserve">. </w:t>
            </w:r>
          </w:p>
          <w:p w14:paraId="50A326FC" w14:textId="167BDC68" w:rsidR="00F934ED" w:rsidRDefault="00F934ED" w:rsidP="00F934ED">
            <w:pPr>
              <w:rPr>
                <w:rFonts w:ascii="Gill Sans" w:hAnsi="Gill Sans" w:cs="Gill Sans"/>
                <w:szCs w:val="22"/>
              </w:rPr>
            </w:pPr>
          </w:p>
          <w:p w14:paraId="13D30E25" w14:textId="77777777" w:rsidR="00F934ED" w:rsidRDefault="00F934ED" w:rsidP="00F934ED">
            <w:pPr>
              <w:rPr>
                <w:rFonts w:ascii="Gill Sans" w:hAnsi="Gill Sans" w:cs="Gill Sans"/>
                <w:szCs w:val="22"/>
              </w:rPr>
            </w:pPr>
            <w:r>
              <w:rPr>
                <w:rFonts w:ascii="Gill Sans" w:hAnsi="Gill Sans" w:cs="Gill Sans"/>
                <w:szCs w:val="22"/>
              </w:rPr>
              <w:t>NZ</w:t>
            </w:r>
          </w:p>
          <w:p w14:paraId="22D269E6" w14:textId="09049EBF" w:rsidR="00F934ED" w:rsidRDefault="00F934ED" w:rsidP="00F934ED">
            <w:pPr>
              <w:rPr>
                <w:rFonts w:ascii="Gill Sans" w:hAnsi="Gill Sans" w:cs="Gill Sans"/>
                <w:szCs w:val="22"/>
              </w:rPr>
            </w:pPr>
            <w:r>
              <w:rPr>
                <w:rFonts w:ascii="Gill Sans" w:hAnsi="Gill Sans" w:cs="Gill Sans"/>
                <w:szCs w:val="22"/>
              </w:rPr>
              <w:t xml:space="preserve">Annotation by </w:t>
            </w:r>
            <w:r w:rsidRPr="00A37BCE">
              <w:rPr>
                <w:rFonts w:ascii="Gill Sans" w:hAnsi="Gill Sans" w:cs="Gill Sans"/>
                <w:szCs w:val="22"/>
              </w:rPr>
              <w:t>Caitlyn McLoughlin</w:t>
            </w:r>
          </w:p>
          <w:p w14:paraId="114ABE43" w14:textId="77777777" w:rsidR="00F934ED" w:rsidRDefault="00F934ED" w:rsidP="00F934ED">
            <w:pPr>
              <w:rPr>
                <w:rFonts w:ascii="Gill Sans" w:hAnsi="Gill Sans" w:cs="Gill Sans"/>
                <w:szCs w:val="22"/>
              </w:rPr>
            </w:pPr>
          </w:p>
          <w:p w14:paraId="7B71BEA4" w14:textId="4AA9E43D" w:rsidR="00F934ED" w:rsidRPr="00A37BCE" w:rsidRDefault="00F934ED" w:rsidP="00F934ED">
            <w:pPr>
              <w:rPr>
                <w:rFonts w:ascii="Gill Sans" w:hAnsi="Gill Sans" w:cs="Gill Sans"/>
                <w:i/>
                <w:szCs w:val="22"/>
              </w:rPr>
            </w:pPr>
            <w:r>
              <w:rPr>
                <w:rFonts w:ascii="Gill Sans" w:hAnsi="Gill Sans" w:cs="Gill Sans"/>
                <w:szCs w:val="22"/>
              </w:rPr>
              <w:t xml:space="preserve">Keywords: </w:t>
            </w:r>
            <w:r>
              <w:rPr>
                <w:rFonts w:ascii="Gill Sans" w:hAnsi="Gill Sans" w:cs="Gill Sans"/>
                <w:i/>
                <w:szCs w:val="22"/>
              </w:rPr>
              <w:t>learning; motivation; self-efficacy; anxiety; transition</w:t>
            </w:r>
          </w:p>
          <w:p w14:paraId="787873C7" w14:textId="7575AA71" w:rsidR="00F934ED" w:rsidRPr="00076E76" w:rsidRDefault="00F934ED" w:rsidP="00F934ED">
            <w:pPr>
              <w:rPr>
                <w:rFonts w:ascii="Gill Sans" w:hAnsi="Gill Sans" w:cs="Gill Sans"/>
                <w:szCs w:val="22"/>
              </w:rPr>
            </w:pPr>
          </w:p>
        </w:tc>
        <w:tc>
          <w:tcPr>
            <w:tcW w:w="10064" w:type="dxa"/>
          </w:tcPr>
          <w:p w14:paraId="1704A4AB" w14:textId="2F7D91DF" w:rsidR="00F934ED" w:rsidRPr="00874431" w:rsidRDefault="00F934ED" w:rsidP="00F934ED">
            <w:pPr>
              <w:rPr>
                <w:rFonts w:ascii="Gill Sans" w:hAnsi="Gill Sans" w:cs="Gill Sans"/>
                <w:color w:val="000000"/>
                <w:szCs w:val="22"/>
              </w:rPr>
            </w:pPr>
            <w:r w:rsidRPr="00076E76">
              <w:rPr>
                <w:rFonts w:ascii="Gill Sans" w:hAnsi="Gill Sans" w:cs="Gill Sans"/>
                <w:b/>
                <w:color w:val="000000"/>
                <w:szCs w:val="22"/>
                <w:lang w:val="en-AU"/>
              </w:rPr>
              <w:lastRenderedPageBreak/>
              <w:t xml:space="preserve">Context: </w:t>
            </w:r>
            <w:r>
              <w:rPr>
                <w:rFonts w:ascii="Gill Sans" w:hAnsi="Gill Sans" w:cs="Gill Sans"/>
                <w:color w:val="000000"/>
                <w:szCs w:val="22"/>
              </w:rPr>
              <w:t>T</w:t>
            </w:r>
            <w:r w:rsidRPr="00874431">
              <w:rPr>
                <w:rFonts w:ascii="Gill Sans" w:hAnsi="Gill Sans" w:cs="Gill Sans"/>
                <w:color w:val="000000"/>
                <w:szCs w:val="22"/>
              </w:rPr>
              <w:t>ransition to university is complicated</w:t>
            </w:r>
            <w:r>
              <w:rPr>
                <w:rFonts w:ascii="Gill Sans" w:hAnsi="Gill Sans" w:cs="Gill Sans"/>
                <w:color w:val="000000"/>
                <w:szCs w:val="22"/>
              </w:rPr>
              <w:t xml:space="preserve"> and </w:t>
            </w:r>
            <w:r w:rsidRPr="00874431">
              <w:rPr>
                <w:rFonts w:ascii="Gill Sans" w:hAnsi="Gill Sans" w:cs="Gill Sans"/>
                <w:color w:val="000000"/>
                <w:szCs w:val="22"/>
              </w:rPr>
              <w:t>can give rise to a host of personal and educational difficulties</w:t>
            </w:r>
            <w:r>
              <w:rPr>
                <w:rFonts w:ascii="Gill Sans" w:hAnsi="Gill Sans" w:cs="Gill Sans"/>
                <w:color w:val="000000"/>
                <w:szCs w:val="22"/>
              </w:rPr>
              <w:t xml:space="preserve">, and those “who </w:t>
            </w:r>
            <w:r w:rsidRPr="00874431">
              <w:rPr>
                <w:rFonts w:ascii="Gill Sans" w:hAnsi="Gill Sans" w:cs="Gill Sans"/>
                <w:color w:val="000000"/>
                <w:szCs w:val="22"/>
              </w:rPr>
              <w:t>are unable to adapt academically may struggle with course performance and the extent to which they see themselves as competent learners</w:t>
            </w:r>
            <w:r>
              <w:rPr>
                <w:rFonts w:ascii="Gill Sans" w:hAnsi="Gill Sans" w:cs="Gill Sans"/>
                <w:color w:val="000000"/>
                <w:szCs w:val="22"/>
              </w:rPr>
              <w:t>” (1). The “</w:t>
            </w:r>
            <w:r w:rsidRPr="00AC4860">
              <w:rPr>
                <w:rFonts w:ascii="Gill Sans" w:hAnsi="Gill Sans" w:cs="Gill Sans"/>
                <w:color w:val="000000"/>
                <w:szCs w:val="22"/>
              </w:rPr>
              <w:t>international body of lit</w:t>
            </w:r>
            <w:r>
              <w:rPr>
                <w:rFonts w:ascii="Gill Sans" w:hAnsi="Gill Sans" w:cs="Gill Sans"/>
                <w:color w:val="000000"/>
                <w:szCs w:val="22"/>
              </w:rPr>
              <w:t xml:space="preserve">erature on learning strategies…[which] </w:t>
            </w:r>
            <w:r w:rsidRPr="00AC4860">
              <w:rPr>
                <w:rFonts w:ascii="Gill Sans" w:hAnsi="Gill Sans" w:cs="Gill Sans"/>
                <w:color w:val="000000"/>
                <w:szCs w:val="22"/>
              </w:rPr>
              <w:t xml:space="preserve">involve the use of cognitive, metacognitive, motivational, and </w:t>
            </w:r>
            <w:proofErr w:type="spellStart"/>
            <w:r w:rsidRPr="00AC4860">
              <w:rPr>
                <w:rFonts w:ascii="Gill Sans" w:hAnsi="Gill Sans" w:cs="Gill Sans"/>
                <w:color w:val="000000"/>
                <w:szCs w:val="22"/>
              </w:rPr>
              <w:t>behavioural</w:t>
            </w:r>
            <w:proofErr w:type="spellEnd"/>
            <w:r w:rsidRPr="00AC4860">
              <w:rPr>
                <w:rFonts w:ascii="Gill Sans" w:hAnsi="Gill Sans" w:cs="Gill Sans"/>
                <w:color w:val="000000"/>
                <w:szCs w:val="22"/>
              </w:rPr>
              <w:t xml:space="preserve"> strategies for a student to maximize the likelihood of success in relevant tasks, to expand on knowledge sets and skills, and to perform higher-order activities such as problem-solving (</w:t>
            </w:r>
            <w:proofErr w:type="spellStart"/>
            <w:r w:rsidRPr="00AC4860">
              <w:rPr>
                <w:rFonts w:ascii="Gill Sans" w:hAnsi="Gill Sans" w:cs="Gill Sans"/>
                <w:color w:val="000000"/>
                <w:szCs w:val="22"/>
              </w:rPr>
              <w:t>Boekaerts</w:t>
            </w:r>
            <w:proofErr w:type="spellEnd"/>
            <w:r w:rsidRPr="00AC4860">
              <w:rPr>
                <w:rFonts w:ascii="Gill Sans" w:hAnsi="Gill Sans" w:cs="Gill Sans"/>
                <w:color w:val="000000"/>
                <w:szCs w:val="22"/>
              </w:rPr>
              <w:t xml:space="preserve">, </w:t>
            </w:r>
            <w:proofErr w:type="spellStart"/>
            <w:r w:rsidRPr="00AC4860">
              <w:rPr>
                <w:rFonts w:ascii="Gill Sans" w:hAnsi="Gill Sans" w:cs="Gill Sans"/>
                <w:color w:val="000000"/>
                <w:szCs w:val="22"/>
              </w:rPr>
              <w:t>Pintrich</w:t>
            </w:r>
            <w:proofErr w:type="spellEnd"/>
            <w:r w:rsidRPr="00AC4860">
              <w:rPr>
                <w:rFonts w:ascii="Gill Sans" w:hAnsi="Gill Sans" w:cs="Gill Sans"/>
                <w:color w:val="000000"/>
                <w:szCs w:val="22"/>
              </w:rPr>
              <w:t xml:space="preserve">, and </w:t>
            </w:r>
            <w:proofErr w:type="spellStart"/>
            <w:r w:rsidRPr="00AC4860">
              <w:rPr>
                <w:rFonts w:ascii="Gill Sans" w:hAnsi="Gill Sans" w:cs="Gill Sans"/>
                <w:color w:val="000000"/>
                <w:szCs w:val="22"/>
              </w:rPr>
              <w:t>Zeidner</w:t>
            </w:r>
            <w:proofErr w:type="spellEnd"/>
            <w:r w:rsidRPr="00AC4860">
              <w:rPr>
                <w:rFonts w:ascii="Gill Sans" w:hAnsi="Gill Sans" w:cs="Gill Sans"/>
                <w:color w:val="000000"/>
                <w:szCs w:val="22"/>
              </w:rPr>
              <w:t xml:space="preserve"> 2000; Weinstein et al. 2011; Weinstein, </w:t>
            </w:r>
            <w:proofErr w:type="spellStart"/>
            <w:r w:rsidRPr="00AC4860">
              <w:rPr>
                <w:rFonts w:ascii="Gill Sans" w:hAnsi="Gill Sans" w:cs="Gill Sans"/>
                <w:color w:val="000000"/>
                <w:szCs w:val="22"/>
              </w:rPr>
              <w:t>Acee</w:t>
            </w:r>
            <w:proofErr w:type="spellEnd"/>
            <w:r w:rsidRPr="00AC4860">
              <w:rPr>
                <w:rFonts w:ascii="Gill Sans" w:hAnsi="Gill Sans" w:cs="Gill Sans"/>
                <w:color w:val="000000"/>
                <w:szCs w:val="22"/>
              </w:rPr>
              <w:t>, and Jung 2011)</w:t>
            </w:r>
            <w:r>
              <w:rPr>
                <w:rFonts w:ascii="Gill Sans" w:hAnsi="Gill Sans" w:cs="Gill Sans"/>
                <w:color w:val="000000"/>
                <w:szCs w:val="22"/>
              </w:rPr>
              <w:t>” (2)</w:t>
            </w:r>
            <w:r w:rsidRPr="00AC4860">
              <w:rPr>
                <w:rFonts w:ascii="Gill Sans" w:hAnsi="Gill Sans" w:cs="Gill Sans"/>
                <w:color w:val="000000"/>
                <w:szCs w:val="22"/>
              </w:rPr>
              <w:t>.</w:t>
            </w:r>
            <w:r>
              <w:rPr>
                <w:rFonts w:ascii="Gill Sans" w:hAnsi="Gill Sans" w:cs="Gill Sans"/>
                <w:color w:val="000000"/>
                <w:szCs w:val="22"/>
              </w:rPr>
              <w:t xml:space="preserve"> This study focuses on </w:t>
            </w:r>
            <w:r w:rsidRPr="0041536E">
              <w:rPr>
                <w:rFonts w:ascii="Gill Sans" w:hAnsi="Gill Sans" w:cs="Gill Sans"/>
                <w:color w:val="000000"/>
                <w:szCs w:val="22"/>
              </w:rPr>
              <w:t xml:space="preserve">rehearsal and </w:t>
            </w:r>
            <w:r w:rsidRPr="0041536E">
              <w:rPr>
                <w:rFonts w:ascii="Gill Sans" w:hAnsi="Gill Sans" w:cs="Gill Sans"/>
                <w:color w:val="000000"/>
                <w:szCs w:val="22"/>
              </w:rPr>
              <w:lastRenderedPageBreak/>
              <w:t>elaboration strategies</w:t>
            </w:r>
            <w:r>
              <w:rPr>
                <w:rFonts w:ascii="Gill Sans" w:hAnsi="Gill Sans" w:cs="Gill Sans"/>
                <w:color w:val="000000"/>
                <w:szCs w:val="22"/>
              </w:rPr>
              <w:t xml:space="preserve"> since they are the most relevant to the transition to university study. </w:t>
            </w:r>
          </w:p>
          <w:p w14:paraId="282DE8CC" w14:textId="583A97F1" w:rsidR="00F934ED" w:rsidRPr="00AA236E" w:rsidRDefault="00F934ED" w:rsidP="00F934ED">
            <w:pPr>
              <w:rPr>
                <w:rFonts w:ascii="Gill Sans" w:hAnsi="Gill Sans" w:cs="Gill Sans"/>
                <w:color w:val="000000"/>
                <w:szCs w:val="22"/>
              </w:rPr>
            </w:pPr>
            <w:r w:rsidRPr="00076E76">
              <w:rPr>
                <w:rFonts w:ascii="Gill Sans" w:hAnsi="Gill Sans" w:cs="Gill Sans"/>
                <w:b/>
                <w:color w:val="000000"/>
                <w:szCs w:val="22"/>
                <w:lang w:val="en-AU"/>
              </w:rPr>
              <w:t xml:space="preserve">Aim: </w:t>
            </w:r>
            <w:r>
              <w:rPr>
                <w:rFonts w:ascii="Gill Sans" w:hAnsi="Gill Sans" w:cs="Gill Sans"/>
                <w:color w:val="000000"/>
                <w:szCs w:val="22"/>
                <w:lang w:val="en-AU"/>
              </w:rPr>
              <w:t xml:space="preserve">“To </w:t>
            </w:r>
            <w:r w:rsidRPr="00AA236E">
              <w:rPr>
                <w:rFonts w:ascii="Gill Sans" w:hAnsi="Gill Sans" w:cs="Gill Sans"/>
                <w:color w:val="000000"/>
                <w:szCs w:val="22"/>
              </w:rPr>
              <w:t>integrate the existing research on learning strategies, anxiety, and performance by examining the extent to which New Zealand students report rehearsal and elaboration strategies prior to an early sum</w:t>
            </w:r>
            <w:r>
              <w:rPr>
                <w:rFonts w:ascii="Gill Sans" w:hAnsi="Gill Sans" w:cs="Gill Sans"/>
                <w:color w:val="000000"/>
                <w:szCs w:val="22"/>
              </w:rPr>
              <w:t xml:space="preserve">mative assessment at university” (3) and to </w:t>
            </w:r>
            <w:r>
              <w:rPr>
                <w:rFonts w:ascii="Gill Sans" w:hAnsi="Gill Sans" w:cs="Gill Sans"/>
                <w:color w:val="000000"/>
                <w:szCs w:val="22"/>
                <w:lang w:val="en-AU"/>
              </w:rPr>
              <w:t xml:space="preserve">answer research questions: </w:t>
            </w:r>
          </w:p>
          <w:p w14:paraId="3B968E58" w14:textId="17987C28" w:rsidR="00F934ED" w:rsidRPr="002E1BB8" w:rsidRDefault="00F934ED" w:rsidP="00F934ED">
            <w:pPr>
              <w:ind w:left="720"/>
              <w:rPr>
                <w:rFonts w:ascii="Gill Sans" w:hAnsi="Gill Sans" w:cs="Gill Sans"/>
                <w:color w:val="000000"/>
                <w:szCs w:val="22"/>
              </w:rPr>
            </w:pPr>
            <w:r>
              <w:rPr>
                <w:rFonts w:ascii="Gill Sans" w:hAnsi="Gill Sans" w:cs="Gill Sans"/>
                <w:color w:val="000000"/>
                <w:szCs w:val="22"/>
              </w:rPr>
              <w:t xml:space="preserve">(1) </w:t>
            </w:r>
            <w:r w:rsidRPr="002E1BB8">
              <w:rPr>
                <w:rFonts w:ascii="Gill Sans" w:hAnsi="Gill Sans" w:cs="Gill Sans"/>
                <w:color w:val="000000"/>
                <w:szCs w:val="22"/>
              </w:rPr>
              <w:t>What</w:t>
            </w:r>
            <w:r>
              <w:rPr>
                <w:rFonts w:ascii="Gill Sans" w:hAnsi="Gill Sans" w:cs="Gill Sans"/>
                <w:color w:val="000000"/>
                <w:szCs w:val="22"/>
              </w:rPr>
              <w:t xml:space="preserve"> </w:t>
            </w:r>
            <w:r w:rsidRPr="002E1BB8">
              <w:rPr>
                <w:rFonts w:ascii="Gill Sans" w:hAnsi="Gill Sans" w:cs="Gill Sans"/>
                <w:color w:val="000000"/>
                <w:szCs w:val="22"/>
              </w:rPr>
              <w:t>are</w:t>
            </w:r>
            <w:r>
              <w:rPr>
                <w:rFonts w:ascii="Gill Sans" w:hAnsi="Gill Sans" w:cs="Gill Sans"/>
                <w:color w:val="000000"/>
                <w:szCs w:val="22"/>
              </w:rPr>
              <w:t xml:space="preserve"> </w:t>
            </w:r>
            <w:r w:rsidRPr="002E1BB8">
              <w:rPr>
                <w:rFonts w:ascii="Gill Sans" w:hAnsi="Gill Sans" w:cs="Gill Sans"/>
                <w:color w:val="000000"/>
                <w:szCs w:val="22"/>
              </w:rPr>
              <w:t>the</w:t>
            </w:r>
            <w:r>
              <w:rPr>
                <w:rFonts w:ascii="Gill Sans" w:hAnsi="Gill Sans" w:cs="Gill Sans"/>
                <w:color w:val="000000"/>
                <w:szCs w:val="22"/>
              </w:rPr>
              <w:t xml:space="preserve"> </w:t>
            </w:r>
            <w:r w:rsidRPr="002E1BB8">
              <w:rPr>
                <w:rFonts w:ascii="Gill Sans" w:hAnsi="Gill Sans" w:cs="Gill Sans"/>
                <w:color w:val="000000"/>
                <w:szCs w:val="22"/>
              </w:rPr>
              <w:t>relations</w:t>
            </w:r>
            <w:r>
              <w:rPr>
                <w:rFonts w:ascii="Gill Sans" w:hAnsi="Gill Sans" w:cs="Gill Sans"/>
                <w:color w:val="000000"/>
                <w:szCs w:val="22"/>
              </w:rPr>
              <w:t xml:space="preserve"> </w:t>
            </w:r>
            <w:r w:rsidRPr="002E1BB8">
              <w:rPr>
                <w:rFonts w:ascii="Gill Sans" w:hAnsi="Gill Sans" w:cs="Gill Sans"/>
                <w:color w:val="000000"/>
                <w:szCs w:val="22"/>
              </w:rPr>
              <w:t>between</w:t>
            </w:r>
            <w:r>
              <w:rPr>
                <w:rFonts w:ascii="Gill Sans" w:hAnsi="Gill Sans" w:cs="Gill Sans"/>
                <w:color w:val="000000"/>
                <w:szCs w:val="22"/>
              </w:rPr>
              <w:t xml:space="preserve"> </w:t>
            </w:r>
            <w:r w:rsidRPr="002E1BB8">
              <w:rPr>
                <w:rFonts w:ascii="Gill Sans" w:hAnsi="Gill Sans" w:cs="Gill Sans"/>
                <w:color w:val="000000"/>
                <w:szCs w:val="22"/>
              </w:rPr>
              <w:t>Rehearsal</w:t>
            </w:r>
            <w:r>
              <w:rPr>
                <w:rFonts w:ascii="Gill Sans" w:hAnsi="Gill Sans" w:cs="Gill Sans"/>
                <w:color w:val="000000"/>
                <w:szCs w:val="22"/>
              </w:rPr>
              <w:t xml:space="preserve"> </w:t>
            </w:r>
            <w:r w:rsidRPr="002E1BB8">
              <w:rPr>
                <w:rFonts w:ascii="Gill Sans" w:hAnsi="Gill Sans" w:cs="Gill Sans"/>
                <w:color w:val="000000"/>
                <w:szCs w:val="22"/>
              </w:rPr>
              <w:t>and</w:t>
            </w:r>
            <w:r>
              <w:rPr>
                <w:rFonts w:ascii="Gill Sans" w:hAnsi="Gill Sans" w:cs="Gill Sans"/>
                <w:color w:val="000000"/>
                <w:szCs w:val="22"/>
              </w:rPr>
              <w:t xml:space="preserve"> </w:t>
            </w:r>
            <w:r w:rsidRPr="002E1BB8">
              <w:rPr>
                <w:rFonts w:ascii="Gill Sans" w:hAnsi="Gill Sans" w:cs="Gill Sans"/>
                <w:color w:val="000000"/>
                <w:szCs w:val="22"/>
              </w:rPr>
              <w:t>Elaboration</w:t>
            </w:r>
            <w:r>
              <w:rPr>
                <w:rFonts w:ascii="Gill Sans" w:hAnsi="Gill Sans" w:cs="Gill Sans"/>
                <w:color w:val="000000"/>
                <w:szCs w:val="22"/>
              </w:rPr>
              <w:t xml:space="preserve"> </w:t>
            </w:r>
            <w:r w:rsidRPr="002E1BB8">
              <w:rPr>
                <w:rFonts w:ascii="Gill Sans" w:hAnsi="Gill Sans" w:cs="Gill Sans"/>
                <w:color w:val="000000"/>
                <w:szCs w:val="22"/>
              </w:rPr>
              <w:t>Strategies,</w:t>
            </w:r>
            <w:r>
              <w:rPr>
                <w:rFonts w:ascii="Gill Sans" w:hAnsi="Gill Sans" w:cs="Gill Sans"/>
                <w:color w:val="000000"/>
                <w:szCs w:val="22"/>
              </w:rPr>
              <w:t xml:space="preserve"> </w:t>
            </w:r>
            <w:r w:rsidRPr="002E1BB8">
              <w:rPr>
                <w:rFonts w:ascii="Gill Sans" w:hAnsi="Gill Sans" w:cs="Gill Sans"/>
                <w:color w:val="000000"/>
                <w:szCs w:val="22"/>
              </w:rPr>
              <w:t>State</w:t>
            </w:r>
            <w:r>
              <w:rPr>
                <w:rFonts w:ascii="Gill Sans" w:hAnsi="Gill Sans" w:cs="Gill Sans"/>
                <w:color w:val="000000"/>
                <w:szCs w:val="22"/>
              </w:rPr>
              <w:t xml:space="preserve"> </w:t>
            </w:r>
            <w:r w:rsidRPr="002E1BB8">
              <w:rPr>
                <w:rFonts w:ascii="Gill Sans" w:hAnsi="Gill Sans" w:cs="Gill Sans"/>
                <w:color w:val="000000"/>
                <w:szCs w:val="22"/>
              </w:rPr>
              <w:t>Anxiety,</w:t>
            </w:r>
            <w:r>
              <w:rPr>
                <w:rFonts w:ascii="Gill Sans" w:hAnsi="Gill Sans" w:cs="Gill Sans"/>
                <w:color w:val="000000"/>
                <w:szCs w:val="22"/>
              </w:rPr>
              <w:t xml:space="preserve"> </w:t>
            </w:r>
            <w:r w:rsidRPr="002E1BB8">
              <w:rPr>
                <w:rFonts w:ascii="Gill Sans" w:hAnsi="Gill Sans" w:cs="Gill Sans"/>
                <w:color w:val="000000"/>
                <w:szCs w:val="22"/>
              </w:rPr>
              <w:t>Task</w:t>
            </w:r>
            <w:r>
              <w:rPr>
                <w:rFonts w:ascii="Gill Sans" w:hAnsi="Gill Sans" w:cs="Gill Sans"/>
                <w:color w:val="000000"/>
                <w:szCs w:val="22"/>
              </w:rPr>
              <w:t xml:space="preserve"> </w:t>
            </w:r>
            <w:r w:rsidRPr="002E1BB8">
              <w:rPr>
                <w:rFonts w:ascii="Gill Sans" w:hAnsi="Gill Sans" w:cs="Gill Sans"/>
                <w:color w:val="000000"/>
                <w:szCs w:val="22"/>
              </w:rPr>
              <w:t>Grade,</w:t>
            </w:r>
            <w:r>
              <w:rPr>
                <w:rFonts w:ascii="Gill Sans" w:hAnsi="Gill Sans" w:cs="Gill Sans"/>
                <w:color w:val="000000"/>
                <w:szCs w:val="22"/>
              </w:rPr>
              <w:t xml:space="preserve"> </w:t>
            </w:r>
            <w:r w:rsidRPr="002E1BB8">
              <w:rPr>
                <w:rFonts w:ascii="Gill Sans" w:hAnsi="Gill Sans" w:cs="Gill Sans"/>
                <w:color w:val="000000"/>
                <w:szCs w:val="22"/>
              </w:rPr>
              <w:t xml:space="preserve">and Academic Self-Efficacy? </w:t>
            </w:r>
          </w:p>
          <w:p w14:paraId="19DFAC2C" w14:textId="33A46279" w:rsidR="00F934ED" w:rsidRPr="002E1BB8" w:rsidRDefault="00F934ED" w:rsidP="00F934ED">
            <w:pPr>
              <w:ind w:left="720"/>
              <w:rPr>
                <w:rFonts w:ascii="Gill Sans" w:hAnsi="Gill Sans" w:cs="Gill Sans"/>
                <w:color w:val="000000"/>
                <w:szCs w:val="22"/>
              </w:rPr>
            </w:pPr>
            <w:r>
              <w:rPr>
                <w:rFonts w:ascii="Gill Sans" w:hAnsi="Gill Sans" w:cs="Gill Sans"/>
                <w:color w:val="000000"/>
                <w:szCs w:val="22"/>
              </w:rPr>
              <w:t>(2)</w:t>
            </w:r>
            <w:r w:rsidRPr="002E1BB8">
              <w:rPr>
                <w:rFonts w:ascii="Gill Sans" w:hAnsi="Gill Sans" w:cs="Gill Sans"/>
                <w:color w:val="000000"/>
                <w:szCs w:val="22"/>
              </w:rPr>
              <w:t xml:space="preserve"> To what extent do the study variables differ as a result of the type of assessment type (test vs. essay)? </w:t>
            </w:r>
          </w:p>
          <w:p w14:paraId="34DCE489" w14:textId="53A51398" w:rsidR="00F934ED" w:rsidRPr="002E1BB8" w:rsidRDefault="00F934ED" w:rsidP="00F934ED">
            <w:pPr>
              <w:ind w:left="720"/>
              <w:rPr>
                <w:rFonts w:ascii="Gill Sans" w:hAnsi="Gill Sans" w:cs="Gill Sans"/>
                <w:color w:val="000000"/>
                <w:szCs w:val="22"/>
              </w:rPr>
            </w:pPr>
            <w:r>
              <w:rPr>
                <w:rFonts w:ascii="Gill Sans" w:hAnsi="Gill Sans" w:cs="Gill Sans"/>
                <w:color w:val="000000"/>
                <w:szCs w:val="22"/>
              </w:rPr>
              <w:t xml:space="preserve">(3) </w:t>
            </w:r>
            <w:r w:rsidRPr="002E1BB8">
              <w:rPr>
                <w:rFonts w:ascii="Gill Sans" w:hAnsi="Gill Sans" w:cs="Gill Sans"/>
                <w:color w:val="000000"/>
                <w:szCs w:val="22"/>
              </w:rPr>
              <w:t>What</w:t>
            </w:r>
            <w:r>
              <w:rPr>
                <w:rFonts w:ascii="Gill Sans" w:hAnsi="Gill Sans" w:cs="Gill Sans"/>
                <w:color w:val="000000"/>
                <w:szCs w:val="22"/>
              </w:rPr>
              <w:t xml:space="preserve"> </w:t>
            </w:r>
            <w:r w:rsidRPr="002E1BB8">
              <w:rPr>
                <w:rFonts w:ascii="Gill Sans" w:hAnsi="Gill Sans" w:cs="Gill Sans"/>
                <w:color w:val="000000"/>
                <w:szCs w:val="22"/>
              </w:rPr>
              <w:t>are</w:t>
            </w:r>
            <w:r>
              <w:rPr>
                <w:rFonts w:ascii="Gill Sans" w:hAnsi="Gill Sans" w:cs="Gill Sans"/>
                <w:color w:val="000000"/>
                <w:szCs w:val="22"/>
              </w:rPr>
              <w:t xml:space="preserve"> </w:t>
            </w:r>
            <w:r w:rsidRPr="002E1BB8">
              <w:rPr>
                <w:rFonts w:ascii="Gill Sans" w:hAnsi="Gill Sans" w:cs="Gill Sans"/>
                <w:color w:val="000000"/>
                <w:szCs w:val="22"/>
              </w:rPr>
              <w:t>the</w:t>
            </w:r>
            <w:r>
              <w:rPr>
                <w:rFonts w:ascii="Gill Sans" w:hAnsi="Gill Sans" w:cs="Gill Sans"/>
                <w:color w:val="000000"/>
                <w:szCs w:val="22"/>
              </w:rPr>
              <w:t xml:space="preserve"> </w:t>
            </w:r>
            <w:r w:rsidRPr="002E1BB8">
              <w:rPr>
                <w:rFonts w:ascii="Gill Sans" w:hAnsi="Gill Sans" w:cs="Gill Sans"/>
                <w:color w:val="000000"/>
                <w:szCs w:val="22"/>
              </w:rPr>
              <w:t>influences</w:t>
            </w:r>
            <w:r>
              <w:rPr>
                <w:rFonts w:ascii="Gill Sans" w:hAnsi="Gill Sans" w:cs="Gill Sans"/>
                <w:color w:val="000000"/>
                <w:szCs w:val="22"/>
              </w:rPr>
              <w:t xml:space="preserve"> </w:t>
            </w:r>
            <w:r w:rsidRPr="002E1BB8">
              <w:rPr>
                <w:rFonts w:ascii="Gill Sans" w:hAnsi="Gill Sans" w:cs="Gill Sans"/>
                <w:color w:val="000000"/>
                <w:szCs w:val="22"/>
              </w:rPr>
              <w:t>of</w:t>
            </w:r>
            <w:r>
              <w:rPr>
                <w:rFonts w:ascii="Gill Sans" w:hAnsi="Gill Sans" w:cs="Gill Sans"/>
                <w:color w:val="000000"/>
                <w:szCs w:val="22"/>
              </w:rPr>
              <w:t xml:space="preserve"> </w:t>
            </w:r>
            <w:r w:rsidRPr="002E1BB8">
              <w:rPr>
                <w:rFonts w:ascii="Gill Sans" w:hAnsi="Gill Sans" w:cs="Gill Sans"/>
                <w:color w:val="000000"/>
                <w:szCs w:val="22"/>
              </w:rPr>
              <w:t>Rehearsal</w:t>
            </w:r>
            <w:r>
              <w:rPr>
                <w:rFonts w:ascii="Gill Sans" w:hAnsi="Gill Sans" w:cs="Gill Sans"/>
                <w:color w:val="000000"/>
                <w:szCs w:val="22"/>
              </w:rPr>
              <w:t xml:space="preserve"> </w:t>
            </w:r>
            <w:r w:rsidRPr="002E1BB8">
              <w:rPr>
                <w:rFonts w:ascii="Gill Sans" w:hAnsi="Gill Sans" w:cs="Gill Sans"/>
                <w:color w:val="000000"/>
                <w:szCs w:val="22"/>
              </w:rPr>
              <w:t>and</w:t>
            </w:r>
            <w:r>
              <w:rPr>
                <w:rFonts w:ascii="Gill Sans" w:hAnsi="Gill Sans" w:cs="Gill Sans"/>
                <w:color w:val="000000"/>
                <w:szCs w:val="22"/>
              </w:rPr>
              <w:t xml:space="preserve"> </w:t>
            </w:r>
            <w:r w:rsidRPr="002E1BB8">
              <w:rPr>
                <w:rFonts w:ascii="Gill Sans" w:hAnsi="Gill Sans" w:cs="Gill Sans"/>
                <w:color w:val="000000"/>
                <w:szCs w:val="22"/>
              </w:rPr>
              <w:t>Elaboration</w:t>
            </w:r>
            <w:r>
              <w:rPr>
                <w:rFonts w:ascii="Gill Sans" w:hAnsi="Gill Sans" w:cs="Gill Sans"/>
                <w:color w:val="000000"/>
                <w:szCs w:val="22"/>
              </w:rPr>
              <w:t xml:space="preserve"> </w:t>
            </w:r>
            <w:r w:rsidRPr="002E1BB8">
              <w:rPr>
                <w:rFonts w:ascii="Gill Sans" w:hAnsi="Gill Sans" w:cs="Gill Sans"/>
                <w:color w:val="000000"/>
                <w:szCs w:val="22"/>
              </w:rPr>
              <w:t>Strategies</w:t>
            </w:r>
            <w:r>
              <w:rPr>
                <w:rFonts w:ascii="Gill Sans" w:hAnsi="Gill Sans" w:cs="Gill Sans"/>
                <w:color w:val="000000"/>
                <w:szCs w:val="22"/>
              </w:rPr>
              <w:t xml:space="preserve"> </w:t>
            </w:r>
            <w:r w:rsidRPr="002E1BB8">
              <w:rPr>
                <w:rFonts w:ascii="Gill Sans" w:hAnsi="Gill Sans" w:cs="Gill Sans"/>
                <w:color w:val="000000"/>
                <w:szCs w:val="22"/>
              </w:rPr>
              <w:t>on</w:t>
            </w:r>
            <w:r>
              <w:rPr>
                <w:rFonts w:ascii="Gill Sans" w:hAnsi="Gill Sans" w:cs="Gill Sans"/>
                <w:color w:val="000000"/>
                <w:szCs w:val="22"/>
              </w:rPr>
              <w:t xml:space="preserve"> </w:t>
            </w:r>
            <w:r w:rsidRPr="002E1BB8">
              <w:rPr>
                <w:rFonts w:ascii="Gill Sans" w:hAnsi="Gill Sans" w:cs="Gill Sans"/>
                <w:color w:val="000000"/>
                <w:szCs w:val="22"/>
              </w:rPr>
              <w:t>Task</w:t>
            </w:r>
            <w:r>
              <w:rPr>
                <w:rFonts w:ascii="Gill Sans" w:hAnsi="Gill Sans" w:cs="Gill Sans"/>
                <w:color w:val="000000"/>
                <w:szCs w:val="22"/>
              </w:rPr>
              <w:t xml:space="preserve"> </w:t>
            </w:r>
            <w:r w:rsidRPr="002E1BB8">
              <w:rPr>
                <w:rFonts w:ascii="Gill Sans" w:hAnsi="Gill Sans" w:cs="Gill Sans"/>
                <w:color w:val="000000"/>
                <w:szCs w:val="22"/>
              </w:rPr>
              <w:t>Anxiety,</w:t>
            </w:r>
            <w:r>
              <w:rPr>
                <w:rFonts w:ascii="Gill Sans" w:hAnsi="Gill Sans" w:cs="Gill Sans"/>
                <w:color w:val="000000"/>
                <w:szCs w:val="22"/>
              </w:rPr>
              <w:t xml:space="preserve"> </w:t>
            </w:r>
            <w:r w:rsidRPr="002E1BB8">
              <w:rPr>
                <w:rFonts w:ascii="Gill Sans" w:hAnsi="Gill Sans" w:cs="Gill Sans"/>
                <w:color w:val="000000"/>
                <w:szCs w:val="22"/>
              </w:rPr>
              <w:t>Task</w:t>
            </w:r>
            <w:r>
              <w:rPr>
                <w:rFonts w:ascii="Gill Sans" w:hAnsi="Gill Sans" w:cs="Gill Sans"/>
                <w:color w:val="000000"/>
                <w:szCs w:val="22"/>
              </w:rPr>
              <w:t xml:space="preserve"> </w:t>
            </w:r>
            <w:r w:rsidRPr="002E1BB8">
              <w:rPr>
                <w:rFonts w:ascii="Gill Sans" w:hAnsi="Gill Sans" w:cs="Gill Sans"/>
                <w:color w:val="000000"/>
                <w:szCs w:val="22"/>
              </w:rPr>
              <w:t>Grade,</w:t>
            </w:r>
            <w:r>
              <w:rPr>
                <w:rFonts w:ascii="Gill Sans" w:hAnsi="Gill Sans" w:cs="Gill Sans"/>
                <w:color w:val="000000"/>
                <w:szCs w:val="22"/>
              </w:rPr>
              <w:t xml:space="preserve"> </w:t>
            </w:r>
            <w:r w:rsidRPr="002E1BB8">
              <w:rPr>
                <w:rFonts w:ascii="Gill Sans" w:hAnsi="Gill Sans" w:cs="Gill Sans"/>
                <w:color w:val="000000"/>
                <w:szCs w:val="22"/>
              </w:rPr>
              <w:t xml:space="preserve">and Academic Self-Efficacy? </w:t>
            </w:r>
          </w:p>
          <w:p w14:paraId="0448A830" w14:textId="543D28BF" w:rsidR="00F934ED" w:rsidRPr="00062130" w:rsidRDefault="00F934ED" w:rsidP="00F934ED">
            <w:pPr>
              <w:rPr>
                <w:rFonts w:ascii="Gill Sans" w:hAnsi="Gill Sans" w:cs="Gill Sans"/>
                <w:b/>
                <w:color w:val="000000"/>
                <w:szCs w:val="22"/>
              </w:rPr>
            </w:pPr>
            <w:r w:rsidRPr="00076E76">
              <w:rPr>
                <w:rFonts w:ascii="Gill Sans" w:hAnsi="Gill Sans" w:cs="Gill Sans"/>
                <w:b/>
                <w:color w:val="000000"/>
                <w:szCs w:val="22"/>
                <w:lang w:val="en-AU"/>
              </w:rPr>
              <w:t>Theoretical frame:</w:t>
            </w:r>
            <w:r>
              <w:rPr>
                <w:rFonts w:ascii="Gill Sans" w:hAnsi="Gill Sans" w:cs="Gill Sans"/>
                <w:b/>
                <w:color w:val="000000"/>
                <w:szCs w:val="22"/>
                <w:lang w:val="en-AU"/>
              </w:rPr>
              <w:t xml:space="preserve"> </w:t>
            </w:r>
            <w:r>
              <w:rPr>
                <w:rFonts w:ascii="Gill Sans" w:hAnsi="Gill Sans" w:cs="Gill Sans"/>
                <w:color w:val="000000"/>
                <w:szCs w:val="22"/>
              </w:rPr>
              <w:t>Rehearsal strategy theory, which relies</w:t>
            </w:r>
            <w:r w:rsidRPr="00062130">
              <w:rPr>
                <w:rFonts w:ascii="Gill Sans" w:hAnsi="Gill Sans" w:cs="Gill Sans"/>
                <w:color w:val="000000"/>
                <w:szCs w:val="22"/>
              </w:rPr>
              <w:t xml:space="preserve"> on repeated exposure to a stimulus as a way to help students remember information. </w:t>
            </w:r>
            <w:r>
              <w:rPr>
                <w:rFonts w:ascii="Gill Sans" w:hAnsi="Gill Sans" w:cs="Gill Sans"/>
                <w:color w:val="000000"/>
                <w:szCs w:val="22"/>
              </w:rPr>
              <w:t>Elaboration strategy theory, which</w:t>
            </w:r>
            <w:r w:rsidRPr="00062130">
              <w:rPr>
                <w:rFonts w:ascii="Gill Sans" w:hAnsi="Gill Sans" w:cs="Gill Sans"/>
                <w:color w:val="000000"/>
                <w:szCs w:val="22"/>
              </w:rPr>
              <w:t xml:space="preserve"> focus</w:t>
            </w:r>
            <w:r>
              <w:rPr>
                <w:rFonts w:ascii="Gill Sans" w:hAnsi="Gill Sans" w:cs="Gill Sans"/>
                <w:color w:val="000000"/>
                <w:szCs w:val="22"/>
              </w:rPr>
              <w:t>es</w:t>
            </w:r>
            <w:r w:rsidRPr="00062130">
              <w:rPr>
                <w:rFonts w:ascii="Gill Sans" w:hAnsi="Gill Sans" w:cs="Gill Sans"/>
                <w:color w:val="000000"/>
                <w:szCs w:val="22"/>
              </w:rPr>
              <w:t xml:space="preserve"> on higher-order thinking and</w:t>
            </w:r>
            <w:r>
              <w:rPr>
                <w:rFonts w:ascii="Gill Sans" w:hAnsi="Gill Sans" w:cs="Gill Sans"/>
                <w:color w:val="000000"/>
                <w:szCs w:val="22"/>
              </w:rPr>
              <w:t xml:space="preserve"> </w:t>
            </w:r>
            <w:r w:rsidRPr="00062130">
              <w:rPr>
                <w:rFonts w:ascii="Gill Sans" w:hAnsi="Gill Sans" w:cs="Gill Sans"/>
                <w:color w:val="000000"/>
                <w:szCs w:val="22"/>
              </w:rPr>
              <w:t>require</w:t>
            </w:r>
            <w:r>
              <w:rPr>
                <w:rFonts w:ascii="Gill Sans" w:hAnsi="Gill Sans" w:cs="Gill Sans"/>
                <w:color w:val="000000"/>
                <w:szCs w:val="22"/>
              </w:rPr>
              <w:t>s</w:t>
            </w:r>
            <w:r w:rsidRPr="00062130">
              <w:rPr>
                <w:rFonts w:ascii="Gill Sans" w:hAnsi="Gill Sans" w:cs="Gill Sans"/>
                <w:color w:val="000000"/>
                <w:szCs w:val="22"/>
              </w:rPr>
              <w:t xml:space="preserve"> active cognitive processing to build on or transform information t</w:t>
            </w:r>
            <w:r>
              <w:rPr>
                <w:rFonts w:ascii="Gill Sans" w:hAnsi="Gill Sans" w:cs="Gill Sans"/>
                <w:color w:val="000000"/>
                <w:szCs w:val="22"/>
              </w:rPr>
              <w:t xml:space="preserve">o promote greater understanding </w:t>
            </w:r>
            <w:r w:rsidRPr="00062130">
              <w:rPr>
                <w:rFonts w:ascii="Gill Sans" w:hAnsi="Gill Sans" w:cs="Gill Sans"/>
                <w:color w:val="000000"/>
                <w:szCs w:val="22"/>
              </w:rPr>
              <w:t>(e.g. van Rossum and Schenk 1984; Weinstein 2006, 2011; Willoughby et al. 1997).</w:t>
            </w:r>
            <w:r>
              <w:rPr>
                <w:rFonts w:ascii="Gill Sans" w:hAnsi="Gill Sans" w:cs="Gill Sans"/>
                <w:color w:val="000000"/>
                <w:szCs w:val="22"/>
              </w:rPr>
              <w:t xml:space="preserve"> Lower- and higher-level learning outcomes are served better/differently by rehearsal and elaboration strategies, and so their efficacy is relative. </w:t>
            </w:r>
          </w:p>
          <w:p w14:paraId="7268F740" w14:textId="384063A2" w:rsidR="00F934ED" w:rsidRPr="00EA51EA" w:rsidRDefault="00F934ED" w:rsidP="00F934ED">
            <w:pPr>
              <w:rPr>
                <w:rFonts w:ascii="Gill Sans" w:hAnsi="Gill Sans" w:cs="Gill Sans"/>
                <w:color w:val="000000"/>
                <w:szCs w:val="22"/>
              </w:rPr>
            </w:pPr>
            <w:r w:rsidRPr="00076E76">
              <w:rPr>
                <w:rFonts w:ascii="Gill Sans" w:hAnsi="Gill Sans" w:cs="Gill Sans"/>
                <w:b/>
                <w:color w:val="000000"/>
                <w:szCs w:val="22"/>
                <w:lang w:val="en-AU"/>
              </w:rPr>
              <w:t xml:space="preserve">Methodology: </w:t>
            </w:r>
            <w:r>
              <w:rPr>
                <w:rFonts w:ascii="Gill Sans" w:hAnsi="Gill Sans" w:cs="Gill Sans"/>
                <w:color w:val="000000"/>
                <w:szCs w:val="22"/>
                <w:lang w:val="en-AU"/>
              </w:rPr>
              <w:t xml:space="preserve">Student recruitment from university </w:t>
            </w:r>
            <w:r>
              <w:rPr>
                <w:rFonts w:ascii="Gill Sans" w:hAnsi="Gill Sans" w:cs="Gill Sans"/>
                <w:color w:val="000000"/>
                <w:szCs w:val="22"/>
              </w:rPr>
              <w:t>and given</w:t>
            </w:r>
            <w:r w:rsidRPr="00EA51EA">
              <w:rPr>
                <w:rFonts w:ascii="Gill Sans" w:hAnsi="Gill Sans" w:cs="Gill Sans"/>
                <w:color w:val="000000"/>
                <w:szCs w:val="22"/>
              </w:rPr>
              <w:t xml:space="preserve"> summative assessment</w:t>
            </w:r>
            <w:r>
              <w:rPr>
                <w:rFonts w:ascii="Gill Sans" w:hAnsi="Gill Sans" w:cs="Gill Sans"/>
                <w:color w:val="000000"/>
                <w:szCs w:val="22"/>
              </w:rPr>
              <w:t>s. S</w:t>
            </w:r>
            <w:r w:rsidRPr="00EA51EA">
              <w:rPr>
                <w:rFonts w:ascii="Gill Sans" w:hAnsi="Gill Sans" w:cs="Gill Sans"/>
                <w:color w:val="000000"/>
                <w:szCs w:val="22"/>
              </w:rPr>
              <w:t xml:space="preserve">tudents in the education and chemistry courses </w:t>
            </w:r>
            <w:r>
              <w:rPr>
                <w:rFonts w:ascii="Gill Sans" w:hAnsi="Gill Sans" w:cs="Gill Sans"/>
                <w:color w:val="000000"/>
                <w:szCs w:val="22"/>
              </w:rPr>
              <w:t>were given a test,</w:t>
            </w:r>
            <w:r w:rsidRPr="00EA51EA">
              <w:rPr>
                <w:rFonts w:ascii="Gill Sans" w:hAnsi="Gill Sans" w:cs="Gill Sans"/>
                <w:color w:val="000000"/>
                <w:szCs w:val="22"/>
              </w:rPr>
              <w:t xml:space="preserve"> while the law, philosophy and communications courses required an original written essay. </w:t>
            </w:r>
            <w:r>
              <w:rPr>
                <w:rFonts w:ascii="Gill Sans" w:hAnsi="Gill Sans" w:cs="Gill Sans"/>
                <w:color w:val="000000"/>
                <w:szCs w:val="22"/>
              </w:rPr>
              <w:t>P</w:t>
            </w:r>
            <w:r w:rsidRPr="00982AFA">
              <w:rPr>
                <w:rFonts w:ascii="Gill Sans" w:hAnsi="Gill Sans" w:cs="Gill Sans"/>
                <w:color w:val="000000"/>
                <w:szCs w:val="22"/>
              </w:rPr>
              <w:t>articipants report</w:t>
            </w:r>
            <w:r>
              <w:rPr>
                <w:rFonts w:ascii="Gill Sans" w:hAnsi="Gill Sans" w:cs="Gill Sans"/>
                <w:color w:val="000000"/>
                <w:szCs w:val="22"/>
              </w:rPr>
              <w:t>ed</w:t>
            </w:r>
            <w:r w:rsidRPr="00982AFA">
              <w:rPr>
                <w:rFonts w:ascii="Gill Sans" w:hAnsi="Gill Sans" w:cs="Gill Sans"/>
                <w:color w:val="000000"/>
                <w:szCs w:val="22"/>
              </w:rPr>
              <w:t xml:space="preserve"> </w:t>
            </w:r>
            <w:r>
              <w:rPr>
                <w:rFonts w:ascii="Gill Sans" w:hAnsi="Gill Sans" w:cs="Gill Sans"/>
                <w:color w:val="000000"/>
                <w:szCs w:val="22"/>
              </w:rPr>
              <w:t xml:space="preserve">via online questionnaire </w:t>
            </w:r>
            <w:r w:rsidRPr="00982AFA">
              <w:rPr>
                <w:rFonts w:ascii="Gill Sans" w:hAnsi="Gill Sans" w:cs="Gill Sans"/>
                <w:color w:val="000000"/>
                <w:szCs w:val="22"/>
              </w:rPr>
              <w:t>how</w:t>
            </w:r>
            <w:r>
              <w:rPr>
                <w:rFonts w:ascii="Gill Sans" w:hAnsi="Gill Sans" w:cs="Gill Sans"/>
                <w:color w:val="000000"/>
                <w:szCs w:val="22"/>
              </w:rPr>
              <w:t xml:space="preserve"> they had prepared for their relevant</w:t>
            </w:r>
            <w:r w:rsidRPr="00982AFA">
              <w:rPr>
                <w:rFonts w:ascii="Gill Sans" w:hAnsi="Gill Sans" w:cs="Gill Sans"/>
                <w:color w:val="000000"/>
                <w:szCs w:val="22"/>
              </w:rPr>
              <w:t xml:space="preserve"> summative assessment </w:t>
            </w:r>
            <w:r>
              <w:rPr>
                <w:rFonts w:ascii="Gill Sans" w:hAnsi="Gill Sans" w:cs="Gill Sans"/>
                <w:color w:val="000000"/>
                <w:szCs w:val="22"/>
              </w:rPr>
              <w:t>and</w:t>
            </w:r>
            <w:r w:rsidRPr="00982AFA">
              <w:rPr>
                <w:rFonts w:ascii="Gill Sans" w:hAnsi="Gill Sans" w:cs="Gill Sans"/>
                <w:color w:val="000000"/>
                <w:szCs w:val="22"/>
              </w:rPr>
              <w:t xml:space="preserve"> responded </w:t>
            </w:r>
            <w:r>
              <w:rPr>
                <w:rFonts w:ascii="Gill Sans" w:hAnsi="Gill Sans" w:cs="Gill Sans"/>
                <w:color w:val="000000"/>
                <w:szCs w:val="22"/>
              </w:rPr>
              <w:t xml:space="preserve">to </w:t>
            </w:r>
            <w:r w:rsidRPr="00982AFA">
              <w:rPr>
                <w:rFonts w:ascii="Gill Sans" w:hAnsi="Gill Sans" w:cs="Gill Sans"/>
                <w:color w:val="000000"/>
                <w:szCs w:val="22"/>
              </w:rPr>
              <w:t xml:space="preserve">two subscales of the Motivation Strategies for Learning Questionnaire (MSLQ; </w:t>
            </w:r>
            <w:proofErr w:type="spellStart"/>
            <w:r w:rsidRPr="00982AFA">
              <w:rPr>
                <w:rFonts w:ascii="Gill Sans" w:hAnsi="Gill Sans" w:cs="Gill Sans"/>
                <w:color w:val="000000"/>
                <w:szCs w:val="22"/>
              </w:rPr>
              <w:t>Pintrich</w:t>
            </w:r>
            <w:proofErr w:type="spellEnd"/>
            <w:r w:rsidRPr="00982AFA">
              <w:rPr>
                <w:rFonts w:ascii="Gill Sans" w:hAnsi="Gill Sans" w:cs="Gill Sans"/>
                <w:color w:val="000000"/>
                <w:szCs w:val="22"/>
              </w:rPr>
              <w:t xml:space="preserve"> et al. 1991): Rehearsal (RE) and Elaboration (EL) Strategies.</w:t>
            </w:r>
            <w:r>
              <w:rPr>
                <w:rFonts w:ascii="Gill Sans" w:hAnsi="Gill Sans" w:cs="Gill Sans"/>
                <w:color w:val="000000"/>
                <w:szCs w:val="22"/>
              </w:rPr>
              <w:t xml:space="preserve"> </w:t>
            </w:r>
            <w:r w:rsidRPr="00B91F81">
              <w:rPr>
                <w:rFonts w:ascii="Gill Sans" w:hAnsi="Gill Sans" w:cs="Gill Sans"/>
                <w:color w:val="000000"/>
                <w:szCs w:val="22"/>
              </w:rPr>
              <w:t xml:space="preserve">To measure participants’ state experience of anxiety upon completing their respective tests and essays, the Multimodal State Evaluative Anxiety scale </w:t>
            </w:r>
            <w:r>
              <w:rPr>
                <w:rFonts w:ascii="Gill Sans" w:hAnsi="Gill Sans" w:cs="Gill Sans"/>
                <w:color w:val="000000"/>
                <w:szCs w:val="22"/>
              </w:rPr>
              <w:t xml:space="preserve">was used </w:t>
            </w:r>
            <w:r w:rsidRPr="00B91F81">
              <w:rPr>
                <w:rFonts w:ascii="Gill Sans" w:hAnsi="Gill Sans" w:cs="Gill Sans"/>
                <w:color w:val="000000"/>
                <w:szCs w:val="22"/>
              </w:rPr>
              <w:t xml:space="preserve">(MSEA-12; </w:t>
            </w:r>
            <w:proofErr w:type="spellStart"/>
            <w:r w:rsidRPr="00B91F81">
              <w:rPr>
                <w:rFonts w:ascii="Gill Sans" w:hAnsi="Gill Sans" w:cs="Gill Sans"/>
                <w:color w:val="000000"/>
                <w:szCs w:val="22"/>
              </w:rPr>
              <w:t>Sotardi</w:t>
            </w:r>
            <w:proofErr w:type="spellEnd"/>
            <w:r w:rsidRPr="00B91F81">
              <w:rPr>
                <w:rFonts w:ascii="Gill Sans" w:hAnsi="Gill Sans" w:cs="Gill Sans"/>
                <w:color w:val="000000"/>
                <w:szCs w:val="22"/>
              </w:rPr>
              <w:t xml:space="preserve"> 2018).</w:t>
            </w:r>
            <w:r>
              <w:rPr>
                <w:rFonts w:ascii="Gill Sans" w:hAnsi="Gill Sans" w:cs="Gill Sans"/>
                <w:color w:val="000000"/>
                <w:szCs w:val="22"/>
              </w:rPr>
              <w:t xml:space="preserve"> </w:t>
            </w:r>
            <w:r w:rsidRPr="00352795">
              <w:rPr>
                <w:rFonts w:ascii="Gill Sans" w:hAnsi="Gill Sans" w:cs="Gill Sans"/>
                <w:color w:val="000000"/>
                <w:szCs w:val="22"/>
              </w:rPr>
              <w:t>Task Grade</w:t>
            </w:r>
            <w:r>
              <w:rPr>
                <w:rFonts w:ascii="Gill Sans" w:hAnsi="Gill Sans" w:cs="Gill Sans"/>
                <w:color w:val="000000"/>
                <w:szCs w:val="22"/>
              </w:rPr>
              <w:t xml:space="preserve">s </w:t>
            </w:r>
            <w:r w:rsidRPr="00352795">
              <w:rPr>
                <w:rFonts w:ascii="Gill Sans" w:hAnsi="Gill Sans" w:cs="Gill Sans"/>
                <w:color w:val="000000"/>
                <w:szCs w:val="22"/>
              </w:rPr>
              <w:t>were obtained through respective course coordinators</w:t>
            </w:r>
            <w:r>
              <w:rPr>
                <w:rFonts w:ascii="Gill Sans" w:hAnsi="Gill Sans" w:cs="Gill Sans"/>
                <w:color w:val="000000"/>
                <w:szCs w:val="22"/>
              </w:rPr>
              <w:t xml:space="preserve"> and measured as the percentage </w:t>
            </w:r>
            <w:r w:rsidRPr="00352795">
              <w:rPr>
                <w:rFonts w:ascii="Gill Sans" w:hAnsi="Gill Sans" w:cs="Gill Sans"/>
                <w:color w:val="000000"/>
                <w:szCs w:val="22"/>
              </w:rPr>
              <w:t>score correct on the assessment</w:t>
            </w:r>
            <w:r>
              <w:rPr>
                <w:rFonts w:ascii="Gill Sans" w:hAnsi="Gill Sans" w:cs="Gill Sans"/>
                <w:color w:val="000000"/>
                <w:szCs w:val="22"/>
              </w:rPr>
              <w:t xml:space="preserve">. The </w:t>
            </w:r>
            <w:r w:rsidRPr="007503A8">
              <w:rPr>
                <w:rFonts w:ascii="Gill Sans" w:hAnsi="Gill Sans" w:cs="Gill Sans"/>
                <w:color w:val="000000"/>
                <w:szCs w:val="22"/>
              </w:rPr>
              <w:t>Self-Efficacy for Learning and Performance subscale of the MSLQ (</w:t>
            </w:r>
            <w:proofErr w:type="spellStart"/>
            <w:r w:rsidRPr="007503A8">
              <w:rPr>
                <w:rFonts w:ascii="Gill Sans" w:hAnsi="Gill Sans" w:cs="Gill Sans"/>
                <w:color w:val="000000"/>
                <w:szCs w:val="22"/>
              </w:rPr>
              <w:t>Pintrich</w:t>
            </w:r>
            <w:proofErr w:type="spellEnd"/>
            <w:r w:rsidRPr="007503A8">
              <w:rPr>
                <w:rFonts w:ascii="Gill Sans" w:hAnsi="Gill Sans" w:cs="Gill Sans"/>
                <w:color w:val="000000"/>
                <w:szCs w:val="22"/>
              </w:rPr>
              <w:t xml:space="preserve"> et al. 1991</w:t>
            </w:r>
            <w:r>
              <w:rPr>
                <w:rFonts w:ascii="Gill Sans" w:hAnsi="Gill Sans" w:cs="Gill Sans"/>
                <w:color w:val="000000"/>
                <w:szCs w:val="22"/>
              </w:rPr>
              <w:t xml:space="preserve">) was used to measure academic self-efficacy. </w:t>
            </w:r>
          </w:p>
          <w:p w14:paraId="3FFE9B4C" w14:textId="60DE7A54" w:rsidR="00F934ED" w:rsidRPr="00CD68BB" w:rsidRDefault="00F934ED" w:rsidP="00F934ED">
            <w:pPr>
              <w:rPr>
                <w:rFonts w:ascii="Gill Sans" w:hAnsi="Gill Sans" w:cs="Gill Sans"/>
                <w:color w:val="000000"/>
                <w:szCs w:val="22"/>
              </w:rPr>
            </w:pPr>
            <w:r w:rsidRPr="00076E76">
              <w:rPr>
                <w:rFonts w:ascii="Gill Sans" w:hAnsi="Gill Sans" w:cs="Gill Sans"/>
                <w:b/>
                <w:color w:val="000000"/>
                <w:szCs w:val="22"/>
                <w:lang w:val="en-AU"/>
              </w:rPr>
              <w:t xml:space="preserve">Findings: </w:t>
            </w:r>
            <w:r>
              <w:rPr>
                <w:rFonts w:ascii="Gill Sans" w:hAnsi="Gill Sans" w:cs="Gill Sans"/>
                <w:color w:val="000000"/>
                <w:szCs w:val="22"/>
                <w:lang w:val="en-AU"/>
              </w:rPr>
              <w:t xml:space="preserve">Little difference in results between students completing tests and those writing essays. </w:t>
            </w:r>
            <w:r>
              <w:rPr>
                <w:rFonts w:ascii="Gill Sans" w:hAnsi="Gill Sans" w:cs="Gill Sans"/>
                <w:color w:val="000000"/>
                <w:szCs w:val="22"/>
              </w:rPr>
              <w:t>R</w:t>
            </w:r>
            <w:r w:rsidRPr="008060A9">
              <w:rPr>
                <w:rFonts w:ascii="Gill Sans" w:hAnsi="Gill Sans" w:cs="Gill Sans"/>
                <w:color w:val="000000"/>
                <w:szCs w:val="22"/>
              </w:rPr>
              <w:t xml:space="preserve">ehearsal strategies have a positive influence on state anxiety and, to a lesser degree, academic self-efficacy; </w:t>
            </w:r>
            <w:r>
              <w:rPr>
                <w:rFonts w:ascii="Gill Sans" w:hAnsi="Gill Sans" w:cs="Gill Sans"/>
                <w:color w:val="000000"/>
                <w:szCs w:val="22"/>
              </w:rPr>
              <w:t>elaboration strategies have</w:t>
            </w:r>
            <w:r w:rsidRPr="008060A9">
              <w:rPr>
                <w:rFonts w:ascii="Gill Sans" w:hAnsi="Gill Sans" w:cs="Gill Sans"/>
                <w:color w:val="000000"/>
                <w:szCs w:val="22"/>
              </w:rPr>
              <w:t xml:space="preserve"> no influence on state anxiety but a strong, positive influence on academic self-efficacy</w:t>
            </w:r>
            <w:r w:rsidRPr="008060A9">
              <w:rPr>
                <w:rFonts w:ascii="Gill Sans" w:hAnsi="Gill Sans" w:cs="Gill Sans"/>
                <w:color w:val="000000"/>
                <w:szCs w:val="22"/>
                <w:lang w:val="en-AU"/>
              </w:rPr>
              <w:br/>
            </w:r>
            <w:r w:rsidRPr="008060A9">
              <w:rPr>
                <w:rFonts w:ascii="Gill Sans" w:hAnsi="Gill Sans" w:cs="Gill Sans"/>
                <w:b/>
                <w:color w:val="000000"/>
                <w:szCs w:val="22"/>
                <w:lang w:val="en-AU"/>
              </w:rPr>
              <w:t>Core argument:</w:t>
            </w:r>
            <w:r>
              <w:rPr>
                <w:rFonts w:ascii="Gill Sans" w:hAnsi="Gill Sans" w:cs="Gill Sans"/>
                <w:b/>
                <w:color w:val="000000"/>
                <w:szCs w:val="22"/>
                <w:lang w:val="en-AU"/>
              </w:rPr>
              <w:t xml:space="preserve"> </w:t>
            </w:r>
            <w:r>
              <w:rPr>
                <w:rFonts w:ascii="Gill Sans" w:hAnsi="Gill Sans" w:cs="Gill Sans"/>
                <w:color w:val="000000"/>
                <w:szCs w:val="22"/>
                <w:lang w:val="en-AU"/>
              </w:rPr>
              <w:t>“…</w:t>
            </w:r>
            <w:r w:rsidRPr="00CD68BB">
              <w:rPr>
                <w:rFonts w:ascii="Gill Sans" w:hAnsi="Gill Sans" w:cs="Gill Sans"/>
                <w:color w:val="000000"/>
                <w:szCs w:val="22"/>
              </w:rPr>
              <w:t xml:space="preserve">both high schools and universities </w:t>
            </w:r>
            <w:r>
              <w:rPr>
                <w:rFonts w:ascii="Gill Sans" w:hAnsi="Gill Sans" w:cs="Gill Sans"/>
                <w:color w:val="000000"/>
                <w:szCs w:val="22"/>
              </w:rPr>
              <w:t xml:space="preserve">[need] </w:t>
            </w:r>
            <w:r w:rsidRPr="00CD68BB">
              <w:rPr>
                <w:rFonts w:ascii="Gill Sans" w:hAnsi="Gill Sans" w:cs="Gill Sans"/>
                <w:color w:val="000000"/>
                <w:szCs w:val="22"/>
              </w:rPr>
              <w:t>to be mindful of the assessment-related differences and challenges that students face during a schooling transition</w:t>
            </w:r>
            <w:r>
              <w:rPr>
                <w:rFonts w:ascii="Gill Sans" w:hAnsi="Gill Sans" w:cs="Gill Sans"/>
                <w:color w:val="000000"/>
                <w:szCs w:val="22"/>
              </w:rPr>
              <w:t>” (10). Universities can encourage c</w:t>
            </w:r>
            <w:r w:rsidRPr="00256557">
              <w:rPr>
                <w:rFonts w:ascii="Gill Sans" w:hAnsi="Gill Sans" w:cs="Gill Sans"/>
                <w:color w:val="000000"/>
                <w:szCs w:val="22"/>
              </w:rPr>
              <w:t xml:space="preserve">larity on what students can expect, and what is expected from them, formative feedback prior to the </w:t>
            </w:r>
            <w:r w:rsidRPr="00256557">
              <w:rPr>
                <w:rFonts w:ascii="Gill Sans" w:hAnsi="Gill Sans" w:cs="Gill Sans"/>
                <w:color w:val="000000"/>
                <w:szCs w:val="22"/>
              </w:rPr>
              <w:lastRenderedPageBreak/>
              <w:t xml:space="preserve">assessment, and guidelines on how to best prepare. </w:t>
            </w:r>
            <w:r>
              <w:rPr>
                <w:rFonts w:ascii="Gill Sans" w:hAnsi="Gill Sans" w:cs="Gill Sans"/>
                <w:color w:val="000000"/>
                <w:szCs w:val="22"/>
              </w:rPr>
              <w:t>“</w:t>
            </w:r>
            <w:r w:rsidRPr="00256557">
              <w:rPr>
                <w:rFonts w:ascii="Gill Sans" w:hAnsi="Gill Sans" w:cs="Gill Sans"/>
                <w:color w:val="000000"/>
                <w:szCs w:val="22"/>
              </w:rPr>
              <w:t>Formative and summative feedback is important, as it highlights not only what needs improvement in the future and why, but also what wa</w:t>
            </w:r>
            <w:r>
              <w:rPr>
                <w:rFonts w:ascii="Gill Sans" w:hAnsi="Gill Sans" w:cs="Gill Sans"/>
                <w:color w:val="000000"/>
                <w:szCs w:val="22"/>
              </w:rPr>
              <w:t>s done well and why. Such feed</w:t>
            </w:r>
            <w:r w:rsidRPr="00256557">
              <w:rPr>
                <w:rFonts w:ascii="Gill Sans" w:hAnsi="Gill Sans" w:cs="Gill Sans"/>
                <w:color w:val="000000"/>
                <w:szCs w:val="22"/>
              </w:rPr>
              <w:t>back is expected to reduce student assessment anxiety, lessen over-confidence, and help students learn the course material and chart a path to academic success. Ultimately, this facilitates the meta-skill of how to learn in the particular academic discipline</w:t>
            </w:r>
            <w:r>
              <w:rPr>
                <w:rFonts w:ascii="Gill Sans" w:hAnsi="Gill Sans" w:cs="Gill Sans"/>
                <w:color w:val="000000"/>
                <w:szCs w:val="22"/>
              </w:rPr>
              <w:t>” (11)</w:t>
            </w:r>
            <w:r w:rsidRPr="00256557">
              <w:rPr>
                <w:rFonts w:ascii="Gill Sans" w:hAnsi="Gill Sans" w:cs="Gill Sans"/>
                <w:color w:val="000000"/>
                <w:szCs w:val="22"/>
              </w:rPr>
              <w:t>.</w:t>
            </w:r>
          </w:p>
        </w:tc>
      </w:tr>
      <w:tr w:rsidR="00F934ED" w:rsidRPr="00076E76" w14:paraId="1719A0C7" w14:textId="77777777" w:rsidTr="002E557C">
        <w:tc>
          <w:tcPr>
            <w:tcW w:w="5529" w:type="dxa"/>
          </w:tcPr>
          <w:p w14:paraId="0FDA4CFD" w14:textId="4E9FF472" w:rsidR="00F934ED" w:rsidRPr="00076E76" w:rsidRDefault="00F934ED" w:rsidP="00F934ED">
            <w:pPr>
              <w:rPr>
                <w:rFonts w:ascii="Gill Sans" w:hAnsi="Gill Sans" w:cs="Gill Sans"/>
                <w:szCs w:val="22"/>
              </w:rPr>
            </w:pPr>
            <w:r w:rsidRPr="00076E76">
              <w:rPr>
                <w:rFonts w:ascii="Gill Sans" w:hAnsi="Gill Sans" w:cs="Gill Sans"/>
                <w:szCs w:val="22"/>
              </w:rPr>
              <w:lastRenderedPageBreak/>
              <w:t xml:space="preserve">Stirling, J. &amp; </w:t>
            </w:r>
            <w:proofErr w:type="spellStart"/>
            <w:r w:rsidRPr="00076E76">
              <w:rPr>
                <w:rFonts w:ascii="Gill Sans" w:hAnsi="Gill Sans" w:cs="Gill Sans"/>
                <w:szCs w:val="22"/>
              </w:rPr>
              <w:t>Rossetto</w:t>
            </w:r>
            <w:proofErr w:type="spellEnd"/>
            <w:r w:rsidRPr="00076E76">
              <w:rPr>
                <w:rFonts w:ascii="Gill Sans" w:hAnsi="Gill Sans" w:cs="Gill Sans"/>
                <w:szCs w:val="22"/>
              </w:rPr>
              <w:t xml:space="preserve">, C. (2015). </w:t>
            </w:r>
            <w:hyperlink r:id="rId127" w:history="1">
              <w:r w:rsidRPr="005D1C50">
                <w:rPr>
                  <w:rStyle w:val="Hyperlink"/>
                  <w:rFonts w:ascii="Gill Sans" w:hAnsi="Gill Sans" w:cs="Gill Sans"/>
                  <w:szCs w:val="22"/>
                </w:rPr>
                <w:t>“Are we there yet?”: Making sense of transition in higher education</w:t>
              </w:r>
            </w:hyperlink>
            <w:r w:rsidRPr="00076E76">
              <w:rPr>
                <w:rFonts w:ascii="Gill Sans" w:hAnsi="Gill Sans" w:cs="Gill Sans"/>
                <w:szCs w:val="22"/>
              </w:rPr>
              <w:t xml:space="preserve">, </w:t>
            </w:r>
            <w:r w:rsidRPr="00076E76">
              <w:rPr>
                <w:rFonts w:ascii="Gill Sans" w:hAnsi="Gill Sans" w:cs="Gill Sans"/>
                <w:i/>
                <w:szCs w:val="22"/>
              </w:rPr>
              <w:t xml:space="preserve">Student Success, </w:t>
            </w:r>
            <w:r w:rsidRPr="00076E76">
              <w:rPr>
                <w:rFonts w:ascii="Gill Sans" w:hAnsi="Gill Sans" w:cs="Gill Sans"/>
                <w:szCs w:val="22"/>
              </w:rPr>
              <w:t>6(2): 9-20.</w:t>
            </w:r>
          </w:p>
          <w:p w14:paraId="44C83591" w14:textId="77777777" w:rsidR="00F934ED" w:rsidRPr="00076E76" w:rsidRDefault="00F934ED" w:rsidP="00F934ED">
            <w:pPr>
              <w:rPr>
                <w:rFonts w:ascii="Gill Sans" w:hAnsi="Gill Sans" w:cs="Gill Sans"/>
                <w:szCs w:val="22"/>
              </w:rPr>
            </w:pPr>
          </w:p>
          <w:p w14:paraId="4FBBC33B" w14:textId="77777777" w:rsidR="00F934ED" w:rsidRPr="00076E76" w:rsidRDefault="00F934ED" w:rsidP="00F934ED">
            <w:pPr>
              <w:rPr>
                <w:rFonts w:ascii="Gill Sans" w:hAnsi="Gill Sans" w:cs="Gill Sans"/>
                <w:szCs w:val="22"/>
              </w:rPr>
            </w:pPr>
            <w:r w:rsidRPr="00076E76">
              <w:rPr>
                <w:rFonts w:ascii="Gill Sans" w:hAnsi="Gill Sans" w:cs="Gill Sans"/>
                <w:szCs w:val="22"/>
              </w:rPr>
              <w:t>AUS</w:t>
            </w:r>
          </w:p>
          <w:p w14:paraId="73509CEE"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713D9A2E" w14:textId="77777777" w:rsidR="00F934ED" w:rsidRPr="00076E76" w:rsidRDefault="00F934ED" w:rsidP="00F934ED">
            <w:pPr>
              <w:rPr>
                <w:rFonts w:ascii="Gill Sans" w:hAnsi="Gill Sans" w:cs="Gill Sans"/>
                <w:szCs w:val="22"/>
              </w:rPr>
            </w:pPr>
          </w:p>
          <w:p w14:paraId="5E684C98" w14:textId="1958C077" w:rsidR="00F934ED" w:rsidRPr="00076E76" w:rsidRDefault="00F934ED" w:rsidP="00F934ED">
            <w:pPr>
              <w:rPr>
                <w:rFonts w:ascii="Gill Sans" w:hAnsi="Gill Sans" w:cs="Gill Sans"/>
                <w:szCs w:val="22"/>
              </w:rPr>
            </w:pPr>
            <w:r w:rsidRPr="00076E76">
              <w:rPr>
                <w:rFonts w:ascii="Gill Sans" w:hAnsi="Gill Sans" w:cs="Gill Sans"/>
                <w:szCs w:val="22"/>
              </w:rPr>
              <w:t xml:space="preserve">Keywords: </w:t>
            </w:r>
            <w:r w:rsidRPr="00913907">
              <w:rPr>
                <w:rFonts w:ascii="Gill Sans" w:hAnsi="Gill Sans" w:cs="Gill Sans"/>
                <w:i/>
                <w:szCs w:val="22"/>
              </w:rPr>
              <w:t>transition</w:t>
            </w:r>
            <w:r w:rsidR="00913907">
              <w:rPr>
                <w:rFonts w:ascii="Gill Sans" w:hAnsi="Gill Sans" w:cs="Gill Sans"/>
                <w:i/>
                <w:szCs w:val="22"/>
              </w:rPr>
              <w:t>;</w:t>
            </w:r>
            <w:r w:rsidRPr="00913907">
              <w:rPr>
                <w:rFonts w:ascii="Gill Sans" w:hAnsi="Gill Sans" w:cs="Gill Sans"/>
                <w:i/>
                <w:szCs w:val="22"/>
              </w:rPr>
              <w:t xml:space="preserve"> FYE</w:t>
            </w:r>
            <w:r w:rsidR="00913907">
              <w:rPr>
                <w:rFonts w:ascii="Gill Sans" w:hAnsi="Gill Sans" w:cs="Gill Sans"/>
                <w:i/>
                <w:szCs w:val="22"/>
              </w:rPr>
              <w:t>;</w:t>
            </w:r>
            <w:r w:rsidRPr="00913907">
              <w:rPr>
                <w:rFonts w:ascii="Gill Sans" w:hAnsi="Gill Sans" w:cs="Gill Sans"/>
                <w:i/>
                <w:szCs w:val="22"/>
              </w:rPr>
              <w:t xml:space="preserve"> </w:t>
            </w:r>
            <w:proofErr w:type="spellStart"/>
            <w:r w:rsidRPr="00913907">
              <w:rPr>
                <w:rFonts w:ascii="Gill Sans" w:hAnsi="Gill Sans" w:cs="Gill Sans"/>
                <w:i/>
                <w:szCs w:val="22"/>
              </w:rPr>
              <w:t>regionalit</w:t>
            </w:r>
            <w:proofErr w:type="spellEnd"/>
            <w:r w:rsidR="00913907">
              <w:rPr>
                <w:rFonts w:ascii="Gill Sans" w:hAnsi="Gill Sans" w:cs="Gill Sans"/>
                <w:i/>
                <w:szCs w:val="22"/>
              </w:rPr>
              <w:t>;</w:t>
            </w:r>
            <w:r w:rsidRPr="00913907">
              <w:rPr>
                <w:rFonts w:ascii="Gill Sans" w:hAnsi="Gill Sans" w:cs="Gill Sans"/>
                <w:i/>
                <w:szCs w:val="22"/>
              </w:rPr>
              <w:t xml:space="preserve"> mature age</w:t>
            </w:r>
            <w:r w:rsidR="00913907">
              <w:rPr>
                <w:rFonts w:ascii="Gill Sans" w:hAnsi="Gill Sans" w:cs="Gill Sans"/>
                <w:i/>
                <w:szCs w:val="22"/>
              </w:rPr>
              <w:t>;</w:t>
            </w:r>
            <w:r w:rsidRPr="00913907">
              <w:rPr>
                <w:rFonts w:ascii="Gill Sans" w:hAnsi="Gill Sans" w:cs="Gill Sans"/>
                <w:i/>
                <w:szCs w:val="22"/>
              </w:rPr>
              <w:t xml:space="preserve"> first in family</w:t>
            </w:r>
            <w:r w:rsidR="00913907">
              <w:rPr>
                <w:rFonts w:ascii="Gill Sans" w:hAnsi="Gill Sans" w:cs="Gill Sans"/>
                <w:i/>
                <w:szCs w:val="22"/>
              </w:rPr>
              <w:t>;</w:t>
            </w:r>
            <w:r w:rsidRPr="00913907">
              <w:rPr>
                <w:rFonts w:ascii="Gill Sans" w:hAnsi="Gill Sans" w:cs="Gill Sans"/>
                <w:i/>
                <w:szCs w:val="22"/>
              </w:rPr>
              <w:t xml:space="preserve"> indigenous</w:t>
            </w:r>
            <w:r w:rsidR="00913907">
              <w:rPr>
                <w:rFonts w:ascii="Gill Sans" w:hAnsi="Gill Sans" w:cs="Gill Sans"/>
                <w:i/>
                <w:szCs w:val="22"/>
              </w:rPr>
              <w:t xml:space="preserve">; </w:t>
            </w:r>
            <w:r w:rsidRPr="00913907">
              <w:rPr>
                <w:rFonts w:ascii="Gill Sans" w:hAnsi="Gill Sans" w:cs="Gill Sans"/>
                <w:i/>
                <w:szCs w:val="22"/>
              </w:rPr>
              <w:t>low SES</w:t>
            </w:r>
            <w:r w:rsidR="00913907">
              <w:rPr>
                <w:rFonts w:ascii="Gill Sans" w:hAnsi="Gill Sans" w:cs="Gill Sans"/>
                <w:i/>
                <w:szCs w:val="22"/>
              </w:rPr>
              <w:t xml:space="preserve">; </w:t>
            </w:r>
            <w:r w:rsidRPr="00913907">
              <w:rPr>
                <w:rFonts w:ascii="Gill Sans" w:hAnsi="Gill Sans" w:cs="Gill Sans"/>
                <w:i/>
                <w:szCs w:val="22"/>
              </w:rPr>
              <w:t>blended learning</w:t>
            </w:r>
          </w:p>
        </w:tc>
        <w:tc>
          <w:tcPr>
            <w:tcW w:w="10064" w:type="dxa"/>
          </w:tcPr>
          <w:p w14:paraId="2AB715C8" w14:textId="77777777" w:rsidR="00F934ED" w:rsidRPr="00076E76" w:rsidRDefault="00F934ED" w:rsidP="00F934ED">
            <w:pPr>
              <w:rPr>
                <w:rFonts w:ascii="Gill Sans" w:hAnsi="Gill Sans" w:cs="Gill Sans"/>
                <w:color w:val="000000"/>
                <w:szCs w:val="22"/>
              </w:rPr>
            </w:pPr>
            <w:r w:rsidRPr="00076E76">
              <w:rPr>
                <w:rFonts w:ascii="Gill Sans" w:hAnsi="Gill Sans" w:cs="Gill Sans"/>
                <w:b/>
                <w:color w:val="000000"/>
                <w:szCs w:val="22"/>
                <w:lang w:val="en-AU"/>
              </w:rPr>
              <w:t xml:space="preserve">Context: </w:t>
            </w:r>
            <w:r w:rsidRPr="00076E76">
              <w:rPr>
                <w:rFonts w:ascii="Gill Sans" w:hAnsi="Gill Sans" w:cs="Gill Sans"/>
                <w:color w:val="000000"/>
                <w:szCs w:val="22"/>
                <w:lang w:val="en-AU"/>
              </w:rPr>
              <w:t>Examines a first year transition program at UOW designed for students at a regional campus, whose students are mostly mature age, FinF, indigenous and/or low SES. Program set up because of observations (not primarily policy/funding imperative!). Programs are largely blended (range of technologies) but some students are not confident or familiar with digital literacies. Teaching staff = primarily casual which also brings limitations. Discusses arguments to embed academic literacies in disciplines/ within a subject. UOW = undergoing university-wide curriculum renewal “</w:t>
            </w:r>
            <w:r w:rsidRPr="00076E76">
              <w:rPr>
                <w:rFonts w:ascii="Gill Sans" w:hAnsi="Gill Sans" w:cs="Gill Sans"/>
                <w:color w:val="000000"/>
                <w:szCs w:val="22"/>
              </w:rPr>
              <w:t xml:space="preserve">to ensure the integration or embedding of academic and English language teaching and learning in core and capstone subjects” (p.11). The </w:t>
            </w:r>
            <w:proofErr w:type="spellStart"/>
            <w:r w:rsidRPr="00076E76">
              <w:rPr>
                <w:rFonts w:ascii="Gill Sans" w:hAnsi="Gill Sans" w:cs="Gill Sans"/>
                <w:color w:val="000000"/>
                <w:szCs w:val="22"/>
              </w:rPr>
              <w:t>Yr</w:t>
            </w:r>
            <w:proofErr w:type="spellEnd"/>
            <w:r w:rsidRPr="00076E76">
              <w:rPr>
                <w:rFonts w:ascii="Gill Sans" w:hAnsi="Gill Sans" w:cs="Gill Sans"/>
                <w:color w:val="000000"/>
                <w:szCs w:val="22"/>
              </w:rPr>
              <w:t xml:space="preserve"> 1 transition program = sits outside of discipline but parts are explicitly aligned with curriculum-specific ALL requirements and has 3 tiers:</w:t>
            </w:r>
          </w:p>
          <w:p w14:paraId="4CCB554C" w14:textId="77777777" w:rsidR="00F934ED" w:rsidRPr="00076E76" w:rsidRDefault="00F934ED" w:rsidP="00F934ED">
            <w:pPr>
              <w:pStyle w:val="ListParagraph"/>
              <w:numPr>
                <w:ilvl w:val="0"/>
                <w:numId w:val="5"/>
              </w:numPr>
              <w:rPr>
                <w:rFonts w:ascii="Gill Sans" w:hAnsi="Gill Sans" w:cs="Gill Sans"/>
                <w:color w:val="000000"/>
                <w:szCs w:val="22"/>
              </w:rPr>
            </w:pPr>
            <w:r w:rsidRPr="00076E76">
              <w:rPr>
                <w:rFonts w:ascii="Gill Sans" w:hAnsi="Gill Sans" w:cs="Gill Sans"/>
                <w:color w:val="000000"/>
                <w:szCs w:val="22"/>
              </w:rPr>
              <w:t>pre-commencement “immersion” day [orientation]</w:t>
            </w:r>
          </w:p>
          <w:p w14:paraId="2F9434EE" w14:textId="77777777" w:rsidR="00F934ED" w:rsidRPr="00076E76" w:rsidRDefault="00F934ED" w:rsidP="00F934ED">
            <w:pPr>
              <w:pStyle w:val="ListParagraph"/>
              <w:numPr>
                <w:ilvl w:val="0"/>
                <w:numId w:val="5"/>
              </w:numPr>
              <w:rPr>
                <w:rFonts w:ascii="Gill Sans" w:hAnsi="Gill Sans" w:cs="Gill Sans"/>
                <w:color w:val="000000"/>
                <w:szCs w:val="22"/>
                <w:lang w:val="en-AU"/>
              </w:rPr>
            </w:pPr>
            <w:r w:rsidRPr="00076E76">
              <w:rPr>
                <w:rFonts w:ascii="Gill Sans" w:hAnsi="Gill Sans" w:cs="Gill Sans"/>
                <w:color w:val="000000"/>
                <w:szCs w:val="22"/>
                <w:lang w:val="en-AU"/>
              </w:rPr>
              <w:t>first semester weekly curricula-aligned seminar streams (critical thinking, researching, writing in specific disciplines)</w:t>
            </w:r>
          </w:p>
          <w:p w14:paraId="63BF4CA6" w14:textId="77777777" w:rsidR="00F934ED" w:rsidRPr="00076E76" w:rsidRDefault="00F934ED" w:rsidP="00F934ED">
            <w:pPr>
              <w:pStyle w:val="ListParagraph"/>
              <w:numPr>
                <w:ilvl w:val="0"/>
                <w:numId w:val="5"/>
              </w:numPr>
              <w:rPr>
                <w:rFonts w:ascii="Gill Sans" w:hAnsi="Gill Sans" w:cs="Gill Sans"/>
                <w:color w:val="000000"/>
                <w:szCs w:val="22"/>
                <w:lang w:val="en-AU"/>
              </w:rPr>
            </w:pPr>
            <w:r w:rsidRPr="00076E76">
              <w:rPr>
                <w:rFonts w:ascii="Gill Sans" w:hAnsi="Gill Sans" w:cs="Gill Sans"/>
                <w:color w:val="000000"/>
                <w:szCs w:val="22"/>
                <w:lang w:val="en-AU"/>
              </w:rPr>
              <w:t>mid-year, day-long writing intensive</w:t>
            </w:r>
          </w:p>
          <w:p w14:paraId="3CEC735E" w14:textId="77777777" w:rsidR="00F934ED" w:rsidRPr="00076E76" w:rsidRDefault="00F934ED" w:rsidP="00F934ED">
            <w:pPr>
              <w:rPr>
                <w:rFonts w:ascii="Gill Sans" w:hAnsi="Gill Sans" w:cs="Gill Sans"/>
              </w:rPr>
            </w:pPr>
            <w:r w:rsidRPr="00076E76">
              <w:rPr>
                <w:rFonts w:ascii="Gill Sans" w:hAnsi="Gill Sans" w:cs="Gill Sans"/>
                <w:b/>
                <w:color w:val="000000"/>
                <w:szCs w:val="22"/>
                <w:lang w:val="en-AU"/>
              </w:rPr>
              <w:t xml:space="preserve">Aim: </w:t>
            </w:r>
            <w:r w:rsidRPr="00076E76">
              <w:rPr>
                <w:rFonts w:ascii="Gill Sans" w:hAnsi="Gill Sans" w:cs="Gill Sans"/>
                <w:color w:val="000000"/>
                <w:szCs w:val="22"/>
                <w:lang w:val="en-AU"/>
              </w:rPr>
              <w:t>Program aim: “</w:t>
            </w:r>
            <w:r w:rsidRPr="00076E76">
              <w:rPr>
                <w:rFonts w:ascii="Gill Sans" w:hAnsi="Gill Sans" w:cs="Gill Sans"/>
              </w:rPr>
              <w:t xml:space="preserve">to facilitate academic participation and hence retention in a higher education environment that relies on various multimedia technologies and blended learning models” (abstract). Paper aim: to offer insights from evaluation of program: record student attendance, rate each module using </w:t>
            </w:r>
            <w:proofErr w:type="spellStart"/>
            <w:r w:rsidRPr="00076E76">
              <w:rPr>
                <w:rFonts w:ascii="Gill Sans" w:hAnsi="Gill Sans" w:cs="Gill Sans"/>
              </w:rPr>
              <w:t>likert</w:t>
            </w:r>
            <w:proofErr w:type="spellEnd"/>
            <w:r w:rsidRPr="00076E76">
              <w:rPr>
                <w:rFonts w:ascii="Gill Sans" w:hAnsi="Gill Sans" w:cs="Gill Sans"/>
              </w:rPr>
              <w:t>-scale and collect ‘student commentary’. Authors note that their program aligns with Gale &amp; Parker’s ‘transition as induction’ conceptualisation, leading them to question what transition means to students/ and seek to achieve a ‘transition as becoming’ process</w:t>
            </w:r>
          </w:p>
          <w:p w14:paraId="5612A8AD" w14:textId="77777777" w:rsidR="00F934ED" w:rsidRPr="00076E76" w:rsidRDefault="00F934ED" w:rsidP="00F934ED">
            <w:pPr>
              <w:rPr>
                <w:rFonts w:ascii="Gill Sans" w:hAnsi="Gill Sans" w:cs="Gill Sans"/>
                <w:b/>
                <w:color w:val="000000"/>
                <w:szCs w:val="22"/>
                <w:lang w:val="en-AU"/>
              </w:rPr>
            </w:pPr>
            <w:r w:rsidRPr="00076E76">
              <w:rPr>
                <w:rFonts w:ascii="Gill Sans" w:hAnsi="Gill Sans" w:cs="Gill Sans"/>
                <w:b/>
                <w:color w:val="000000"/>
                <w:szCs w:val="22"/>
                <w:lang w:val="en-AU"/>
              </w:rPr>
              <w:t xml:space="preserve">Theoretical frame: </w:t>
            </w:r>
            <w:r w:rsidRPr="00076E76">
              <w:rPr>
                <w:rFonts w:ascii="Gill Sans" w:hAnsi="Gill Sans" w:cs="Gill Sans"/>
                <w:color w:val="000000"/>
                <w:szCs w:val="22"/>
                <w:lang w:val="en-AU"/>
              </w:rPr>
              <w:t>Praxis approach [?]; draw on notion of palimpsest to “</w:t>
            </w:r>
            <w:r w:rsidRPr="00076E76">
              <w:rPr>
                <w:rFonts w:ascii="Gill Sans" w:hAnsi="Gill Sans" w:cs="Gill Sans"/>
                <w:color w:val="000000"/>
                <w:szCs w:val="22"/>
              </w:rPr>
              <w:t>think through the complex layering between subjective responses of students to the demands of academic writing and the (con)textual product” (drawing on Yancey, 2004; p.16)</w:t>
            </w:r>
          </w:p>
          <w:p w14:paraId="24DDD249"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Discussion of evaluation strategy (p.12-13) based on measuring attrition/retention rates + qualitative student commentary. Offers series of narratives/ representative student accounts</w:t>
            </w:r>
          </w:p>
          <w:p w14:paraId="6CD90166" w14:textId="77777777" w:rsidR="00F934ED" w:rsidRPr="00076E76" w:rsidRDefault="00F934ED" w:rsidP="00F934ED">
            <w:pPr>
              <w:rPr>
                <w:rFonts w:ascii="Gill Sans" w:hAnsi="Gill Sans" w:cs="Gill Sans"/>
                <w:b/>
                <w:color w:val="000000"/>
                <w:szCs w:val="22"/>
                <w:lang w:val="en-AU"/>
              </w:rPr>
            </w:pPr>
            <w:r w:rsidRPr="00076E76">
              <w:rPr>
                <w:rFonts w:ascii="Gill Sans" w:hAnsi="Gill Sans" w:cs="Gill Sans"/>
                <w:b/>
                <w:color w:val="000000"/>
                <w:szCs w:val="22"/>
                <w:lang w:val="en-AU"/>
              </w:rPr>
              <w:t xml:space="preserve">Findings: </w:t>
            </w:r>
          </w:p>
          <w:p w14:paraId="624F4BBE" w14:textId="72E4D2B1" w:rsidR="00F934ED" w:rsidRPr="00076E76" w:rsidRDefault="00F934ED" w:rsidP="00F934ED">
            <w:pPr>
              <w:rPr>
                <w:rFonts w:ascii="Gill Sans" w:hAnsi="Gill Sans" w:cs="Gill Sans"/>
                <w:b/>
                <w:color w:val="000000"/>
                <w:szCs w:val="22"/>
                <w:lang w:val="en-AU"/>
              </w:rPr>
            </w:pPr>
            <w:r w:rsidRPr="00076E76">
              <w:rPr>
                <w:rFonts w:ascii="Gill Sans" w:hAnsi="Gill Sans" w:cs="Gill Sans"/>
                <w:color w:val="000000"/>
                <w:szCs w:val="22"/>
                <w:lang w:val="en-AU"/>
              </w:rPr>
              <w:t xml:space="preserve">Discussion includes complexities of blended learning (opportunities gained and lost through use of virtual technologies. For example, first year, first semester mature age indigenous student doesn’t know how to use </w:t>
            </w:r>
            <w:r w:rsidRPr="00076E76">
              <w:rPr>
                <w:rFonts w:ascii="Gill Sans" w:hAnsi="Gill Sans" w:cs="Gill Sans"/>
                <w:color w:val="000000"/>
                <w:szCs w:val="22"/>
                <w:lang w:val="en-AU"/>
              </w:rPr>
              <w:lastRenderedPageBreak/>
              <w:t>technology (doesn’t know about the mute button for example) and is too bewildered to ask questions but tutor feels under-recognised because s/he is going extra mile to create creative, high quality learning materials. Authors argue that, “</w:t>
            </w:r>
            <w:r w:rsidRPr="00076E76">
              <w:rPr>
                <w:rFonts w:ascii="Gill Sans" w:hAnsi="Gill Sans" w:cs="Gill Sans"/>
                <w:color w:val="000000"/>
                <w:szCs w:val="22"/>
              </w:rPr>
              <w:t>What is at stake here are the competing realities between point-of-delivery normative assumptions made by an overworked and under-supported subject lecturer…. and an at-a-distant student” (p.15). Other students note how their transformations jostle with home/work/previous identities. Working from notion of palimpsest, authors argue that to judge students by academic literacies conventions “places important differences and the politics of identity inherent in diversity and social inclusion under erasure” (p.17). Evoking the palimpsest offers reminder (‘reclamation’) of previous writing; “historical inscription and current inscription are coherently incommensurate” (p.17). Authors note that students’ “sense of location, dislocation, re-location, can have profound effects on a student’s capacity to learn and to also take satisfaction in that learning” (p.17)</w:t>
            </w:r>
            <w:r w:rsidRPr="00076E76">
              <w:rPr>
                <w:rFonts w:ascii="Gill Sans" w:hAnsi="Gill Sans" w:cs="Gill Sans"/>
                <w:b/>
                <w:color w:val="000000"/>
                <w:szCs w:val="22"/>
                <w:lang w:val="en-AU"/>
              </w:rPr>
              <w:br/>
              <w:t xml:space="preserve">Core argument: </w:t>
            </w:r>
            <w:r w:rsidRPr="00076E76">
              <w:rPr>
                <w:rFonts w:ascii="Gill Sans" w:hAnsi="Gill Sans" w:cs="Gill Sans"/>
                <w:color w:val="000000"/>
                <w:szCs w:val="22"/>
                <w:lang w:val="en-AU"/>
              </w:rPr>
              <w:t>There are core tensions between teachers, equity students and ALL: “</w:t>
            </w:r>
            <w:r w:rsidRPr="00076E76">
              <w:rPr>
                <w:rFonts w:ascii="Gill Sans" w:hAnsi="Gill Sans" w:cs="Gill Sans"/>
                <w:color w:val="000000"/>
                <w:szCs w:val="22"/>
              </w:rPr>
              <w:t>We argue that too often subject lecturers, equity students and, indeed, ALL teachers, become entangled in the sometimes competing imperatives of teaching directives and equity policy implementation” (p.11). Authors call for radical change (‘recalibration’) of what transition means in context of widening participation and technological change.</w:t>
            </w:r>
          </w:p>
        </w:tc>
      </w:tr>
      <w:tr w:rsidR="00F934ED" w:rsidRPr="00076E76" w14:paraId="3B1E3126" w14:textId="77777777" w:rsidTr="002E557C">
        <w:tc>
          <w:tcPr>
            <w:tcW w:w="5529" w:type="dxa"/>
          </w:tcPr>
          <w:p w14:paraId="7F061833" w14:textId="0A584547" w:rsidR="00F934ED" w:rsidRPr="0055203B" w:rsidRDefault="00F934ED" w:rsidP="00F934ED">
            <w:pPr>
              <w:rPr>
                <w:rFonts w:ascii="Gill Sans" w:hAnsi="Gill Sans" w:cs="Gill Sans"/>
                <w:szCs w:val="22"/>
              </w:rPr>
            </w:pPr>
            <w:r w:rsidRPr="00076E76">
              <w:rPr>
                <w:rFonts w:ascii="Gill Sans" w:hAnsi="Gill Sans" w:cs="Gill Sans"/>
                <w:szCs w:val="22"/>
              </w:rPr>
              <w:lastRenderedPageBreak/>
              <w:t>Taylor, C.A. &amp; Harris-Evans, J. (201</w:t>
            </w:r>
            <w:r>
              <w:rPr>
                <w:rFonts w:ascii="Gill Sans" w:hAnsi="Gill Sans" w:cs="Gill Sans"/>
                <w:szCs w:val="22"/>
              </w:rPr>
              <w:t>8</w:t>
            </w:r>
            <w:r w:rsidRPr="00076E76">
              <w:rPr>
                <w:rFonts w:ascii="Gill Sans" w:hAnsi="Gill Sans" w:cs="Gill Sans"/>
                <w:szCs w:val="22"/>
              </w:rPr>
              <w:t xml:space="preserve">). </w:t>
            </w:r>
            <w:hyperlink r:id="rId128" w:history="1">
              <w:proofErr w:type="spellStart"/>
              <w:r w:rsidRPr="0055203B">
                <w:rPr>
                  <w:rStyle w:val="Hyperlink"/>
                  <w:rFonts w:ascii="Gill Sans" w:hAnsi="Gill Sans" w:cs="Gill Sans"/>
                  <w:szCs w:val="22"/>
                </w:rPr>
                <w:t>Reconceptualising</w:t>
              </w:r>
              <w:proofErr w:type="spellEnd"/>
              <w:r w:rsidRPr="0055203B">
                <w:rPr>
                  <w:rStyle w:val="Hyperlink"/>
                  <w:rFonts w:ascii="Gill Sans" w:hAnsi="Gill Sans" w:cs="Gill Sans"/>
                  <w:szCs w:val="22"/>
                </w:rPr>
                <w:t xml:space="preserve"> transition to Higher Education with Deleuze and </w:t>
              </w:r>
              <w:proofErr w:type="spellStart"/>
              <w:r w:rsidRPr="0055203B">
                <w:rPr>
                  <w:rStyle w:val="Hyperlink"/>
                  <w:rFonts w:ascii="Gill Sans" w:hAnsi="Gill Sans" w:cs="Gill Sans"/>
                  <w:szCs w:val="22"/>
                </w:rPr>
                <w:t>Guatarri</w:t>
              </w:r>
              <w:proofErr w:type="spellEnd"/>
            </w:hyperlink>
            <w:r w:rsidRPr="00076E76">
              <w:rPr>
                <w:rFonts w:ascii="Gill Sans" w:hAnsi="Gill Sans" w:cs="Gill Sans"/>
                <w:szCs w:val="22"/>
              </w:rPr>
              <w:t xml:space="preserve">, </w:t>
            </w:r>
            <w:r w:rsidRPr="00076E76">
              <w:rPr>
                <w:rFonts w:ascii="Gill Sans" w:hAnsi="Gill Sans" w:cs="Gill Sans"/>
                <w:i/>
                <w:szCs w:val="22"/>
              </w:rPr>
              <w:t xml:space="preserve">Studies in Higher Education, </w:t>
            </w:r>
            <w:r>
              <w:rPr>
                <w:rFonts w:ascii="Gill Sans" w:hAnsi="Gill Sans" w:cs="Gill Sans"/>
                <w:szCs w:val="22"/>
              </w:rPr>
              <w:t>43(7), 1254–1267.</w:t>
            </w:r>
          </w:p>
          <w:p w14:paraId="27DB626D" w14:textId="77777777" w:rsidR="00F934ED" w:rsidRPr="00076E76" w:rsidRDefault="00F934ED" w:rsidP="00F934ED">
            <w:pPr>
              <w:rPr>
                <w:rFonts w:ascii="Gill Sans" w:hAnsi="Gill Sans" w:cs="Gill Sans"/>
                <w:szCs w:val="22"/>
              </w:rPr>
            </w:pPr>
          </w:p>
          <w:p w14:paraId="265BB9DA" w14:textId="77777777" w:rsidR="00F934ED" w:rsidRPr="00076E76" w:rsidRDefault="00F934ED" w:rsidP="00F934ED">
            <w:pPr>
              <w:rPr>
                <w:rFonts w:ascii="Gill Sans" w:hAnsi="Gill Sans" w:cs="Gill Sans"/>
                <w:szCs w:val="22"/>
              </w:rPr>
            </w:pPr>
            <w:r w:rsidRPr="00076E76">
              <w:rPr>
                <w:rFonts w:ascii="Gill Sans" w:hAnsi="Gill Sans" w:cs="Gill Sans"/>
                <w:szCs w:val="22"/>
              </w:rPr>
              <w:t>UK</w:t>
            </w:r>
          </w:p>
          <w:p w14:paraId="1DB5AE18"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5B7B2134" w14:textId="77777777" w:rsidR="00F934ED" w:rsidRPr="00076E76" w:rsidRDefault="00F934ED" w:rsidP="00F934ED">
            <w:pPr>
              <w:rPr>
                <w:rFonts w:ascii="Gill Sans" w:hAnsi="Gill Sans" w:cs="Gill Sans"/>
                <w:szCs w:val="22"/>
              </w:rPr>
            </w:pPr>
          </w:p>
          <w:p w14:paraId="18F75C8E" w14:textId="77777777" w:rsidR="00F934ED" w:rsidRPr="00076E76" w:rsidRDefault="00F934ED" w:rsidP="00F934ED">
            <w:pPr>
              <w:rPr>
                <w:rFonts w:ascii="Gill Sans" w:hAnsi="Gill Sans" w:cs="Gill Sans"/>
                <w:szCs w:val="22"/>
              </w:rPr>
            </w:pPr>
          </w:p>
          <w:p w14:paraId="21F6A945" w14:textId="04D04567" w:rsidR="00F934ED" w:rsidRPr="00076E76" w:rsidRDefault="00F934ED" w:rsidP="00F934ED">
            <w:pPr>
              <w:rPr>
                <w:rFonts w:ascii="Gill Sans" w:hAnsi="Gill Sans" w:cs="Gill Sans"/>
                <w:szCs w:val="22"/>
              </w:rPr>
            </w:pPr>
            <w:r w:rsidRPr="00076E76">
              <w:rPr>
                <w:rFonts w:ascii="Gill Sans" w:hAnsi="Gill Sans" w:cs="Gill Sans"/>
                <w:szCs w:val="22"/>
              </w:rPr>
              <w:t xml:space="preserve">Keywords: </w:t>
            </w:r>
            <w:r w:rsidRPr="00CC0B62">
              <w:rPr>
                <w:rFonts w:ascii="Gill Sans" w:hAnsi="Gill Sans" w:cs="Gill Sans"/>
                <w:i/>
                <w:szCs w:val="22"/>
              </w:rPr>
              <w:t xml:space="preserve">Transition; assemblage; rhizome; becoming; Deleuze and </w:t>
            </w:r>
            <w:proofErr w:type="spellStart"/>
            <w:r w:rsidRPr="00CC0B62">
              <w:rPr>
                <w:rFonts w:ascii="Gill Sans" w:hAnsi="Gill Sans" w:cs="Gill Sans"/>
                <w:i/>
                <w:szCs w:val="22"/>
              </w:rPr>
              <w:t>Guattari</w:t>
            </w:r>
            <w:proofErr w:type="spellEnd"/>
            <w:r w:rsidRPr="00CC0B62">
              <w:rPr>
                <w:rFonts w:ascii="Gill Sans" w:hAnsi="Gill Sans" w:cs="Gill Sans"/>
                <w:i/>
                <w:szCs w:val="22"/>
              </w:rPr>
              <w:t>; student; Higher Education</w:t>
            </w:r>
          </w:p>
        </w:tc>
        <w:tc>
          <w:tcPr>
            <w:tcW w:w="10064" w:type="dxa"/>
          </w:tcPr>
          <w:p w14:paraId="0948C85F" w14:textId="3176920F"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sidRPr="00076E76">
              <w:rPr>
                <w:rFonts w:ascii="Gill Sans" w:hAnsi="Gill Sans" w:cs="Gill Sans"/>
                <w:color w:val="000000"/>
                <w:szCs w:val="22"/>
                <w:lang w:val="en-AU"/>
              </w:rPr>
              <w:t>Students’ transitions into and through higher education – authors argue that transition is most commonly thought of as linear process, which “</w:t>
            </w:r>
            <w:r w:rsidRPr="00076E76">
              <w:rPr>
                <w:rFonts w:ascii="Gill Sans" w:hAnsi="Gill Sans" w:cs="Gill Sans"/>
                <w:color w:val="000000"/>
                <w:szCs w:val="22"/>
              </w:rPr>
              <w:t>lends itself to the production of somewhat reductive and superficial accounts of students’ lived experiences” (p.1), and secondly there is a dominance towards assimilation, which “downplays the complex relations and webs that students forge between what happens in their lives ‘outside’ the institution and what goes on within it” (p.1)</w:t>
            </w:r>
          </w:p>
          <w:p w14:paraId="483B9896" w14:textId="226AEC51"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sidRPr="00076E76">
              <w:rPr>
                <w:rFonts w:ascii="Gill Sans" w:hAnsi="Gill Sans" w:cs="Gill Sans"/>
                <w:color w:val="000000"/>
                <w:szCs w:val="22"/>
                <w:lang w:val="en-AU"/>
              </w:rPr>
              <w:t xml:space="preserve">To draw on three elements of Deleuze and </w:t>
            </w:r>
            <w:proofErr w:type="spellStart"/>
            <w:r w:rsidRPr="00076E76">
              <w:rPr>
                <w:rFonts w:ascii="Gill Sans" w:hAnsi="Gill Sans" w:cs="Gill Sans"/>
                <w:color w:val="000000"/>
                <w:szCs w:val="22"/>
                <w:lang w:val="en-AU"/>
              </w:rPr>
              <w:t>Guatarri’s</w:t>
            </w:r>
            <w:proofErr w:type="spellEnd"/>
            <w:r w:rsidRPr="00076E76">
              <w:rPr>
                <w:rFonts w:ascii="Gill Sans" w:hAnsi="Gill Sans" w:cs="Gill Sans"/>
                <w:color w:val="000000"/>
                <w:szCs w:val="22"/>
                <w:lang w:val="en-AU"/>
              </w:rPr>
              <w:t xml:space="preserve"> theory (assemblage, rhizome, becoming) to reconceptualise/ develop a more complex understanding of transition to higher education that is a “</w:t>
            </w:r>
            <w:r w:rsidRPr="00076E76">
              <w:rPr>
                <w:rFonts w:ascii="Gill Sans" w:hAnsi="Gill Sans" w:cs="Gill Sans"/>
                <w:color w:val="000000"/>
                <w:szCs w:val="22"/>
              </w:rPr>
              <w:t>more fluid, emergent and multiple process” (p.1).</w:t>
            </w:r>
          </w:p>
          <w:p w14:paraId="3159958C" w14:textId="6444B8FB"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Theoretical frame: </w:t>
            </w:r>
            <w:r w:rsidRPr="00076E76">
              <w:rPr>
                <w:rFonts w:ascii="Gill Sans" w:hAnsi="Gill Sans" w:cs="Gill Sans"/>
                <w:color w:val="000000"/>
                <w:szCs w:val="22"/>
                <w:lang w:val="en-AU"/>
              </w:rPr>
              <w:t xml:space="preserve">Draws on Deleuze and </w:t>
            </w:r>
            <w:proofErr w:type="spellStart"/>
            <w:r w:rsidRPr="00076E76">
              <w:rPr>
                <w:rFonts w:ascii="Gill Sans" w:hAnsi="Gill Sans" w:cs="Gill Sans"/>
                <w:color w:val="000000"/>
                <w:szCs w:val="22"/>
                <w:lang w:val="en-AU"/>
              </w:rPr>
              <w:t>Guatarri</w:t>
            </w:r>
            <w:proofErr w:type="spellEnd"/>
            <w:r w:rsidRPr="00076E76">
              <w:rPr>
                <w:rFonts w:ascii="Gill Sans" w:hAnsi="Gill Sans" w:cs="Gill Sans"/>
                <w:color w:val="000000"/>
                <w:szCs w:val="22"/>
                <w:lang w:val="en-AU"/>
              </w:rPr>
              <w:t xml:space="preserve"> to build on Gale &amp; Parker’s (2014) 3-part typology</w:t>
            </w:r>
          </w:p>
          <w:p w14:paraId="54CAFAA5" w14:textId="2A01131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Draws on two transitions-focused projects from the UK (see p.4)</w:t>
            </w:r>
          </w:p>
          <w:p w14:paraId="064625A3" w14:textId="77777777" w:rsidR="00F934ED" w:rsidRPr="00076E76" w:rsidRDefault="00F934ED" w:rsidP="00F934ED">
            <w:pPr>
              <w:rPr>
                <w:rFonts w:ascii="Gill Sans" w:hAnsi="Gill Sans" w:cs="Gill Sans"/>
                <w:b/>
                <w:color w:val="000000"/>
                <w:szCs w:val="22"/>
                <w:lang w:val="en-AU"/>
              </w:rPr>
            </w:pPr>
            <w:r w:rsidRPr="00076E76">
              <w:rPr>
                <w:rFonts w:ascii="Gill Sans" w:hAnsi="Gill Sans" w:cs="Gill Sans"/>
                <w:b/>
                <w:color w:val="000000"/>
                <w:szCs w:val="22"/>
                <w:lang w:val="en-AU"/>
              </w:rPr>
              <w:t xml:space="preserve">Findings: </w:t>
            </w:r>
          </w:p>
          <w:p w14:paraId="3A545DC9" w14:textId="7777777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u w:val="single"/>
                <w:lang w:val="en-AU"/>
              </w:rPr>
              <w:t xml:space="preserve">Assemblage: </w:t>
            </w:r>
            <w:r w:rsidRPr="00076E76">
              <w:rPr>
                <w:rFonts w:ascii="Gill Sans" w:hAnsi="Gill Sans" w:cs="Gill Sans"/>
                <w:color w:val="000000"/>
                <w:szCs w:val="22"/>
                <w:lang w:val="en-AU"/>
              </w:rPr>
              <w:t>= “</w:t>
            </w:r>
            <w:r w:rsidRPr="00076E76">
              <w:rPr>
                <w:rFonts w:ascii="Gill Sans" w:hAnsi="Gill Sans" w:cs="Gill Sans"/>
                <w:color w:val="000000"/>
                <w:szCs w:val="22"/>
              </w:rPr>
              <w:t xml:space="preserve">an emergent, temporarily stable yet continually mutating conglomeration of bodies, properties, things, affects and </w:t>
            </w:r>
            <w:proofErr w:type="spellStart"/>
            <w:r w:rsidRPr="00076E76">
              <w:rPr>
                <w:rFonts w:ascii="Gill Sans" w:hAnsi="Gill Sans" w:cs="Gill Sans"/>
                <w:color w:val="000000"/>
                <w:szCs w:val="22"/>
              </w:rPr>
              <w:t>materialities</w:t>
            </w:r>
            <w:proofErr w:type="spellEnd"/>
            <w:r w:rsidRPr="00076E76">
              <w:rPr>
                <w:rFonts w:ascii="Gill Sans" w:hAnsi="Gill Sans" w:cs="Gill Sans"/>
                <w:color w:val="000000"/>
                <w:szCs w:val="22"/>
              </w:rPr>
              <w:t>” or “how things combine together in complex configurations that seem momentarily stable, even though we are aware things are always changing, or just about to change” (p.5). Thinking about assemblage: “highlights transition</w:t>
            </w:r>
            <w:r w:rsidRPr="00076E76">
              <w:rPr>
                <w:rFonts w:ascii="Gill Sans" w:hAnsi="Gill Sans" w:cs="Gill Sans"/>
                <w:i/>
                <w:color w:val="000000"/>
                <w:szCs w:val="22"/>
              </w:rPr>
              <w:t>ing</w:t>
            </w:r>
            <w:r w:rsidRPr="00076E76">
              <w:rPr>
                <w:rFonts w:ascii="Gill Sans" w:hAnsi="Gill Sans" w:cs="Gill Sans"/>
                <w:color w:val="000000"/>
                <w:szCs w:val="22"/>
              </w:rPr>
              <w:t xml:space="preserve"> as an active making and unmaking of the ‘thing’ called ‘transition’. Transition is a process which draws elements into its orbit and fits them together in an </w:t>
            </w:r>
            <w:r w:rsidRPr="00076E76">
              <w:rPr>
                <w:rFonts w:ascii="Gill Sans" w:hAnsi="Gill Sans" w:cs="Gill Sans"/>
                <w:color w:val="000000"/>
                <w:szCs w:val="22"/>
              </w:rPr>
              <w:lastRenderedPageBreak/>
              <w:t xml:space="preserve">‘arrangement’. This provokes us to attend to the elements that each student assembles within their individual transitioning, to how those elements work together, and how they are </w:t>
            </w:r>
            <w:r w:rsidRPr="00076E76">
              <w:rPr>
                <w:rFonts w:ascii="Gill Sans" w:hAnsi="Gill Sans" w:cs="Gill Sans"/>
                <w:i/>
                <w:color w:val="000000"/>
                <w:szCs w:val="22"/>
              </w:rPr>
              <w:t>put to work</w:t>
            </w:r>
            <w:r w:rsidRPr="00076E76">
              <w:rPr>
                <w:rFonts w:ascii="Gill Sans" w:hAnsi="Gill Sans" w:cs="Gill Sans"/>
                <w:color w:val="000000"/>
                <w:szCs w:val="22"/>
              </w:rPr>
              <w:t xml:space="preserve"> via connections” (p.6). The focus is less on the constitutive parts, and more on how they combine to create </w:t>
            </w:r>
            <w:r w:rsidRPr="00076E76">
              <w:rPr>
                <w:rFonts w:ascii="Gill Sans" w:hAnsi="Gill Sans" w:cs="Gill Sans"/>
                <w:b/>
                <w:color w:val="000000"/>
                <w:szCs w:val="22"/>
              </w:rPr>
              <w:t>individual</w:t>
            </w:r>
            <w:r w:rsidRPr="00076E76">
              <w:rPr>
                <w:rFonts w:ascii="Gill Sans" w:hAnsi="Gill Sans" w:cs="Gill Sans"/>
                <w:color w:val="000000"/>
                <w:szCs w:val="22"/>
              </w:rPr>
              <w:t xml:space="preserve"> conditions, which are not viewed as static but instead in constant motion (think Gale &amp; Parker’s T3).</w:t>
            </w:r>
          </w:p>
          <w:p w14:paraId="43B4D531" w14:textId="7777777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u w:val="single"/>
              </w:rPr>
              <w:t xml:space="preserve">Rhizome: </w:t>
            </w:r>
            <w:r w:rsidRPr="00076E76">
              <w:rPr>
                <w:rFonts w:ascii="Gill Sans" w:hAnsi="Gill Sans" w:cs="Gill Sans"/>
                <w:color w:val="000000"/>
                <w:szCs w:val="22"/>
              </w:rPr>
              <w:t>“forms or beings which can spread in any direction and move through levels and scales” and which are used to “de-</w:t>
            </w:r>
            <w:proofErr w:type="spellStart"/>
            <w:r w:rsidRPr="00076E76">
              <w:rPr>
                <w:rFonts w:ascii="Gill Sans" w:hAnsi="Gill Sans" w:cs="Gill Sans"/>
                <w:color w:val="000000"/>
                <w:szCs w:val="22"/>
              </w:rPr>
              <w:t>stablise</w:t>
            </w:r>
            <w:proofErr w:type="spellEnd"/>
            <w:r w:rsidRPr="00076E76">
              <w:rPr>
                <w:rFonts w:ascii="Gill Sans" w:hAnsi="Gill Sans" w:cs="Gill Sans"/>
                <w:color w:val="000000"/>
                <w:szCs w:val="22"/>
              </w:rPr>
              <w:t xml:space="preserve"> root and branch, linear or hierarchical systems of organization” (p.7). Authors “activate the concept of the rhizome to rethink knowledge and knowing during transition” (p.7). “Thinking of knowledge and knowing via the concept of the rhizome shifts the focus from knowing as cognitive intellection to knowing as an embodied form of (be)coming-to-know, suggestive of an ongoing, unfinishable process in which the ‘self’ continually emerges in each new act of </w:t>
            </w:r>
            <w:proofErr w:type="spellStart"/>
            <w:r w:rsidRPr="00076E76">
              <w:rPr>
                <w:rFonts w:ascii="Gill Sans" w:hAnsi="Gill Sans" w:cs="Gill Sans"/>
                <w:color w:val="000000"/>
                <w:szCs w:val="22"/>
              </w:rPr>
              <w:t>knowledgeing</w:t>
            </w:r>
            <w:proofErr w:type="spellEnd"/>
            <w:r w:rsidRPr="00076E76">
              <w:rPr>
                <w:rFonts w:ascii="Gill Sans" w:hAnsi="Gill Sans" w:cs="Gill Sans"/>
                <w:color w:val="000000"/>
                <w:szCs w:val="22"/>
              </w:rPr>
              <w:t>” (p.9).</w:t>
            </w:r>
          </w:p>
          <w:p w14:paraId="33437730" w14:textId="7777777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u w:val="single"/>
              </w:rPr>
              <w:t>Becoming</w:t>
            </w:r>
            <w:r w:rsidRPr="00076E76">
              <w:rPr>
                <w:rFonts w:ascii="Gill Sans" w:hAnsi="Gill Sans" w:cs="Gill Sans"/>
                <w:color w:val="000000"/>
                <w:szCs w:val="22"/>
              </w:rPr>
              <w:t xml:space="preserve">: “Becoming is about change as ongoing flux and dynamic flow, as emergence and unfolding in micro-moments and instants. Becoming is the endless play of difference and it is difference that effectuates becoming. Becoming is the working of self-differentiation. It is not change ‘within’ an entity. Neither is it a change ‘from’ something ‘to’ something else” (p.9).  </w:t>
            </w:r>
            <w:r w:rsidRPr="00076E76">
              <w:rPr>
                <w:rFonts w:ascii="Gill Sans" w:hAnsi="Gill Sans" w:cs="Gill Sans"/>
                <w:b/>
                <w:color w:val="000000"/>
                <w:szCs w:val="22"/>
                <w:lang w:val="en-AU"/>
              </w:rPr>
              <w:br/>
              <w:t xml:space="preserve">Core argument: </w:t>
            </w:r>
            <w:r w:rsidRPr="00076E76">
              <w:rPr>
                <w:rFonts w:ascii="Gill Sans" w:hAnsi="Gill Sans" w:cs="Gill Sans"/>
                <w:color w:val="000000"/>
                <w:szCs w:val="22"/>
                <w:lang w:val="en-AU"/>
              </w:rPr>
              <w:t>Authors argue that their focus on “</w:t>
            </w:r>
            <w:r w:rsidRPr="00076E76">
              <w:rPr>
                <w:rFonts w:ascii="Gill Sans" w:hAnsi="Gill Sans" w:cs="Gill Sans"/>
                <w:color w:val="000000"/>
                <w:szCs w:val="22"/>
              </w:rPr>
              <w:t>transition as experiential emergence through the interplay of microlevel events … makes our approach distinct” (p.3).</w:t>
            </w:r>
          </w:p>
          <w:p w14:paraId="4E509B8F" w14:textId="7777777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rPr>
              <w:t>1) drawing on D&amp;G’s work = helps to “foreground the fact that ‘transition’ does not have an essence; it is not a neat, unifying package containing skills or competencies, and neither is it a neutral description of a temporal or spatial linear process” (p.12)</w:t>
            </w:r>
          </w:p>
          <w:p w14:paraId="0ACF0315" w14:textId="7777777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rPr>
              <w:t>2)  helps to develop idea of transition as “dynamic, multiple, creative and mobile” (p.12), and deeply individual</w:t>
            </w:r>
          </w:p>
          <w:p w14:paraId="606853FD" w14:textId="7777777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rPr>
              <w:t>3) use of verb = “</w:t>
            </w:r>
            <w:proofErr w:type="gramStart"/>
            <w:r w:rsidRPr="00076E76">
              <w:rPr>
                <w:rFonts w:ascii="Gill Sans" w:hAnsi="Gill Sans" w:cs="Gill Sans"/>
                <w:color w:val="000000"/>
                <w:szCs w:val="22"/>
              </w:rPr>
              <w:t>constitutes  transition</w:t>
            </w:r>
            <w:proofErr w:type="gramEnd"/>
            <w:r w:rsidRPr="00076E76">
              <w:rPr>
                <w:rFonts w:ascii="Gill Sans" w:hAnsi="Gill Sans" w:cs="Gill Sans"/>
                <w:color w:val="000000"/>
                <w:szCs w:val="22"/>
              </w:rPr>
              <w:t xml:space="preserve"> as an emergent, dynamic event of transitioning, and encourages attention to the multiple ways which might help rupture the normative and </w:t>
            </w:r>
            <w:proofErr w:type="spellStart"/>
            <w:r w:rsidRPr="00076E76">
              <w:rPr>
                <w:rFonts w:ascii="Gill Sans" w:hAnsi="Gill Sans" w:cs="Gill Sans"/>
                <w:color w:val="000000"/>
                <w:szCs w:val="22"/>
              </w:rPr>
              <w:t>normalising</w:t>
            </w:r>
            <w:proofErr w:type="spellEnd"/>
            <w:r w:rsidRPr="00076E76">
              <w:rPr>
                <w:rFonts w:ascii="Gill Sans" w:hAnsi="Gill Sans" w:cs="Gill Sans"/>
                <w:color w:val="000000"/>
                <w:szCs w:val="22"/>
              </w:rPr>
              <w:t xml:space="preserve"> discourses” (p.12)</w:t>
            </w:r>
          </w:p>
          <w:p w14:paraId="0E50D065" w14:textId="7777777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rPr>
              <w:t>4) argues for focusing on individuals’ experience</w:t>
            </w:r>
          </w:p>
          <w:p w14:paraId="0EC87431" w14:textId="4D57699D"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rPr>
              <w:t>5) offers new forms of data analysis</w:t>
            </w:r>
          </w:p>
        </w:tc>
      </w:tr>
      <w:tr w:rsidR="00F934ED" w:rsidRPr="00076E76" w14:paraId="2186B5FE" w14:textId="77777777" w:rsidTr="00D1617F">
        <w:tc>
          <w:tcPr>
            <w:tcW w:w="5529" w:type="dxa"/>
            <w:shd w:val="clear" w:color="auto" w:fill="auto"/>
          </w:tcPr>
          <w:p w14:paraId="19412E14" w14:textId="224505DE" w:rsidR="00F934ED" w:rsidRPr="00076E76" w:rsidRDefault="00F934ED" w:rsidP="00F934ED">
            <w:pPr>
              <w:widowControl w:val="0"/>
              <w:autoSpaceDE w:val="0"/>
              <w:autoSpaceDN w:val="0"/>
              <w:adjustRightInd w:val="0"/>
              <w:rPr>
                <w:rFonts w:ascii="Gill Sans" w:hAnsi="Gill Sans" w:cs="Gill Sans"/>
                <w:szCs w:val="22"/>
              </w:rPr>
            </w:pPr>
            <w:proofErr w:type="spellStart"/>
            <w:r w:rsidRPr="00076E76">
              <w:rPr>
                <w:rFonts w:ascii="Gill Sans" w:hAnsi="Gill Sans" w:cs="Gill Sans"/>
                <w:szCs w:val="22"/>
              </w:rPr>
              <w:lastRenderedPageBreak/>
              <w:t>te</w:t>
            </w:r>
            <w:proofErr w:type="spellEnd"/>
            <w:r w:rsidRPr="00076E76">
              <w:rPr>
                <w:rFonts w:ascii="Gill Sans" w:hAnsi="Gill Sans" w:cs="Gill Sans"/>
                <w:szCs w:val="22"/>
              </w:rPr>
              <w:t xml:space="preserve"> </w:t>
            </w:r>
            <w:proofErr w:type="spellStart"/>
            <w:r w:rsidRPr="00076E76">
              <w:rPr>
                <w:rFonts w:ascii="Gill Sans" w:hAnsi="Gill Sans" w:cs="Gill Sans"/>
                <w:szCs w:val="22"/>
              </w:rPr>
              <w:t>Riele</w:t>
            </w:r>
            <w:proofErr w:type="spellEnd"/>
            <w:r w:rsidRPr="00076E76">
              <w:rPr>
                <w:rFonts w:ascii="Gill Sans" w:hAnsi="Gill Sans" w:cs="Gill Sans"/>
                <w:szCs w:val="22"/>
              </w:rPr>
              <w:t xml:space="preserve">, K. (2004). </w:t>
            </w:r>
            <w:hyperlink r:id="rId129" w:history="1">
              <w:r w:rsidRPr="00CF2135">
                <w:rPr>
                  <w:rStyle w:val="Hyperlink"/>
                  <w:rFonts w:ascii="Gill Sans" w:hAnsi="Gill Sans" w:cs="Gill Sans"/>
                  <w:szCs w:val="22"/>
                </w:rPr>
                <w:t>Youth transition in Australia: challenging assumptions of linearity and choice</w:t>
              </w:r>
            </w:hyperlink>
            <w:r w:rsidRPr="00076E76">
              <w:rPr>
                <w:rFonts w:ascii="Gill Sans" w:hAnsi="Gill Sans" w:cs="Gill Sans"/>
                <w:szCs w:val="22"/>
              </w:rPr>
              <w:t xml:space="preserve">, </w:t>
            </w:r>
            <w:r w:rsidRPr="00076E76">
              <w:rPr>
                <w:rFonts w:ascii="Gill Sans" w:hAnsi="Gill Sans" w:cs="Gill Sans"/>
                <w:i/>
                <w:szCs w:val="22"/>
              </w:rPr>
              <w:t xml:space="preserve">Journal of Youth Studies, </w:t>
            </w:r>
            <w:r>
              <w:rPr>
                <w:rFonts w:ascii="Gill Sans" w:hAnsi="Gill Sans" w:cs="Gill Sans"/>
                <w:szCs w:val="22"/>
              </w:rPr>
              <w:t>7(3), 243–</w:t>
            </w:r>
            <w:r w:rsidRPr="00076E76">
              <w:rPr>
                <w:rFonts w:ascii="Gill Sans" w:hAnsi="Gill Sans" w:cs="Gill Sans"/>
                <w:szCs w:val="22"/>
              </w:rPr>
              <w:t>257.</w:t>
            </w:r>
          </w:p>
          <w:p w14:paraId="0CBEEC6B" w14:textId="77777777" w:rsidR="00F934ED" w:rsidRPr="00076E76" w:rsidRDefault="00F934ED" w:rsidP="00F934ED">
            <w:pPr>
              <w:widowControl w:val="0"/>
              <w:autoSpaceDE w:val="0"/>
              <w:autoSpaceDN w:val="0"/>
              <w:adjustRightInd w:val="0"/>
              <w:rPr>
                <w:rFonts w:ascii="Gill Sans" w:hAnsi="Gill Sans" w:cs="Gill Sans"/>
                <w:szCs w:val="22"/>
              </w:rPr>
            </w:pPr>
          </w:p>
          <w:p w14:paraId="2C5F1C96" w14:textId="77777777" w:rsidR="00F934ED" w:rsidRDefault="00F934ED" w:rsidP="00F934ED">
            <w:pPr>
              <w:widowControl w:val="0"/>
              <w:autoSpaceDE w:val="0"/>
              <w:autoSpaceDN w:val="0"/>
              <w:adjustRightInd w:val="0"/>
              <w:rPr>
                <w:rFonts w:ascii="Gill Sans" w:hAnsi="Gill Sans" w:cs="Gill Sans"/>
                <w:szCs w:val="22"/>
              </w:rPr>
            </w:pPr>
            <w:r w:rsidRPr="00076E76">
              <w:rPr>
                <w:rFonts w:ascii="Gill Sans" w:hAnsi="Gill Sans" w:cs="Gill Sans"/>
                <w:szCs w:val="22"/>
              </w:rPr>
              <w:t>AUS</w:t>
            </w:r>
          </w:p>
          <w:p w14:paraId="4C2984AC" w14:textId="5A71077C" w:rsidR="00913907" w:rsidRPr="00076E76" w:rsidRDefault="00913907" w:rsidP="00F934ED">
            <w:pPr>
              <w:widowControl w:val="0"/>
              <w:autoSpaceDE w:val="0"/>
              <w:autoSpaceDN w:val="0"/>
              <w:adjustRightInd w:val="0"/>
              <w:rPr>
                <w:rFonts w:ascii="Gill Sans" w:hAnsi="Gill Sans" w:cs="Gill Sans"/>
                <w:szCs w:val="22"/>
              </w:rPr>
            </w:pPr>
            <w:r>
              <w:rPr>
                <w:rFonts w:ascii="Gill Sans" w:hAnsi="Gill Sans" w:cs="Gill Sans"/>
                <w:szCs w:val="22"/>
              </w:rPr>
              <w:t>Annotation by Sally Baker</w:t>
            </w:r>
          </w:p>
        </w:tc>
        <w:tc>
          <w:tcPr>
            <w:tcW w:w="10064" w:type="dxa"/>
          </w:tcPr>
          <w:p w14:paraId="2B061970" w14:textId="13220297" w:rsidR="00F934ED" w:rsidRPr="005231CF"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Pr>
                <w:rFonts w:ascii="Gill Sans" w:hAnsi="Gill Sans" w:cs="Gill Sans"/>
                <w:color w:val="000000"/>
                <w:szCs w:val="22"/>
                <w:lang w:val="en-AU"/>
              </w:rPr>
              <w:t xml:space="preserve">Youth transitions, particularly educational transitions. Author argues that assumptions about linearity and choice are not reflective of more complex and nuanced transitions made by young people in the more precarious/ uncertain modern (at time of writing </w:t>
            </w:r>
            <w:r>
              <w:rPr>
                <w:rFonts w:cs="Gill Sans"/>
                <w:color w:val="000000"/>
                <w:szCs w:val="22"/>
                <w:lang w:val="en-AU"/>
              </w:rPr>
              <w:t>—</w:t>
            </w:r>
            <w:r>
              <w:rPr>
                <w:rFonts w:ascii="Gill Sans" w:hAnsi="Gill Sans" w:cs="Gill Sans"/>
                <w:color w:val="000000"/>
                <w:szCs w:val="22"/>
                <w:lang w:val="en-AU"/>
              </w:rPr>
              <w:t xml:space="preserve"> this is much more dynamic and complex 16+ years later). At time of writing, schooling policy had been amended to encourage young people to complete secondary education, which had the effect of “</w:t>
            </w:r>
            <w:proofErr w:type="spellStart"/>
            <w:r>
              <w:rPr>
                <w:rFonts w:ascii="Gill Sans" w:hAnsi="Gill Sans" w:cs="Gill Sans"/>
                <w:color w:val="000000"/>
                <w:szCs w:val="22"/>
              </w:rPr>
              <w:t>contribut</w:t>
            </w:r>
            <w:proofErr w:type="spellEnd"/>
            <w:r>
              <w:rPr>
                <w:rFonts w:ascii="Gill Sans" w:hAnsi="Gill Sans" w:cs="Gill Sans"/>
                <w:color w:val="000000"/>
                <w:szCs w:val="22"/>
              </w:rPr>
              <w:t>[ing]</w:t>
            </w:r>
            <w:r w:rsidRPr="003368FD">
              <w:rPr>
                <w:rFonts w:ascii="Gill Sans" w:hAnsi="Gill Sans" w:cs="Gill Sans"/>
                <w:color w:val="000000"/>
                <w:szCs w:val="22"/>
              </w:rPr>
              <w:t xml:space="preserve"> to a prolonged dependency of</w:t>
            </w:r>
            <w:r>
              <w:rPr>
                <w:rFonts w:ascii="Gill Sans" w:hAnsi="Gill Sans" w:cs="Gill Sans"/>
                <w:color w:val="000000"/>
                <w:szCs w:val="22"/>
              </w:rPr>
              <w:t xml:space="preserve"> </w:t>
            </w:r>
            <w:r w:rsidRPr="003368FD">
              <w:rPr>
                <w:rFonts w:ascii="Gill Sans" w:hAnsi="Gill Sans" w:cs="Gill Sans"/>
                <w:color w:val="000000"/>
                <w:szCs w:val="22"/>
              </w:rPr>
              <w:t>young people on education and on their parents</w:t>
            </w:r>
            <w:r>
              <w:rPr>
                <w:rFonts w:ascii="Gill Sans" w:hAnsi="Gill Sans" w:cs="Gill Sans"/>
                <w:color w:val="000000"/>
                <w:szCs w:val="22"/>
              </w:rPr>
              <w:t>” (p.244)</w:t>
            </w:r>
          </w:p>
          <w:p w14:paraId="46D12E83" w14:textId="22CC6C0E" w:rsidR="00F934ED" w:rsidRDefault="00F934ED" w:rsidP="00F934ED">
            <w:pPr>
              <w:rPr>
                <w:rFonts w:ascii="Gill Sans" w:hAnsi="Gill Sans" w:cs="Gill Sans"/>
                <w:color w:val="000000"/>
                <w:szCs w:val="22"/>
              </w:rPr>
            </w:pPr>
            <w:r w:rsidRPr="00076E76">
              <w:rPr>
                <w:rFonts w:ascii="Gill Sans" w:hAnsi="Gill Sans" w:cs="Gill Sans"/>
                <w:b/>
                <w:color w:val="000000"/>
                <w:szCs w:val="22"/>
                <w:lang w:val="en-AU"/>
              </w:rPr>
              <w:t>Theoretical frame:</w:t>
            </w:r>
            <w:r>
              <w:rPr>
                <w:rFonts w:ascii="Gill Sans" w:hAnsi="Gill Sans" w:cs="Gill Sans"/>
                <w:b/>
                <w:color w:val="000000"/>
                <w:szCs w:val="22"/>
                <w:lang w:val="en-AU"/>
              </w:rPr>
              <w:t xml:space="preserve"> </w:t>
            </w:r>
            <w:r>
              <w:rPr>
                <w:rFonts w:ascii="Gill Sans" w:hAnsi="Gill Sans" w:cs="Gill Sans"/>
                <w:color w:val="000000"/>
                <w:szCs w:val="22"/>
                <w:lang w:val="en-AU"/>
              </w:rPr>
              <w:t>Transition understood as non-linear. Author argues that policy is based on two assumptions about transition to adulthood: linearity (“</w:t>
            </w:r>
            <w:r w:rsidRPr="000A7E8A">
              <w:rPr>
                <w:rFonts w:ascii="Gill Sans" w:hAnsi="Gill Sans" w:cs="Gill Sans"/>
                <w:color w:val="000000"/>
                <w:szCs w:val="22"/>
              </w:rPr>
              <w:t xml:space="preserve">defined by markers such as leaving school, leaving </w:t>
            </w:r>
            <w:r w:rsidRPr="000A7E8A">
              <w:rPr>
                <w:rFonts w:ascii="Gill Sans" w:hAnsi="Gill Sans" w:cs="Gill Sans"/>
                <w:color w:val="000000"/>
                <w:szCs w:val="22"/>
              </w:rPr>
              <w:lastRenderedPageBreak/>
              <w:t>home,</w:t>
            </w:r>
            <w:r>
              <w:rPr>
                <w:rFonts w:ascii="Gill Sans" w:hAnsi="Gill Sans" w:cs="Gill Sans"/>
                <w:color w:val="000000"/>
                <w:szCs w:val="22"/>
              </w:rPr>
              <w:t xml:space="preserve"> </w:t>
            </w:r>
            <w:r w:rsidRPr="000A7E8A">
              <w:rPr>
                <w:rFonts w:ascii="Gill Sans" w:hAnsi="Gill Sans" w:cs="Gill Sans"/>
                <w:color w:val="000000"/>
                <w:szCs w:val="22"/>
              </w:rPr>
              <w:t>getting a job and living independently</w:t>
            </w:r>
            <w:r>
              <w:rPr>
                <w:rFonts w:ascii="Gill Sans" w:hAnsi="Gill Sans" w:cs="Gill Sans"/>
                <w:color w:val="000000"/>
                <w:szCs w:val="22"/>
              </w:rPr>
              <w:t>”, p.245), and individual choice (see idea of ‘choice biographies’; Beck, 1992). Author offers critique of the idea of choice: “</w:t>
            </w:r>
            <w:r w:rsidRPr="00F16B25">
              <w:rPr>
                <w:rFonts w:ascii="Gill Sans" w:hAnsi="Gill Sans" w:cs="Gill Sans"/>
                <w:color w:val="000000"/>
                <w:szCs w:val="22"/>
              </w:rPr>
              <w:t>The idea of choice biographies, perhaps unintentionally, feeds a misleading discourse</w:t>
            </w:r>
            <w:r>
              <w:rPr>
                <w:rFonts w:ascii="Gill Sans" w:hAnsi="Gill Sans" w:cs="Gill Sans"/>
                <w:color w:val="000000"/>
                <w:szCs w:val="22"/>
              </w:rPr>
              <w:t xml:space="preserve"> </w:t>
            </w:r>
            <w:r w:rsidRPr="00F16B25">
              <w:rPr>
                <w:rFonts w:ascii="Gill Sans" w:hAnsi="Gill Sans" w:cs="Gill Sans"/>
                <w:color w:val="000000"/>
                <w:szCs w:val="22"/>
              </w:rPr>
              <w:t>around individual responsibility, which ignores the constraints on the choices</w:t>
            </w:r>
            <w:r>
              <w:rPr>
                <w:rFonts w:ascii="Gill Sans" w:hAnsi="Gill Sans" w:cs="Gill Sans"/>
                <w:color w:val="000000"/>
                <w:szCs w:val="22"/>
              </w:rPr>
              <w:t xml:space="preserve"> available to young people” (p.246)</w:t>
            </w:r>
          </w:p>
          <w:p w14:paraId="0E7AF49B" w14:textId="64F7D7A1" w:rsidR="00F934ED" w:rsidRPr="00742872" w:rsidRDefault="00F934ED" w:rsidP="00F934ED">
            <w:pPr>
              <w:rPr>
                <w:rFonts w:ascii="Gill Sans" w:hAnsi="Gill Sans" w:cs="Gill Sans"/>
                <w:color w:val="000000"/>
                <w:szCs w:val="22"/>
                <w:lang w:val="en-AU"/>
              </w:rPr>
            </w:pPr>
            <w:r>
              <w:rPr>
                <w:rFonts w:ascii="Gill Sans" w:hAnsi="Gill Sans" w:cs="Gill Sans"/>
                <w:color w:val="000000"/>
                <w:szCs w:val="22"/>
              </w:rPr>
              <w:t>Author notes critique of pathways metaphor for transition because it offers “</w:t>
            </w:r>
            <w:r w:rsidRPr="00A1566E">
              <w:rPr>
                <w:rFonts w:ascii="Gill Sans" w:hAnsi="Gill Sans" w:cs="Gill Sans"/>
                <w:color w:val="000000"/>
                <w:szCs w:val="22"/>
              </w:rPr>
              <w:t xml:space="preserve">a false impression of order, and being too linear, instrumental </w:t>
            </w:r>
            <w:r>
              <w:rPr>
                <w:rFonts w:ascii="Gill Sans" w:hAnsi="Gill Sans" w:cs="Gill Sans"/>
                <w:color w:val="000000"/>
                <w:szCs w:val="22"/>
              </w:rPr>
              <w:t>and individualistic” (p.245)</w:t>
            </w:r>
          </w:p>
          <w:p w14:paraId="61F239AB" w14:textId="61EAE948" w:rsidR="00F934ED" w:rsidRPr="00A62FED" w:rsidRDefault="00F934ED" w:rsidP="00F934ED">
            <w:pPr>
              <w:rPr>
                <w:rFonts w:ascii="Gill Sans" w:hAnsi="Gill Sans" w:cs="Gill Sans"/>
                <w:color w:val="000000"/>
                <w:szCs w:val="22"/>
              </w:rPr>
            </w:pPr>
            <w:r w:rsidRPr="00076E76">
              <w:rPr>
                <w:rFonts w:ascii="Gill Sans" w:hAnsi="Gill Sans" w:cs="Gill Sans"/>
                <w:b/>
                <w:color w:val="000000"/>
                <w:szCs w:val="22"/>
                <w:lang w:val="en-AU"/>
              </w:rPr>
              <w:t xml:space="preserve">Methodology: </w:t>
            </w:r>
            <w:r>
              <w:rPr>
                <w:rFonts w:ascii="Gill Sans" w:hAnsi="Gill Sans" w:cs="Gill Sans"/>
                <w:color w:val="000000"/>
                <w:szCs w:val="22"/>
                <w:lang w:val="en-AU"/>
              </w:rPr>
              <w:t>Case studies of ‘second chance’ senior college students, asking two questions: “</w:t>
            </w:r>
            <w:r w:rsidRPr="008D6CAE">
              <w:rPr>
                <w:rFonts w:ascii="Gill Sans" w:hAnsi="Gill Sans" w:cs="Gill Sans"/>
                <w:color w:val="000000"/>
                <w:szCs w:val="22"/>
              </w:rPr>
              <w:t>was</w:t>
            </w:r>
            <w:r>
              <w:rPr>
                <w:rFonts w:ascii="Gill Sans" w:hAnsi="Gill Sans" w:cs="Gill Sans"/>
                <w:color w:val="000000"/>
                <w:szCs w:val="22"/>
              </w:rPr>
              <w:t xml:space="preserve"> </w:t>
            </w:r>
            <w:r w:rsidRPr="008D6CAE">
              <w:rPr>
                <w:rFonts w:ascii="Gill Sans" w:hAnsi="Gill Sans" w:cs="Gill Sans"/>
                <w:color w:val="000000"/>
                <w:szCs w:val="22"/>
              </w:rPr>
              <w:t>their transition a failure, and was any perceived failure the person’s own ‘fault’?</w:t>
            </w:r>
            <w:r>
              <w:rPr>
                <w:rFonts w:ascii="Gill Sans" w:hAnsi="Gill Sans" w:cs="Gill Sans"/>
                <w:color w:val="000000"/>
                <w:szCs w:val="22"/>
              </w:rPr>
              <w:t>” (p.247)</w:t>
            </w:r>
          </w:p>
          <w:p w14:paraId="199B7E59" w14:textId="77777777" w:rsidR="00F934ED" w:rsidRDefault="00F934ED" w:rsidP="00F934ED">
            <w:pPr>
              <w:rPr>
                <w:rFonts w:ascii="Gill Sans" w:hAnsi="Gill Sans" w:cs="Gill Sans"/>
                <w:color w:val="000000"/>
                <w:szCs w:val="22"/>
              </w:rPr>
            </w:pPr>
            <w:r w:rsidRPr="00076E76">
              <w:rPr>
                <w:rFonts w:ascii="Gill Sans" w:hAnsi="Gill Sans" w:cs="Gill Sans"/>
                <w:b/>
                <w:color w:val="000000"/>
                <w:szCs w:val="22"/>
                <w:lang w:val="en-AU"/>
              </w:rPr>
              <w:t xml:space="preserve">Findings: </w:t>
            </w:r>
            <w:r>
              <w:rPr>
                <w:rFonts w:ascii="Gill Sans" w:hAnsi="Gill Sans" w:cs="Gill Sans"/>
                <w:color w:val="000000"/>
                <w:szCs w:val="22"/>
                <w:lang w:val="en-AU"/>
              </w:rPr>
              <w:t>Case studies illustrate non-linear transitions (unsurprisingly, given they were attending a secondary college, rather than school), and that events beyond the students’ control shaped their trajectories.</w:t>
            </w:r>
            <w:r w:rsidRPr="00076E76">
              <w:rPr>
                <w:rFonts w:ascii="Gill Sans" w:hAnsi="Gill Sans" w:cs="Gill Sans"/>
                <w:b/>
                <w:color w:val="000000"/>
                <w:szCs w:val="22"/>
                <w:lang w:val="en-AU"/>
              </w:rPr>
              <w:br/>
              <w:t>Core argument:</w:t>
            </w:r>
            <w:r>
              <w:rPr>
                <w:rFonts w:ascii="Gill Sans" w:hAnsi="Gill Sans" w:cs="Gill Sans"/>
                <w:b/>
                <w:color w:val="000000"/>
                <w:szCs w:val="22"/>
                <w:lang w:val="en-AU"/>
              </w:rPr>
              <w:t xml:space="preserve"> </w:t>
            </w:r>
            <w:r>
              <w:rPr>
                <w:rFonts w:ascii="Gill Sans" w:hAnsi="Gill Sans" w:cs="Gill Sans"/>
                <w:color w:val="000000"/>
                <w:szCs w:val="22"/>
                <w:lang w:val="en-AU"/>
              </w:rPr>
              <w:t>Transitions are rarely linear or decided through agentic decision-making, partly because “</w:t>
            </w:r>
            <w:r w:rsidRPr="001175D3">
              <w:rPr>
                <w:rFonts w:ascii="Gill Sans" w:hAnsi="Gill Sans" w:cs="Gill Sans"/>
                <w:color w:val="000000"/>
                <w:szCs w:val="22"/>
              </w:rPr>
              <w:t>risks and opportunities are not evenly distributed</w:t>
            </w:r>
            <w:r>
              <w:rPr>
                <w:rFonts w:ascii="Gill Sans" w:hAnsi="Gill Sans" w:cs="Gill Sans"/>
                <w:color w:val="000000"/>
                <w:szCs w:val="22"/>
              </w:rPr>
              <w:t>” (p.254)</w:t>
            </w:r>
          </w:p>
          <w:p w14:paraId="6FD38AF4" w14:textId="4D1ACFEC" w:rsidR="00F934ED" w:rsidRPr="001175D3" w:rsidRDefault="00F934ED" w:rsidP="00F934ED">
            <w:pPr>
              <w:rPr>
                <w:rFonts w:ascii="Gill Sans" w:hAnsi="Gill Sans" w:cs="Gill Sans"/>
                <w:color w:val="000000"/>
                <w:szCs w:val="22"/>
                <w:lang w:val="en-AU"/>
              </w:rPr>
            </w:pPr>
            <w:r>
              <w:rPr>
                <w:rFonts w:ascii="Gill Sans" w:hAnsi="Gill Sans" w:cs="Gill Sans"/>
                <w:color w:val="000000"/>
                <w:szCs w:val="22"/>
              </w:rPr>
              <w:t>“</w:t>
            </w:r>
            <w:r w:rsidRPr="00D1617F">
              <w:rPr>
                <w:rFonts w:ascii="Gill Sans" w:hAnsi="Gill Sans" w:cs="Gill Sans"/>
                <w:color w:val="000000"/>
                <w:szCs w:val="22"/>
              </w:rPr>
              <w:t>This research aims to contribute to a re-conceptualisation of educational</w:t>
            </w:r>
            <w:r>
              <w:rPr>
                <w:rFonts w:ascii="Gill Sans" w:hAnsi="Gill Sans" w:cs="Gill Sans"/>
                <w:color w:val="000000"/>
                <w:szCs w:val="22"/>
              </w:rPr>
              <w:t xml:space="preserve"> </w:t>
            </w:r>
            <w:r w:rsidRPr="00D1617F">
              <w:rPr>
                <w:rFonts w:ascii="Gill Sans" w:hAnsi="Gill Sans" w:cs="Gill Sans"/>
                <w:color w:val="000000"/>
                <w:szCs w:val="22"/>
              </w:rPr>
              <w:t>transition, in order for policy to better match transition experiences in</w:t>
            </w:r>
            <w:r>
              <w:rPr>
                <w:rFonts w:ascii="Gill Sans" w:hAnsi="Gill Sans" w:cs="Gill Sans"/>
                <w:color w:val="000000"/>
                <w:szCs w:val="22"/>
              </w:rPr>
              <w:t xml:space="preserve"> </w:t>
            </w:r>
            <w:r w:rsidRPr="00D1617F">
              <w:rPr>
                <w:rFonts w:ascii="Gill Sans" w:hAnsi="Gill Sans" w:cs="Gill Sans"/>
                <w:color w:val="000000"/>
                <w:szCs w:val="22"/>
              </w:rPr>
              <w:t xml:space="preserve">contemporary society. Neither </w:t>
            </w:r>
            <w:proofErr w:type="spellStart"/>
            <w:r w:rsidRPr="00D1617F">
              <w:rPr>
                <w:rFonts w:ascii="Gill Sans" w:hAnsi="Gill Sans" w:cs="Gill Sans"/>
                <w:color w:val="000000"/>
                <w:szCs w:val="22"/>
              </w:rPr>
              <w:t>policy</w:t>
            </w:r>
            <w:proofErr w:type="spellEnd"/>
            <w:r w:rsidRPr="00D1617F">
              <w:rPr>
                <w:rFonts w:ascii="Gill Sans" w:hAnsi="Gill Sans" w:cs="Gill Sans"/>
                <w:color w:val="000000"/>
                <w:szCs w:val="22"/>
              </w:rPr>
              <w:t xml:space="preserve"> nor educational institutions can afford to</w:t>
            </w:r>
            <w:r>
              <w:rPr>
                <w:rFonts w:ascii="Gill Sans" w:hAnsi="Gill Sans" w:cs="Gill Sans"/>
                <w:color w:val="000000"/>
                <w:szCs w:val="22"/>
              </w:rPr>
              <w:t xml:space="preserve"> </w:t>
            </w:r>
            <w:r w:rsidRPr="00D1617F">
              <w:rPr>
                <w:rFonts w:ascii="Gill Sans" w:hAnsi="Gill Sans" w:cs="Gill Sans"/>
                <w:color w:val="000000"/>
                <w:szCs w:val="22"/>
              </w:rPr>
              <w:t>ignore these changed experiences of transition</w:t>
            </w:r>
            <w:r>
              <w:rPr>
                <w:rFonts w:ascii="Gill Sans" w:hAnsi="Gill Sans" w:cs="Gill Sans"/>
                <w:color w:val="000000"/>
                <w:szCs w:val="22"/>
              </w:rPr>
              <w:t>” (p.254)</w:t>
            </w:r>
            <w:r w:rsidRPr="00D1617F">
              <w:rPr>
                <w:rFonts w:ascii="Gill Sans" w:hAnsi="Gill Sans" w:cs="Gill Sans"/>
                <w:color w:val="000000"/>
                <w:szCs w:val="22"/>
              </w:rPr>
              <w:t>.</w:t>
            </w:r>
          </w:p>
        </w:tc>
      </w:tr>
      <w:tr w:rsidR="00F934ED" w:rsidRPr="00076E76" w14:paraId="23ECA4CD" w14:textId="77777777" w:rsidTr="00BD125D">
        <w:tc>
          <w:tcPr>
            <w:tcW w:w="5529" w:type="dxa"/>
            <w:shd w:val="clear" w:color="auto" w:fill="auto"/>
          </w:tcPr>
          <w:p w14:paraId="4C0667CB" w14:textId="23DE23DD" w:rsidR="00F934ED" w:rsidRPr="00076E76" w:rsidRDefault="00F934ED" w:rsidP="00F934ED">
            <w:pPr>
              <w:widowControl w:val="0"/>
              <w:autoSpaceDE w:val="0"/>
              <w:autoSpaceDN w:val="0"/>
              <w:adjustRightInd w:val="0"/>
              <w:rPr>
                <w:rFonts w:ascii="Gill Sans" w:hAnsi="Gill Sans" w:cs="Gill Sans"/>
                <w:szCs w:val="22"/>
              </w:rPr>
            </w:pPr>
            <w:r w:rsidRPr="00076E76">
              <w:rPr>
                <w:rFonts w:ascii="Gill Sans" w:hAnsi="Gill Sans" w:cs="Gill Sans"/>
                <w:szCs w:val="22"/>
              </w:rPr>
              <w:lastRenderedPageBreak/>
              <w:t xml:space="preserve">Tett, L.; Cree, V. &amp; Christie, H. (2017). </w:t>
            </w:r>
            <w:hyperlink r:id="rId130" w:history="1">
              <w:r w:rsidRPr="0055203B">
                <w:rPr>
                  <w:rStyle w:val="Hyperlink"/>
                  <w:rFonts w:ascii="Gill Sans" w:hAnsi="Gill Sans" w:cs="Gill Sans"/>
                  <w:szCs w:val="22"/>
                </w:rPr>
                <w:t>From further to higher education: transition as an on-going process</w:t>
              </w:r>
            </w:hyperlink>
            <w:r w:rsidRPr="00076E76">
              <w:rPr>
                <w:rFonts w:ascii="Gill Sans" w:hAnsi="Gill Sans" w:cs="Gill Sans"/>
                <w:szCs w:val="22"/>
              </w:rPr>
              <w:t xml:space="preserve">, </w:t>
            </w:r>
            <w:r w:rsidRPr="00076E76">
              <w:rPr>
                <w:rFonts w:ascii="Gill Sans" w:hAnsi="Gill Sans" w:cs="Gill Sans"/>
                <w:i/>
                <w:szCs w:val="22"/>
              </w:rPr>
              <w:t xml:space="preserve">Higher Education, </w:t>
            </w:r>
            <w:r>
              <w:rPr>
                <w:rFonts w:ascii="Gill Sans" w:hAnsi="Gill Sans" w:cs="Gill Sans"/>
                <w:szCs w:val="22"/>
              </w:rPr>
              <w:t>73, 389–</w:t>
            </w:r>
            <w:r w:rsidRPr="00076E76">
              <w:rPr>
                <w:rFonts w:ascii="Gill Sans" w:hAnsi="Gill Sans" w:cs="Gill Sans"/>
                <w:szCs w:val="22"/>
              </w:rPr>
              <w:t>406.</w:t>
            </w:r>
          </w:p>
          <w:p w14:paraId="2CC8BC20" w14:textId="77777777" w:rsidR="00F934ED" w:rsidRPr="00076E76" w:rsidRDefault="00F934ED" w:rsidP="00F934ED">
            <w:pPr>
              <w:widowControl w:val="0"/>
              <w:autoSpaceDE w:val="0"/>
              <w:autoSpaceDN w:val="0"/>
              <w:adjustRightInd w:val="0"/>
              <w:rPr>
                <w:rFonts w:ascii="Gill Sans" w:hAnsi="Gill Sans" w:cs="Gill Sans"/>
                <w:szCs w:val="22"/>
              </w:rPr>
            </w:pPr>
          </w:p>
          <w:p w14:paraId="21B7C5D3" w14:textId="5582D885" w:rsidR="00F934ED" w:rsidRPr="00076E76" w:rsidRDefault="00F934ED" w:rsidP="00F934ED">
            <w:pPr>
              <w:rPr>
                <w:rFonts w:ascii="Gill Sans" w:hAnsi="Gill Sans" w:cs="Gill Sans"/>
                <w:szCs w:val="22"/>
              </w:rPr>
            </w:pPr>
            <w:r w:rsidRPr="00076E76">
              <w:rPr>
                <w:rFonts w:ascii="Gill Sans" w:hAnsi="Gill Sans" w:cs="Gill Sans"/>
                <w:szCs w:val="22"/>
              </w:rPr>
              <w:t>SCO</w:t>
            </w:r>
          </w:p>
          <w:p w14:paraId="76A15C21"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222CEBF9" w14:textId="77777777" w:rsidR="00F934ED" w:rsidRPr="00076E76" w:rsidRDefault="00F934ED" w:rsidP="00F934ED">
            <w:pPr>
              <w:rPr>
                <w:rFonts w:ascii="Gill Sans" w:hAnsi="Gill Sans" w:cs="Gill Sans"/>
                <w:szCs w:val="22"/>
              </w:rPr>
            </w:pPr>
          </w:p>
          <w:p w14:paraId="29BCCB78" w14:textId="336424AA" w:rsidR="00F934ED" w:rsidRPr="00076E76" w:rsidRDefault="00F934ED" w:rsidP="00F934ED">
            <w:pPr>
              <w:rPr>
                <w:rFonts w:ascii="Gill Sans" w:hAnsi="Gill Sans" w:cs="Gill Sans"/>
                <w:szCs w:val="22"/>
              </w:rPr>
            </w:pPr>
            <w:r w:rsidRPr="00076E76">
              <w:rPr>
                <w:rFonts w:ascii="Gill Sans" w:hAnsi="Gill Sans" w:cs="Gill Sans"/>
                <w:szCs w:val="22"/>
              </w:rPr>
              <w:t xml:space="preserve">Keywords: </w:t>
            </w:r>
            <w:r w:rsidRPr="00076E76">
              <w:rPr>
                <w:rFonts w:ascii="Gill Sans" w:hAnsi="Gill Sans" w:cs="Gill Sans"/>
                <w:i/>
                <w:szCs w:val="22"/>
              </w:rPr>
              <w:t>Transition processes; Belonging; Relationships; Changing selves</w:t>
            </w:r>
          </w:p>
        </w:tc>
        <w:tc>
          <w:tcPr>
            <w:tcW w:w="10064" w:type="dxa"/>
          </w:tcPr>
          <w:p w14:paraId="2E0BA3D0" w14:textId="678341A0"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sidRPr="00076E76">
              <w:rPr>
                <w:rFonts w:ascii="Gill Sans" w:hAnsi="Gill Sans" w:cs="Gill Sans"/>
                <w:color w:val="000000"/>
                <w:szCs w:val="22"/>
                <w:lang w:val="en-AU"/>
              </w:rPr>
              <w:t xml:space="preserve">‘Non-traditional’ students entering higher education from further education; context = stratified higher education system and only 34% of student body = ‘non-traditional’; also, retention rates are comparatively high. Scopes literature on transition and higher </w:t>
            </w:r>
            <w:proofErr w:type="gramStart"/>
            <w:r w:rsidRPr="00076E76">
              <w:rPr>
                <w:rFonts w:ascii="Gill Sans" w:hAnsi="Gill Sans" w:cs="Gill Sans"/>
                <w:color w:val="000000"/>
                <w:szCs w:val="22"/>
                <w:lang w:val="en-AU"/>
              </w:rPr>
              <w:t>education(</w:t>
            </w:r>
            <w:proofErr w:type="gramEnd"/>
            <w:r w:rsidRPr="00076E76">
              <w:rPr>
                <w:rFonts w:ascii="Gill Sans" w:hAnsi="Gill Sans" w:cs="Gill Sans"/>
                <w:color w:val="000000"/>
                <w:szCs w:val="22"/>
                <w:lang w:val="en-AU"/>
              </w:rPr>
              <w:t>p.391)</w:t>
            </w:r>
          </w:p>
          <w:p w14:paraId="15BA87B3"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sidRPr="00076E76">
              <w:rPr>
                <w:rFonts w:ascii="Gill Sans" w:hAnsi="Gill Sans" w:cs="Gill Sans"/>
                <w:color w:val="000000"/>
                <w:szCs w:val="22"/>
                <w:lang w:val="en-AU"/>
              </w:rPr>
              <w:t>To argue that transition is not a one-off event, but instead is an ongoing process over time; To respond to two RQs:</w:t>
            </w:r>
          </w:p>
          <w:p w14:paraId="2FF48C43" w14:textId="77777777" w:rsidR="00F934ED" w:rsidRPr="00076E76" w:rsidRDefault="00F934ED" w:rsidP="00F934ED">
            <w:pPr>
              <w:pStyle w:val="ListParagraph"/>
              <w:numPr>
                <w:ilvl w:val="0"/>
                <w:numId w:val="25"/>
              </w:numPr>
              <w:rPr>
                <w:rFonts w:ascii="Gill Sans" w:hAnsi="Gill Sans" w:cs="Gill Sans"/>
                <w:color w:val="000000"/>
                <w:szCs w:val="22"/>
              </w:rPr>
            </w:pPr>
            <w:r w:rsidRPr="00076E76">
              <w:rPr>
                <w:rFonts w:ascii="Gill Sans" w:hAnsi="Gill Sans" w:cs="Gill Sans"/>
                <w:color w:val="000000"/>
                <w:szCs w:val="22"/>
              </w:rPr>
              <w:t>“What do a cohort of non-traditional students’ perceive to be the key transitions that they experience on entry to, and during, their university studies?</w:t>
            </w:r>
          </w:p>
          <w:p w14:paraId="0F981DC2" w14:textId="755F46C3" w:rsidR="00F934ED" w:rsidRPr="00076E76" w:rsidRDefault="00F934ED" w:rsidP="00F934ED">
            <w:pPr>
              <w:pStyle w:val="ListParagraph"/>
              <w:numPr>
                <w:ilvl w:val="0"/>
                <w:numId w:val="25"/>
              </w:numPr>
              <w:rPr>
                <w:rFonts w:ascii="Gill Sans" w:hAnsi="Gill Sans" w:cs="Gill Sans"/>
                <w:color w:val="000000"/>
                <w:szCs w:val="22"/>
                <w:lang w:val="en-AU"/>
              </w:rPr>
            </w:pPr>
            <w:r w:rsidRPr="00076E76">
              <w:rPr>
                <w:rFonts w:ascii="Gill Sans" w:hAnsi="Gill Sans" w:cs="Gill Sans"/>
                <w:color w:val="000000"/>
                <w:szCs w:val="22"/>
              </w:rPr>
              <w:t>What do the cohort perceive to be the impact of their studies on their identities?” (p.392)</w:t>
            </w:r>
          </w:p>
          <w:p w14:paraId="59BA61FC" w14:textId="03370F9C"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Theoretical frame: </w:t>
            </w:r>
            <w:r w:rsidRPr="00076E76">
              <w:rPr>
                <w:rFonts w:ascii="Gill Sans" w:hAnsi="Gill Sans" w:cs="Gill Sans"/>
                <w:color w:val="000000"/>
                <w:szCs w:val="22"/>
                <w:lang w:val="en-AU"/>
              </w:rPr>
              <w:t>Sociocultural theory/ CoP (Lave &amp; Wenger)</w:t>
            </w:r>
          </w:p>
          <w:p w14:paraId="5E4DD776" w14:textId="1E7B0715"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Authors returned to ‘the field’ 10 years after initial data collection; elite university which admitted group of FE/ HNQ articulants (unusual) = part of WP mission. Original project = semi-structured interview with students who entered university with HNQ via FE (n=35 + 10 following year; 82</w:t>
            </w:r>
            <w:proofErr w:type="gramStart"/>
            <w:r w:rsidRPr="00076E76">
              <w:rPr>
                <w:rFonts w:ascii="Gill Sans" w:hAnsi="Gill Sans" w:cs="Gill Sans"/>
                <w:color w:val="000000"/>
                <w:szCs w:val="22"/>
                <w:lang w:val="en-AU"/>
              </w:rPr>
              <w:t>%  =</w:t>
            </w:r>
            <w:proofErr w:type="gramEnd"/>
            <w:r w:rsidRPr="00076E76">
              <w:rPr>
                <w:rFonts w:ascii="Gill Sans" w:hAnsi="Gill Sans" w:cs="Gill Sans"/>
                <w:color w:val="000000"/>
                <w:szCs w:val="22"/>
                <w:lang w:val="en-AU"/>
              </w:rPr>
              <w:t xml:space="preserve"> f; 49%= over 30 years) over four years of degree. Authors attempted to contact participants in 2015 (10 years later): n=15. Analysis = critical moments and themes identified from literature/ emergent themes from interviews. </w:t>
            </w:r>
          </w:p>
          <w:p w14:paraId="6567E312" w14:textId="4266A337" w:rsidR="00F934ED" w:rsidRPr="00076E76" w:rsidRDefault="00F934ED" w:rsidP="00F934ED">
            <w:pPr>
              <w:widowControl w:val="0"/>
              <w:autoSpaceDE w:val="0"/>
              <w:autoSpaceDN w:val="0"/>
              <w:adjustRightInd w:val="0"/>
              <w:rPr>
                <w:rFonts w:ascii="Gill Sans" w:hAnsi="Gill Sans" w:cs="Gill Sans"/>
                <w:color w:val="000000"/>
                <w:szCs w:val="22"/>
              </w:rPr>
            </w:pPr>
            <w:r w:rsidRPr="00076E76">
              <w:rPr>
                <w:rFonts w:ascii="Gill Sans" w:hAnsi="Gill Sans" w:cs="Gill Sans"/>
                <w:b/>
                <w:color w:val="000000"/>
                <w:szCs w:val="22"/>
                <w:lang w:val="en-AU"/>
              </w:rPr>
              <w:t xml:space="preserve">Findings: </w:t>
            </w:r>
            <w:r w:rsidRPr="00076E76">
              <w:rPr>
                <w:rFonts w:ascii="Gill Sans" w:hAnsi="Gill Sans" w:cs="Gill Sans"/>
                <w:color w:val="000000"/>
                <w:szCs w:val="22"/>
                <w:lang w:val="en-AU"/>
              </w:rPr>
              <w:t xml:space="preserve">Four perceived ‘critical moments’ identified in data: 1) </w:t>
            </w:r>
            <w:r w:rsidRPr="00076E76">
              <w:rPr>
                <w:rFonts w:ascii="Gill Sans" w:hAnsi="Gill Sans" w:cs="Gill Sans"/>
                <w:color w:val="000000"/>
                <w:szCs w:val="22"/>
              </w:rPr>
              <w:t>loss of a sense of belonging on coming to university, 2) learning to fit in by the end of the first year, 3) changing approaches to learning and belonging in the final years of study, and 4) changing selves in the years following graduation.</w:t>
            </w:r>
          </w:p>
          <w:p w14:paraId="10D3676C" w14:textId="27C2461E" w:rsidR="00F934ED" w:rsidRPr="00076E76" w:rsidRDefault="00F934ED" w:rsidP="00F934ED">
            <w:pPr>
              <w:widowControl w:val="0"/>
              <w:autoSpaceDE w:val="0"/>
              <w:autoSpaceDN w:val="0"/>
              <w:adjustRightInd w:val="0"/>
              <w:rPr>
                <w:rFonts w:ascii="Gill Sans" w:hAnsi="Gill Sans" w:cs="Gill Sans"/>
                <w:color w:val="000000"/>
                <w:szCs w:val="22"/>
              </w:rPr>
            </w:pPr>
            <w:r w:rsidRPr="00076E76">
              <w:rPr>
                <w:rFonts w:ascii="Gill Sans" w:hAnsi="Gill Sans" w:cs="Gill Sans"/>
                <w:i/>
                <w:color w:val="000000"/>
                <w:szCs w:val="22"/>
              </w:rPr>
              <w:lastRenderedPageBreak/>
              <w:t>Critical moment 1</w:t>
            </w:r>
            <w:r w:rsidRPr="00076E76">
              <w:rPr>
                <w:rFonts w:ascii="Gill Sans" w:hAnsi="Gill Sans" w:cs="Gill Sans"/>
                <w:color w:val="000000"/>
                <w:szCs w:val="22"/>
              </w:rPr>
              <w:t>: initial expectations, uncertainties about what = to expect/ is expected; feedback and standards; where to start = ‘learning shock’</w:t>
            </w:r>
          </w:p>
          <w:p w14:paraId="2E3A138A" w14:textId="77777777" w:rsidR="00F934ED" w:rsidRPr="00076E76" w:rsidRDefault="00F934ED" w:rsidP="00F934ED">
            <w:pPr>
              <w:widowControl w:val="0"/>
              <w:autoSpaceDE w:val="0"/>
              <w:autoSpaceDN w:val="0"/>
              <w:adjustRightInd w:val="0"/>
              <w:rPr>
                <w:rFonts w:ascii="Gill Sans" w:hAnsi="Gill Sans" w:cs="Gill Sans"/>
                <w:color w:val="000000"/>
                <w:szCs w:val="22"/>
              </w:rPr>
            </w:pPr>
            <w:r w:rsidRPr="00076E76">
              <w:rPr>
                <w:rFonts w:ascii="Gill Sans" w:hAnsi="Gill Sans" w:cs="Gill Sans"/>
                <w:i/>
                <w:color w:val="000000"/>
                <w:szCs w:val="22"/>
              </w:rPr>
              <w:t>Critical moment 2</w:t>
            </w:r>
            <w:r w:rsidRPr="00076E76">
              <w:rPr>
                <w:rFonts w:ascii="Gill Sans" w:hAnsi="Gill Sans" w:cs="Gill Sans"/>
                <w:color w:val="000000"/>
                <w:szCs w:val="22"/>
              </w:rPr>
              <w:t>: role of peers, role of tutorials, academic work, accessing support, support from family and friends.</w:t>
            </w:r>
          </w:p>
          <w:p w14:paraId="47108C48" w14:textId="77777777" w:rsidR="00F934ED" w:rsidRPr="00076E76" w:rsidRDefault="00F934ED" w:rsidP="00F934ED">
            <w:pPr>
              <w:widowControl w:val="0"/>
              <w:autoSpaceDE w:val="0"/>
              <w:autoSpaceDN w:val="0"/>
              <w:adjustRightInd w:val="0"/>
              <w:rPr>
                <w:rFonts w:ascii="Gill Sans" w:hAnsi="Gill Sans" w:cs="Gill Sans"/>
                <w:color w:val="000000"/>
                <w:szCs w:val="22"/>
              </w:rPr>
            </w:pPr>
            <w:r w:rsidRPr="00076E76">
              <w:rPr>
                <w:rFonts w:ascii="Gill Sans" w:hAnsi="Gill Sans" w:cs="Gill Sans"/>
                <w:i/>
                <w:color w:val="000000"/>
                <w:szCs w:val="22"/>
              </w:rPr>
              <w:t>Critical moment 3</w:t>
            </w:r>
            <w:r w:rsidRPr="00076E76">
              <w:rPr>
                <w:rFonts w:ascii="Gill Sans" w:hAnsi="Gill Sans" w:cs="Gill Sans"/>
                <w:color w:val="000000"/>
                <w:szCs w:val="22"/>
              </w:rPr>
              <w:t>: understanding the system, adapting/ adjusting approaches to learning/ strategies, managing time.</w:t>
            </w:r>
          </w:p>
          <w:p w14:paraId="4AD68D04" w14:textId="1A68D2AB" w:rsidR="00F934ED" w:rsidRPr="00076E76" w:rsidRDefault="00F934ED" w:rsidP="00F934ED">
            <w:pPr>
              <w:widowControl w:val="0"/>
              <w:autoSpaceDE w:val="0"/>
              <w:autoSpaceDN w:val="0"/>
              <w:adjustRightInd w:val="0"/>
              <w:rPr>
                <w:rFonts w:ascii="Gill Sans" w:hAnsi="Gill Sans" w:cs="Gill Sans"/>
                <w:color w:val="000000"/>
                <w:szCs w:val="22"/>
              </w:rPr>
            </w:pPr>
            <w:r w:rsidRPr="00076E76">
              <w:rPr>
                <w:rFonts w:ascii="Gill Sans" w:hAnsi="Gill Sans" w:cs="Gill Sans"/>
                <w:i/>
                <w:color w:val="000000"/>
                <w:szCs w:val="22"/>
              </w:rPr>
              <w:t xml:space="preserve">Critical moment 4: </w:t>
            </w:r>
            <w:r w:rsidRPr="00076E76">
              <w:rPr>
                <w:rFonts w:ascii="Gill Sans" w:hAnsi="Gill Sans" w:cs="Gill Sans"/>
                <w:color w:val="000000"/>
                <w:szCs w:val="22"/>
              </w:rPr>
              <w:t>staying in the system (not dropping out), changing selves, other lives (family/ personal)</w:t>
            </w:r>
            <w:r w:rsidRPr="00076E76">
              <w:rPr>
                <w:rFonts w:ascii="Gill Sans" w:hAnsi="Gill Sans" w:cs="Gill Sans"/>
                <w:b/>
                <w:color w:val="000000"/>
                <w:szCs w:val="22"/>
                <w:lang w:val="en-AU"/>
              </w:rPr>
              <w:br/>
              <w:t>Core argument:</w:t>
            </w:r>
          </w:p>
        </w:tc>
      </w:tr>
      <w:tr w:rsidR="00F934ED" w:rsidRPr="00076E76" w14:paraId="5D988FEE" w14:textId="77777777" w:rsidTr="002E557C">
        <w:tc>
          <w:tcPr>
            <w:tcW w:w="5529" w:type="dxa"/>
          </w:tcPr>
          <w:p w14:paraId="57E4D842" w14:textId="44C2A056" w:rsidR="00F934ED" w:rsidRPr="00076E76" w:rsidRDefault="00F934ED" w:rsidP="00F934ED">
            <w:pPr>
              <w:rPr>
                <w:rFonts w:ascii="Gill Sans" w:hAnsi="Gill Sans" w:cs="Gill Sans"/>
                <w:szCs w:val="22"/>
              </w:rPr>
            </w:pPr>
            <w:proofErr w:type="spellStart"/>
            <w:r w:rsidRPr="00076E76">
              <w:rPr>
                <w:rFonts w:ascii="Gill Sans" w:hAnsi="Gill Sans" w:cs="Gill Sans"/>
                <w:szCs w:val="22"/>
              </w:rPr>
              <w:lastRenderedPageBreak/>
              <w:t>Tobbell</w:t>
            </w:r>
            <w:proofErr w:type="spellEnd"/>
            <w:r w:rsidRPr="00076E76">
              <w:rPr>
                <w:rFonts w:ascii="Gill Sans" w:hAnsi="Gill Sans" w:cs="Gill Sans"/>
                <w:szCs w:val="22"/>
              </w:rPr>
              <w:t xml:space="preserve">, J.; O’Donnell, V. &amp; Zammit, M. (2010). </w:t>
            </w:r>
            <w:hyperlink r:id="rId131" w:history="1">
              <w:r w:rsidRPr="00F25AEA">
                <w:rPr>
                  <w:rStyle w:val="Hyperlink"/>
                  <w:rFonts w:ascii="Gill Sans" w:hAnsi="Gill Sans" w:cs="Gill Sans"/>
                  <w:szCs w:val="22"/>
                </w:rPr>
                <w:t>Exploring transition to postgraduate study: shifting identities in interaction with communities, practice and participation</w:t>
              </w:r>
            </w:hyperlink>
            <w:r w:rsidRPr="00076E76">
              <w:rPr>
                <w:rFonts w:ascii="Gill Sans" w:hAnsi="Gill Sans" w:cs="Gill Sans"/>
                <w:szCs w:val="22"/>
              </w:rPr>
              <w:t xml:space="preserve">, </w:t>
            </w:r>
            <w:r w:rsidRPr="00076E76">
              <w:rPr>
                <w:rFonts w:ascii="Gill Sans" w:hAnsi="Gill Sans" w:cs="Gill Sans"/>
                <w:i/>
                <w:szCs w:val="22"/>
              </w:rPr>
              <w:t>British Educational Research Journal</w:t>
            </w:r>
            <w:r>
              <w:rPr>
                <w:rFonts w:ascii="Gill Sans" w:hAnsi="Gill Sans" w:cs="Gill Sans"/>
                <w:szCs w:val="22"/>
              </w:rPr>
              <w:t>, 36(2), 261–</w:t>
            </w:r>
            <w:r w:rsidRPr="00076E76">
              <w:rPr>
                <w:rFonts w:ascii="Gill Sans" w:hAnsi="Gill Sans" w:cs="Gill Sans"/>
                <w:szCs w:val="22"/>
              </w:rPr>
              <w:t>278.</w:t>
            </w:r>
          </w:p>
          <w:p w14:paraId="0149306D" w14:textId="77777777" w:rsidR="00F934ED" w:rsidRPr="00076E76" w:rsidRDefault="00F934ED" w:rsidP="00F934ED">
            <w:pPr>
              <w:rPr>
                <w:rFonts w:ascii="Gill Sans" w:hAnsi="Gill Sans" w:cs="Gill Sans"/>
                <w:szCs w:val="22"/>
              </w:rPr>
            </w:pPr>
          </w:p>
          <w:p w14:paraId="09EC7B99" w14:textId="77777777" w:rsidR="00F934ED" w:rsidRPr="00076E76" w:rsidRDefault="00F934ED" w:rsidP="00F934ED">
            <w:pPr>
              <w:rPr>
                <w:rFonts w:ascii="Gill Sans" w:hAnsi="Gill Sans" w:cs="Gill Sans"/>
                <w:szCs w:val="22"/>
              </w:rPr>
            </w:pPr>
            <w:r w:rsidRPr="00076E76">
              <w:rPr>
                <w:rFonts w:ascii="Gill Sans" w:hAnsi="Gill Sans" w:cs="Gill Sans"/>
                <w:szCs w:val="22"/>
              </w:rPr>
              <w:t xml:space="preserve">UK </w:t>
            </w:r>
          </w:p>
          <w:p w14:paraId="27585FFE" w14:textId="504E4950"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2AEF9244" w14:textId="6FD36DE8" w:rsidR="00F934ED" w:rsidRPr="00076E76" w:rsidRDefault="00F934ED" w:rsidP="00F934ED">
            <w:pPr>
              <w:rPr>
                <w:rFonts w:ascii="Gill Sans" w:hAnsi="Gill Sans" w:cs="Gill Sans"/>
                <w:szCs w:val="22"/>
              </w:rPr>
            </w:pPr>
          </w:p>
        </w:tc>
        <w:tc>
          <w:tcPr>
            <w:tcW w:w="10064" w:type="dxa"/>
          </w:tcPr>
          <w:p w14:paraId="1D2C52D9" w14:textId="77777777" w:rsidR="00F934ED" w:rsidRPr="00076E76" w:rsidRDefault="00F934ED" w:rsidP="00F934ED">
            <w:pPr>
              <w:widowControl w:val="0"/>
              <w:autoSpaceDE w:val="0"/>
              <w:autoSpaceDN w:val="0"/>
              <w:adjustRightInd w:val="0"/>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sidRPr="00076E76">
              <w:rPr>
                <w:rFonts w:ascii="Gill Sans" w:hAnsi="Gill Sans" w:cs="Gill Sans"/>
                <w:color w:val="000000"/>
                <w:szCs w:val="22"/>
                <w:lang w:val="en-AU"/>
              </w:rPr>
              <w:t xml:space="preserve">Reports on HEA-funded project exploring transitions into </w:t>
            </w:r>
            <w:proofErr w:type="gramStart"/>
            <w:r w:rsidRPr="00076E76">
              <w:rPr>
                <w:rFonts w:ascii="Gill Sans" w:hAnsi="Gill Sans" w:cs="Gill Sans"/>
                <w:color w:val="000000"/>
                <w:szCs w:val="22"/>
                <w:lang w:val="en-AU"/>
              </w:rPr>
              <w:t>PG  based</w:t>
            </w:r>
            <w:proofErr w:type="gramEnd"/>
            <w:r w:rsidRPr="00076E76">
              <w:rPr>
                <w:rFonts w:ascii="Gill Sans" w:hAnsi="Gill Sans" w:cs="Gill Sans"/>
                <w:color w:val="000000"/>
                <w:szCs w:val="22"/>
                <w:lang w:val="en-AU"/>
              </w:rPr>
              <w:t xml:space="preserve"> on ethnographic work with students in 5 UK universities. This paper examines the multiplicity of identities = construct student experience and transition. Paper based around the dearth of literature exploring transitions to PG, based on assumption that “</w:t>
            </w:r>
            <w:r w:rsidRPr="00076E76">
              <w:rPr>
                <w:rFonts w:ascii="Gill Sans" w:hAnsi="Gill Sans" w:cs="Gill Sans"/>
                <w:color w:val="000000"/>
                <w:szCs w:val="22"/>
              </w:rPr>
              <w:t>the nature of the transition is less challenging as it may be assumed that there is little to overcome in moving from undergraduate to postgraduate study because, essentially, the environment does not change” (p.261), which results “</w:t>
            </w:r>
            <w:r w:rsidRPr="00076E76">
              <w:rPr>
                <w:rFonts w:ascii="Gill Sans" w:hAnsi="Gill Sans" w:cs="Gill Sans"/>
                <w:color w:val="292526"/>
                <w:szCs w:val="22"/>
              </w:rPr>
              <w:t>in their construction, albeit in an implicit way, as ‘expert’ students” (p.262)</w:t>
            </w:r>
          </w:p>
          <w:p w14:paraId="00E14EB8" w14:textId="77777777" w:rsidR="00F934ED" w:rsidRPr="00076E76" w:rsidRDefault="00F934ED" w:rsidP="00F934ED">
            <w:pPr>
              <w:widowControl w:val="0"/>
              <w:autoSpaceDE w:val="0"/>
              <w:autoSpaceDN w:val="0"/>
              <w:adjustRightInd w:val="0"/>
              <w:rPr>
                <w:rFonts w:ascii="Gill Sans" w:hAnsi="Gill Sans" w:cs="Gill Sans"/>
                <w:color w:val="000000"/>
                <w:szCs w:val="22"/>
                <w:lang w:val="en-AU"/>
              </w:rPr>
            </w:pPr>
            <w:r w:rsidRPr="00076E76">
              <w:rPr>
                <w:rFonts w:ascii="Gill Sans" w:hAnsi="Gill Sans" w:cs="Gill Sans"/>
                <w:b/>
                <w:color w:val="000000"/>
                <w:szCs w:val="22"/>
                <w:lang w:val="en-AU"/>
              </w:rPr>
              <w:t xml:space="preserve">Theoretical frame: </w:t>
            </w:r>
            <w:r w:rsidRPr="00076E76">
              <w:rPr>
                <w:rFonts w:ascii="Gill Sans" w:hAnsi="Gill Sans" w:cs="Gill Sans"/>
                <w:color w:val="000000"/>
                <w:szCs w:val="22"/>
                <w:lang w:val="en-AU"/>
              </w:rPr>
              <w:t>Works from view of learning as social process; draws on Lave and Wenger’s theory of CoP. Theory of transition = shift between (from/to) educational environments (physical/ levels of complexity/ mode of study/ underpinning meanings of study – p.265)</w:t>
            </w:r>
            <w:proofErr w:type="gramStart"/>
            <w:r w:rsidRPr="00076E76">
              <w:rPr>
                <w:rFonts w:ascii="Gill Sans" w:hAnsi="Gill Sans" w:cs="Gill Sans"/>
                <w:color w:val="000000"/>
                <w:szCs w:val="22"/>
                <w:lang w:val="en-AU"/>
              </w:rPr>
              <w:t>: ”</w:t>
            </w:r>
            <w:proofErr w:type="gramEnd"/>
            <w:r w:rsidRPr="00076E76">
              <w:rPr>
                <w:rFonts w:ascii="Gill Sans" w:hAnsi="Gill Sans" w:cs="Gill Sans"/>
                <w:color w:val="292526"/>
                <w:szCs w:val="22"/>
              </w:rPr>
              <w:t xml:space="preserve"> Transition identities, then, are not linear and ‘clean’. Rather they are the work of </w:t>
            </w:r>
            <w:proofErr w:type="spellStart"/>
            <w:r w:rsidRPr="00076E76">
              <w:rPr>
                <w:rFonts w:ascii="Gill Sans" w:hAnsi="Gill Sans" w:cs="Gill Sans"/>
                <w:color w:val="292526"/>
                <w:szCs w:val="22"/>
              </w:rPr>
              <w:t>internalising</w:t>
            </w:r>
            <w:proofErr w:type="spellEnd"/>
            <w:r w:rsidRPr="00076E76">
              <w:rPr>
                <w:rFonts w:ascii="Gill Sans" w:hAnsi="Gill Sans" w:cs="Gill Sans"/>
                <w:color w:val="292526"/>
                <w:szCs w:val="22"/>
              </w:rPr>
              <w:t xml:space="preserve"> and enacting change in the face of contradictory emotion and experience” (p.266). Also draws on Wenger and Butler’s ideas of the power of silence and absence of action (p.272)</w:t>
            </w:r>
          </w:p>
          <w:p w14:paraId="5E958F48"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Ethnographic – to ensure micro/macro engagement with student/staff lives: 44 PG students (taught MA, research MA, doctoral), 6 staff members (f2f data collection); 180 students, 6 staff (participant observation data collection)</w:t>
            </w:r>
          </w:p>
          <w:p w14:paraId="2AA69DF7" w14:textId="77777777" w:rsidR="00F934ED" w:rsidRPr="00076E76" w:rsidRDefault="00F934ED" w:rsidP="00F934ED">
            <w:pPr>
              <w:rPr>
                <w:rFonts w:ascii="Gill Sans" w:hAnsi="Gill Sans" w:cs="Gill Sans"/>
                <w:color w:val="000000"/>
                <w:szCs w:val="22"/>
              </w:rPr>
            </w:pPr>
            <w:r w:rsidRPr="00076E76">
              <w:rPr>
                <w:rFonts w:ascii="Gill Sans" w:hAnsi="Gill Sans" w:cs="Gill Sans"/>
                <w:b/>
                <w:color w:val="000000"/>
                <w:szCs w:val="22"/>
                <w:lang w:val="en-AU"/>
              </w:rPr>
              <w:t xml:space="preserve">Findings: </w:t>
            </w:r>
            <w:r w:rsidRPr="00076E76">
              <w:rPr>
                <w:rFonts w:ascii="Gill Sans" w:hAnsi="Gill Sans" w:cs="Gill Sans"/>
                <w:color w:val="000000"/>
                <w:szCs w:val="22"/>
                <w:lang w:val="en-AU"/>
              </w:rPr>
              <w:t>No differences between taught MA and doctoral students. Finding 1) dominance in data regarding students’ lives outside of studies and need for whole-of-life view of transition rather than restricting the view to students’ learning/engagement in curriculum. All participants (spontaneously) expressed frustration with the difficulty of balancing PG study and their “complicated” personal lives (p.269): “</w:t>
            </w:r>
            <w:r w:rsidRPr="00076E76">
              <w:rPr>
                <w:rFonts w:ascii="Gill Sans" w:hAnsi="Gill Sans" w:cs="Gill Sans"/>
                <w:color w:val="000000"/>
                <w:szCs w:val="22"/>
              </w:rPr>
              <w:t xml:space="preserve">Many postgraduate students are giving up time and money, which indicates a commitment and involvement with the </w:t>
            </w:r>
            <w:proofErr w:type="gramStart"/>
            <w:r w:rsidRPr="00076E76">
              <w:rPr>
                <w:rFonts w:ascii="Gill Sans" w:hAnsi="Gill Sans" w:cs="Gill Sans"/>
                <w:color w:val="000000"/>
                <w:szCs w:val="22"/>
              </w:rPr>
              <w:t>process</w:t>
            </w:r>
            <w:proofErr w:type="gramEnd"/>
            <w:r w:rsidRPr="00076E76">
              <w:rPr>
                <w:rFonts w:ascii="Gill Sans" w:hAnsi="Gill Sans" w:cs="Gill Sans"/>
                <w:color w:val="000000"/>
                <w:szCs w:val="22"/>
              </w:rPr>
              <w:t xml:space="preserve"> but this exists in parallel with the tensions of family demands and self-denial” (p.270). Students’ self-reporting (through diaries) suggests that students with family responsibilities and jobs were time poor = unsurprising but important because “university structures tended not to be flexible </w:t>
            </w:r>
            <w:proofErr w:type="gramStart"/>
            <w:r w:rsidRPr="00076E76">
              <w:rPr>
                <w:rFonts w:ascii="Gill Sans" w:hAnsi="Gill Sans" w:cs="Gill Sans"/>
                <w:color w:val="000000"/>
                <w:szCs w:val="22"/>
              </w:rPr>
              <w:t>and in many cases</w:t>
            </w:r>
            <w:proofErr w:type="gramEnd"/>
            <w:r w:rsidRPr="00076E76">
              <w:rPr>
                <w:rFonts w:ascii="Gill Sans" w:hAnsi="Gill Sans" w:cs="Gill Sans"/>
                <w:color w:val="000000"/>
                <w:szCs w:val="22"/>
              </w:rPr>
              <w:t xml:space="preserve"> seemed not to be </w:t>
            </w:r>
            <w:r w:rsidRPr="00076E76">
              <w:rPr>
                <w:rFonts w:ascii="Gill Sans" w:hAnsi="Gill Sans" w:cs="Gill Sans"/>
                <w:color w:val="000000"/>
                <w:szCs w:val="22"/>
              </w:rPr>
              <w:lastRenderedPageBreak/>
              <w:t xml:space="preserve">designed with the student in mind” (p.271). </w:t>
            </w:r>
          </w:p>
          <w:p w14:paraId="5506E5BF" w14:textId="7777777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rPr>
              <w:t xml:space="preserve">There was little reference to students’ outside lives by staff members. </w:t>
            </w:r>
          </w:p>
          <w:p w14:paraId="04A8A223" w14:textId="7777777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rPr>
              <w:t>Students can “never achieve full membership of the CoP” (p.273) because = lack of ‘mutuality of engagement’ because they do not/ are not able to/ invited to contribute to changing the practices in the university = results in ‘peripheral trajectory’ (Wenger, 1998).</w:t>
            </w:r>
          </w:p>
          <w:p w14:paraId="5460D2B5"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rPr>
              <w:t>Discussion of independent learning and self-reliance: “It may be argued that the notions of finding out alone and independent study lend further support to our supposition above that the postgraduate student is constructed as already ‘expert’ and so less attention is given to their inculcation into university culture than to undergraduate students” (p.275).</w:t>
            </w:r>
          </w:p>
          <w:p w14:paraId="21805A39"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Relevance to PGCW/ equity: </w:t>
            </w:r>
            <w:r w:rsidRPr="00076E76">
              <w:rPr>
                <w:rFonts w:ascii="Gill Sans" w:hAnsi="Gill Sans" w:cs="Gill Sans"/>
                <w:color w:val="000000"/>
                <w:szCs w:val="22"/>
                <w:lang w:val="en-AU"/>
              </w:rPr>
              <w:t xml:space="preserve">No explicit connections made; highlights assumptions about ‘readiness’ of PG students and that students with jobs/families etc. are more time poor. Staff participants did not acknowledge complexity of students’ personal lives: </w:t>
            </w:r>
            <w:r w:rsidRPr="00076E76">
              <w:rPr>
                <w:rFonts w:ascii="Gill Sans" w:hAnsi="Gill Sans" w:cs="Gill Sans"/>
                <w:color w:val="000000"/>
                <w:szCs w:val="22"/>
              </w:rPr>
              <w:t>The silence surrounding their outside lives within the university, coupled with the emphasis on independent functioning, may result in identity shifts that do not facilitate learning” (p.277)</w:t>
            </w:r>
          </w:p>
          <w:p w14:paraId="541208D5"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Pedagogical intervention suggested? </w:t>
            </w:r>
            <w:r w:rsidRPr="00076E76">
              <w:rPr>
                <w:rFonts w:ascii="Gill Sans" w:hAnsi="Gill Sans" w:cs="Gill Sans"/>
                <w:color w:val="000000"/>
                <w:szCs w:val="22"/>
                <w:lang w:val="en-AU"/>
              </w:rPr>
              <w:t>None</w:t>
            </w:r>
          </w:p>
          <w:p w14:paraId="43CAFEAA" w14:textId="52E9C232" w:rsidR="00F934ED" w:rsidRPr="00076E76" w:rsidRDefault="00F934ED" w:rsidP="00F934ED">
            <w:pPr>
              <w:rPr>
                <w:rFonts w:ascii="Gill Sans" w:hAnsi="Gill Sans" w:cs="Gill Sans"/>
                <w:b/>
                <w:color w:val="000000"/>
                <w:szCs w:val="22"/>
                <w:lang w:val="en-AU"/>
              </w:rPr>
            </w:pPr>
            <w:r w:rsidRPr="00076E76">
              <w:rPr>
                <w:rFonts w:ascii="Gill Sans" w:hAnsi="Gill Sans" w:cs="Gill Sans"/>
                <w:b/>
                <w:color w:val="000000"/>
                <w:szCs w:val="22"/>
                <w:lang w:val="en-AU"/>
              </w:rPr>
              <w:t xml:space="preserve">Points to future research agenda? </w:t>
            </w:r>
            <w:r w:rsidRPr="00076E76">
              <w:rPr>
                <w:rFonts w:ascii="Gill Sans" w:hAnsi="Gill Sans" w:cs="Gill Sans"/>
                <w:color w:val="000000"/>
                <w:szCs w:val="22"/>
                <w:lang w:val="en-AU"/>
              </w:rPr>
              <w:t>No</w:t>
            </w:r>
          </w:p>
        </w:tc>
      </w:tr>
      <w:tr w:rsidR="00F934ED" w:rsidRPr="00076E76" w14:paraId="2EBD2248" w14:textId="77777777" w:rsidTr="009840C0">
        <w:tc>
          <w:tcPr>
            <w:tcW w:w="5529" w:type="dxa"/>
            <w:shd w:val="clear" w:color="auto" w:fill="auto"/>
          </w:tcPr>
          <w:p w14:paraId="5C5FC4CF" w14:textId="77B658E9" w:rsidR="00F934ED" w:rsidRPr="00076E76" w:rsidRDefault="00F934ED" w:rsidP="00F934ED">
            <w:pPr>
              <w:rPr>
                <w:rFonts w:ascii="Gill Sans" w:hAnsi="Gill Sans" w:cs="Gill Sans"/>
                <w:szCs w:val="22"/>
              </w:rPr>
            </w:pPr>
            <w:proofErr w:type="spellStart"/>
            <w:r w:rsidRPr="00076E76">
              <w:rPr>
                <w:rFonts w:ascii="Gill Sans" w:hAnsi="Gill Sans" w:cs="Gill Sans"/>
                <w:szCs w:val="22"/>
              </w:rPr>
              <w:lastRenderedPageBreak/>
              <w:t>Trautwein</w:t>
            </w:r>
            <w:proofErr w:type="spellEnd"/>
            <w:r w:rsidRPr="00076E76">
              <w:rPr>
                <w:rFonts w:ascii="Gill Sans" w:hAnsi="Gill Sans" w:cs="Gill Sans"/>
                <w:szCs w:val="22"/>
              </w:rPr>
              <w:t xml:space="preserve">, C. &amp; </w:t>
            </w:r>
            <w:proofErr w:type="spellStart"/>
            <w:r w:rsidRPr="00076E76">
              <w:rPr>
                <w:rFonts w:ascii="Gill Sans" w:hAnsi="Gill Sans" w:cs="Gill Sans"/>
                <w:szCs w:val="22"/>
              </w:rPr>
              <w:t>Bosse</w:t>
            </w:r>
            <w:proofErr w:type="spellEnd"/>
            <w:r w:rsidRPr="00076E76">
              <w:rPr>
                <w:rFonts w:ascii="Gill Sans" w:hAnsi="Gill Sans" w:cs="Gill Sans"/>
                <w:szCs w:val="22"/>
              </w:rPr>
              <w:t xml:space="preserve">, E. (2017). </w:t>
            </w:r>
            <w:hyperlink r:id="rId132" w:history="1">
              <w:r w:rsidRPr="00F25AEA">
                <w:rPr>
                  <w:rStyle w:val="Hyperlink"/>
                  <w:rFonts w:ascii="Gill Sans" w:hAnsi="Gill Sans" w:cs="Gill Sans"/>
                  <w:szCs w:val="22"/>
                </w:rPr>
                <w:t>The first year in higher education—critical requirements from the student perspective</w:t>
              </w:r>
            </w:hyperlink>
            <w:r w:rsidRPr="00076E76">
              <w:rPr>
                <w:rFonts w:ascii="Gill Sans" w:hAnsi="Gill Sans" w:cs="Gill Sans"/>
                <w:szCs w:val="22"/>
              </w:rPr>
              <w:t xml:space="preserve">, </w:t>
            </w:r>
            <w:r w:rsidRPr="00076E76">
              <w:rPr>
                <w:rFonts w:ascii="Gill Sans" w:hAnsi="Gill Sans" w:cs="Gill Sans"/>
                <w:i/>
                <w:szCs w:val="22"/>
              </w:rPr>
              <w:t xml:space="preserve">Higher Education, </w:t>
            </w:r>
            <w:r w:rsidRPr="00076E76">
              <w:rPr>
                <w:rFonts w:ascii="Gill Sans" w:hAnsi="Gill Sans" w:cs="Gill Sans"/>
                <w:szCs w:val="22"/>
              </w:rPr>
              <w:t>73</w:t>
            </w:r>
            <w:r>
              <w:rPr>
                <w:rFonts w:ascii="Gill Sans" w:hAnsi="Gill Sans" w:cs="Gill Sans"/>
                <w:szCs w:val="22"/>
              </w:rPr>
              <w:t>, 371–</w:t>
            </w:r>
            <w:r w:rsidRPr="00076E76">
              <w:rPr>
                <w:rFonts w:ascii="Gill Sans" w:hAnsi="Gill Sans" w:cs="Gill Sans"/>
                <w:szCs w:val="22"/>
              </w:rPr>
              <w:t>387.</w:t>
            </w:r>
          </w:p>
          <w:p w14:paraId="610E3162" w14:textId="77777777" w:rsidR="00F934ED" w:rsidRPr="00076E76" w:rsidRDefault="00F934ED" w:rsidP="00F934ED">
            <w:pPr>
              <w:rPr>
                <w:rFonts w:ascii="Gill Sans" w:hAnsi="Gill Sans" w:cs="Gill Sans"/>
                <w:szCs w:val="22"/>
              </w:rPr>
            </w:pPr>
          </w:p>
          <w:p w14:paraId="78488602" w14:textId="77777777" w:rsidR="00F934ED" w:rsidRDefault="00F934ED" w:rsidP="00F934ED">
            <w:pPr>
              <w:rPr>
                <w:rFonts w:ascii="Gill Sans" w:hAnsi="Gill Sans" w:cs="Gill Sans"/>
                <w:szCs w:val="22"/>
              </w:rPr>
            </w:pPr>
            <w:r w:rsidRPr="00076E76">
              <w:rPr>
                <w:rFonts w:ascii="Gill Sans" w:hAnsi="Gill Sans" w:cs="Gill Sans"/>
                <w:szCs w:val="22"/>
              </w:rPr>
              <w:t>GER</w:t>
            </w:r>
          </w:p>
          <w:p w14:paraId="002D267D"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114A0473" w14:textId="77777777" w:rsidR="00F934ED" w:rsidRDefault="00F934ED" w:rsidP="00F934ED">
            <w:pPr>
              <w:rPr>
                <w:rFonts w:ascii="Gill Sans" w:hAnsi="Gill Sans" w:cs="Gill Sans"/>
                <w:szCs w:val="22"/>
              </w:rPr>
            </w:pPr>
          </w:p>
          <w:p w14:paraId="42492857" w14:textId="088BE67D" w:rsidR="00F934ED" w:rsidRPr="00076E76" w:rsidRDefault="00F934ED" w:rsidP="00F934ED">
            <w:pPr>
              <w:rPr>
                <w:rFonts w:ascii="Gill Sans" w:hAnsi="Gill Sans" w:cs="Gill Sans"/>
                <w:szCs w:val="22"/>
              </w:rPr>
            </w:pPr>
            <w:r>
              <w:rPr>
                <w:rFonts w:ascii="Gill Sans" w:hAnsi="Gill Sans" w:cs="Gill Sans"/>
                <w:szCs w:val="22"/>
              </w:rPr>
              <w:t xml:space="preserve">Keywords: </w:t>
            </w:r>
            <w:r w:rsidRPr="00A73873">
              <w:rPr>
                <w:rFonts w:ascii="Gill Sans" w:hAnsi="Gill Sans" w:cs="Gill Sans"/>
                <w:i/>
                <w:szCs w:val="22"/>
              </w:rPr>
              <w:t>Transition to HE; First-year experience; Critical requirements; Critical incidents</w:t>
            </w:r>
          </w:p>
        </w:tc>
        <w:tc>
          <w:tcPr>
            <w:tcW w:w="10064" w:type="dxa"/>
          </w:tcPr>
          <w:p w14:paraId="3B6B6ABE" w14:textId="68EEB287" w:rsidR="00F934ED" w:rsidRPr="002715EB"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sidR="00766F86">
              <w:rPr>
                <w:rFonts w:ascii="Gill Sans" w:hAnsi="Gill Sans" w:cs="Gill Sans"/>
                <w:color w:val="000000"/>
                <w:szCs w:val="22"/>
                <w:lang w:val="en-AU"/>
              </w:rPr>
              <w:t>I</w:t>
            </w:r>
            <w:r>
              <w:rPr>
                <w:rFonts w:ascii="Gill Sans" w:hAnsi="Gill Sans" w:cs="Gill Sans"/>
                <w:color w:val="000000"/>
                <w:szCs w:val="22"/>
                <w:lang w:val="en-AU"/>
              </w:rPr>
              <w:t>mportance of first year experience for future academic success, particularly in the context of widening participation; recent reforms to German higher education that have created additional challenges for students’ transitions (</w:t>
            </w:r>
            <w:r w:rsidRPr="0045716A">
              <w:rPr>
                <w:rFonts w:ascii="Gill Sans" w:hAnsi="Gill Sans" w:cs="Gill Sans"/>
                <w:color w:val="000000"/>
                <w:szCs w:val="22"/>
              </w:rPr>
              <w:t>standardised study programmes including</w:t>
            </w:r>
            <w:r>
              <w:rPr>
                <w:rFonts w:ascii="Gill Sans" w:hAnsi="Gill Sans" w:cs="Gill Sans"/>
                <w:color w:val="000000"/>
                <w:szCs w:val="22"/>
              </w:rPr>
              <w:t xml:space="preserve"> </w:t>
            </w:r>
            <w:r w:rsidRPr="0045716A">
              <w:rPr>
                <w:rFonts w:ascii="Gill Sans" w:hAnsi="Gill Sans" w:cs="Gill Sans"/>
                <w:color w:val="000000"/>
                <w:szCs w:val="22"/>
              </w:rPr>
              <w:t>more frequent and earlier exams</w:t>
            </w:r>
            <w:r>
              <w:rPr>
                <w:rFonts w:ascii="Gill Sans" w:hAnsi="Gill Sans" w:cs="Gill Sans"/>
                <w:color w:val="000000"/>
                <w:szCs w:val="22"/>
              </w:rPr>
              <w:t>)</w:t>
            </w:r>
          </w:p>
          <w:p w14:paraId="22EAD16B" w14:textId="564B4666" w:rsidR="00F934ED" w:rsidRDefault="00F934ED" w:rsidP="00F934ED">
            <w:pPr>
              <w:rPr>
                <w:rFonts w:ascii="Gill Sans" w:hAnsi="Gill Sans" w:cs="Gill Sans"/>
                <w:color w:val="000000"/>
                <w:szCs w:val="22"/>
              </w:rPr>
            </w:pPr>
            <w:r w:rsidRPr="00076E76">
              <w:rPr>
                <w:rFonts w:ascii="Gill Sans" w:hAnsi="Gill Sans" w:cs="Gill Sans"/>
                <w:b/>
                <w:color w:val="000000"/>
                <w:szCs w:val="22"/>
                <w:lang w:val="en-AU"/>
              </w:rPr>
              <w:t xml:space="preserve">Aim: </w:t>
            </w:r>
            <w:r>
              <w:rPr>
                <w:rFonts w:ascii="Gill Sans" w:hAnsi="Gill Sans" w:cs="Gill Sans"/>
                <w:color w:val="000000"/>
                <w:szCs w:val="22"/>
                <w:lang w:val="en-AU"/>
              </w:rPr>
              <w:t>To “</w:t>
            </w:r>
            <w:r w:rsidRPr="00E67073">
              <w:rPr>
                <w:rFonts w:ascii="Gill Sans" w:hAnsi="Gill Sans" w:cs="Gill Sans"/>
                <w:color w:val="000000"/>
                <w:szCs w:val="22"/>
              </w:rPr>
              <w:t>explore the first-year challenges in</w:t>
            </w:r>
            <w:r>
              <w:rPr>
                <w:rFonts w:ascii="Gill Sans" w:hAnsi="Gill Sans" w:cs="Gill Sans"/>
                <w:color w:val="000000"/>
                <w:szCs w:val="22"/>
              </w:rPr>
              <w:t xml:space="preserve"> </w:t>
            </w:r>
            <w:r w:rsidRPr="00E67073">
              <w:rPr>
                <w:rFonts w:ascii="Gill Sans" w:hAnsi="Gill Sans" w:cs="Gill Sans"/>
                <w:color w:val="000000"/>
                <w:szCs w:val="22"/>
              </w:rPr>
              <w:t>German HE from the student perspective focusing on the nexus of the individual and</w:t>
            </w:r>
            <w:r>
              <w:rPr>
                <w:rFonts w:ascii="Gill Sans" w:hAnsi="Gill Sans" w:cs="Gill Sans"/>
                <w:color w:val="000000"/>
                <w:szCs w:val="22"/>
              </w:rPr>
              <w:t xml:space="preserve"> </w:t>
            </w:r>
            <w:r w:rsidRPr="00E67073">
              <w:rPr>
                <w:rFonts w:ascii="Gill Sans" w:hAnsi="Gill Sans" w:cs="Gill Sans"/>
                <w:color w:val="000000"/>
                <w:szCs w:val="22"/>
              </w:rPr>
              <w:t>institutional factors relevant for successful transition</w:t>
            </w:r>
            <w:r>
              <w:rPr>
                <w:rFonts w:ascii="Gill Sans" w:hAnsi="Gill Sans" w:cs="Gill Sans"/>
                <w:color w:val="000000"/>
                <w:szCs w:val="22"/>
              </w:rPr>
              <w:t>” (abstract). To respond to these RQs:</w:t>
            </w:r>
          </w:p>
          <w:p w14:paraId="4A2F5FF6" w14:textId="77777777" w:rsidR="00F934ED" w:rsidRPr="00D64576" w:rsidRDefault="00F934ED" w:rsidP="00F934ED">
            <w:pPr>
              <w:rPr>
                <w:rFonts w:ascii="Gill Sans" w:hAnsi="Gill Sans" w:cs="Gill Sans"/>
                <w:color w:val="000000"/>
                <w:szCs w:val="22"/>
              </w:rPr>
            </w:pPr>
            <w:r>
              <w:rPr>
                <w:rFonts w:ascii="Gill Sans" w:hAnsi="Gill Sans" w:cs="Gill Sans"/>
                <w:color w:val="000000"/>
                <w:szCs w:val="22"/>
              </w:rPr>
              <w:t>“</w:t>
            </w:r>
            <w:r w:rsidRPr="00D64576">
              <w:rPr>
                <w:rFonts w:ascii="Gill Sans" w:hAnsi="Gill Sans" w:cs="Gill Sans"/>
                <w:color w:val="000000"/>
                <w:szCs w:val="22"/>
              </w:rPr>
              <w:t>1. Which critical requirements emerge from students’ reports on their first-year challenges?</w:t>
            </w:r>
          </w:p>
          <w:p w14:paraId="1681394F" w14:textId="77777777" w:rsidR="00F934ED" w:rsidRPr="00D64576" w:rsidRDefault="00F934ED" w:rsidP="00F934ED">
            <w:pPr>
              <w:rPr>
                <w:rFonts w:ascii="Gill Sans" w:hAnsi="Gill Sans" w:cs="Gill Sans"/>
                <w:color w:val="000000"/>
                <w:szCs w:val="22"/>
              </w:rPr>
            </w:pPr>
            <w:r w:rsidRPr="00D64576">
              <w:rPr>
                <w:rFonts w:ascii="Gill Sans" w:hAnsi="Gill Sans" w:cs="Gill Sans"/>
                <w:color w:val="000000"/>
                <w:szCs w:val="22"/>
              </w:rPr>
              <w:t>2. How relevant are the identified critical requirements to first-year students?</w:t>
            </w:r>
          </w:p>
          <w:p w14:paraId="79E88588" w14:textId="27956302" w:rsidR="00F934ED" w:rsidRPr="00E67073" w:rsidRDefault="00F934ED" w:rsidP="00F934ED">
            <w:pPr>
              <w:rPr>
                <w:rFonts w:ascii="Gill Sans" w:hAnsi="Gill Sans" w:cs="Gill Sans"/>
                <w:color w:val="000000"/>
                <w:szCs w:val="22"/>
                <w:lang w:val="en-AU"/>
              </w:rPr>
            </w:pPr>
            <w:r w:rsidRPr="00D64576">
              <w:rPr>
                <w:rFonts w:ascii="Gill Sans" w:hAnsi="Gill Sans" w:cs="Gill Sans"/>
                <w:color w:val="000000"/>
                <w:szCs w:val="22"/>
              </w:rPr>
              <w:t>3. How do students experience critical requirements during the first year?</w:t>
            </w:r>
            <w:r>
              <w:rPr>
                <w:rFonts w:ascii="Gill Sans" w:hAnsi="Gill Sans" w:cs="Gill Sans"/>
                <w:color w:val="000000"/>
                <w:szCs w:val="22"/>
              </w:rPr>
              <w:t>” (p.374)</w:t>
            </w:r>
          </w:p>
          <w:p w14:paraId="2570B9E8" w14:textId="5513F8A8" w:rsidR="00F934ED" w:rsidRPr="000005E4"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Theoretical frame:</w:t>
            </w:r>
            <w:r>
              <w:rPr>
                <w:rFonts w:ascii="Gill Sans" w:hAnsi="Gill Sans" w:cs="Gill Sans"/>
                <w:b/>
                <w:color w:val="000000"/>
                <w:szCs w:val="22"/>
                <w:lang w:val="en-AU"/>
              </w:rPr>
              <w:t xml:space="preserve"> </w:t>
            </w:r>
            <w:r>
              <w:rPr>
                <w:rFonts w:ascii="Gill Sans" w:hAnsi="Gill Sans" w:cs="Gill Sans"/>
                <w:color w:val="000000"/>
                <w:szCs w:val="22"/>
                <w:lang w:val="en-AU"/>
              </w:rPr>
              <w:t>Broader study has sought to develop a comprehensive framework based on psychosocial (learning strategies) and sociocultural (socialisation/ integration/ identity transformation and belonging), which “</w:t>
            </w:r>
            <w:r w:rsidRPr="00163029">
              <w:rPr>
                <w:rFonts w:ascii="Gill Sans" w:hAnsi="Gill Sans" w:cs="Gill Sans"/>
                <w:color w:val="000000"/>
                <w:szCs w:val="22"/>
              </w:rPr>
              <w:t>attempts to bridge the</w:t>
            </w:r>
            <w:r>
              <w:rPr>
                <w:rFonts w:ascii="Gill Sans" w:hAnsi="Gill Sans" w:cs="Gill Sans"/>
                <w:color w:val="000000"/>
                <w:szCs w:val="22"/>
              </w:rPr>
              <w:t xml:space="preserve"> </w:t>
            </w:r>
            <w:r w:rsidRPr="00163029">
              <w:rPr>
                <w:rFonts w:ascii="Gill Sans" w:hAnsi="Gill Sans" w:cs="Gill Sans"/>
                <w:color w:val="000000"/>
                <w:szCs w:val="22"/>
              </w:rPr>
              <w:t>gap between the variable-centred and the more holistic, person-oriented research approaches</w:t>
            </w:r>
            <w:r>
              <w:rPr>
                <w:rFonts w:ascii="Gill Sans" w:hAnsi="Gill Sans" w:cs="Gill Sans"/>
                <w:color w:val="000000"/>
                <w:szCs w:val="22"/>
              </w:rPr>
              <w:t>” (p.373)</w:t>
            </w:r>
            <w:r>
              <w:rPr>
                <w:rFonts w:ascii="Gill Sans" w:hAnsi="Gill Sans" w:cs="Gill Sans"/>
                <w:color w:val="000000"/>
                <w:szCs w:val="22"/>
                <w:lang w:val="en-AU"/>
              </w:rPr>
              <w:tab/>
            </w:r>
          </w:p>
          <w:p w14:paraId="7098D06C" w14:textId="7A0F2855" w:rsidR="00F934ED" w:rsidRPr="00E67073"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Pr>
                <w:rFonts w:ascii="Gill Sans" w:hAnsi="Gill Sans" w:cs="Gill Sans"/>
                <w:color w:val="000000"/>
                <w:szCs w:val="22"/>
                <w:lang w:val="en-AU"/>
              </w:rPr>
              <w:t>Interviews with students (n=25) using critical incident technique/ qualitative content analysis – see p.374 for details</w:t>
            </w:r>
          </w:p>
          <w:p w14:paraId="1E5182B0" w14:textId="2D72788C" w:rsidR="00F934ED"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Findings: </w:t>
            </w:r>
            <w:r>
              <w:rPr>
                <w:rFonts w:ascii="Gill Sans" w:hAnsi="Gill Sans" w:cs="Gill Sans"/>
                <w:color w:val="000000"/>
                <w:szCs w:val="22"/>
                <w:lang w:val="en-AU"/>
              </w:rPr>
              <w:t xml:space="preserve">Analysis revealed 32 critical requirements (reconstructed from the text segments) and from </w:t>
            </w:r>
            <w:r>
              <w:rPr>
                <w:rFonts w:ascii="Gill Sans" w:hAnsi="Gill Sans" w:cs="Gill Sans"/>
                <w:color w:val="000000"/>
                <w:szCs w:val="22"/>
                <w:lang w:val="en-AU"/>
              </w:rPr>
              <w:lastRenderedPageBreak/>
              <w:t>these, the authors extrapolate down to four themes to answer RQ1:</w:t>
            </w:r>
          </w:p>
          <w:p w14:paraId="65D98B64" w14:textId="77777777" w:rsidR="00F934ED" w:rsidRDefault="00F934ED" w:rsidP="00F934ED">
            <w:pPr>
              <w:rPr>
                <w:rFonts w:ascii="Gill Sans" w:hAnsi="Gill Sans" w:cs="Gill Sans"/>
                <w:color w:val="000000"/>
                <w:szCs w:val="22"/>
                <w:lang w:val="en-AU"/>
              </w:rPr>
            </w:pPr>
            <w:r>
              <w:rPr>
                <w:rFonts w:ascii="Gill Sans" w:hAnsi="Gill Sans" w:cs="Gill Sans"/>
                <w:color w:val="000000"/>
                <w:szCs w:val="22"/>
                <w:lang w:val="en-AU"/>
              </w:rPr>
              <w:t>1) personal requirements</w:t>
            </w:r>
          </w:p>
          <w:p w14:paraId="62D720CD" w14:textId="77777777" w:rsidR="00F934ED" w:rsidRDefault="00F934ED" w:rsidP="00F934ED">
            <w:pPr>
              <w:rPr>
                <w:rFonts w:ascii="Gill Sans" w:hAnsi="Gill Sans" w:cs="Gill Sans"/>
                <w:color w:val="000000"/>
                <w:szCs w:val="22"/>
                <w:lang w:val="en-AU"/>
              </w:rPr>
            </w:pPr>
            <w:r>
              <w:rPr>
                <w:rFonts w:ascii="Gill Sans" w:hAnsi="Gill Sans" w:cs="Gill Sans"/>
                <w:color w:val="000000"/>
                <w:szCs w:val="22"/>
                <w:lang w:val="en-AU"/>
              </w:rPr>
              <w:t>2) organisational dimensions</w:t>
            </w:r>
          </w:p>
          <w:p w14:paraId="0A4BDFAF" w14:textId="77777777" w:rsidR="00F934ED" w:rsidRDefault="00F934ED" w:rsidP="00F934ED">
            <w:pPr>
              <w:rPr>
                <w:rFonts w:ascii="Gill Sans" w:hAnsi="Gill Sans" w:cs="Gill Sans"/>
                <w:color w:val="000000"/>
                <w:szCs w:val="22"/>
                <w:lang w:val="en-AU"/>
              </w:rPr>
            </w:pPr>
            <w:r>
              <w:rPr>
                <w:rFonts w:ascii="Gill Sans" w:hAnsi="Gill Sans" w:cs="Gill Sans"/>
                <w:color w:val="000000"/>
                <w:szCs w:val="22"/>
                <w:lang w:val="en-AU"/>
              </w:rPr>
              <w:t>3) content-related dimensions</w:t>
            </w:r>
          </w:p>
          <w:p w14:paraId="1B875CBE" w14:textId="77777777" w:rsidR="00F934ED" w:rsidRDefault="00F934ED" w:rsidP="00F934ED">
            <w:pPr>
              <w:rPr>
                <w:rFonts w:ascii="Gill Sans" w:hAnsi="Gill Sans" w:cs="Gill Sans"/>
                <w:color w:val="000000"/>
                <w:szCs w:val="22"/>
                <w:lang w:val="en-AU"/>
              </w:rPr>
            </w:pPr>
            <w:r>
              <w:rPr>
                <w:rFonts w:ascii="Gill Sans" w:hAnsi="Gill Sans" w:cs="Gill Sans"/>
                <w:color w:val="000000"/>
                <w:szCs w:val="22"/>
                <w:lang w:val="en-AU"/>
              </w:rPr>
              <w:t>4) social dimension</w:t>
            </w:r>
          </w:p>
          <w:p w14:paraId="0EF1FF49" w14:textId="77777777" w:rsidR="00F934ED" w:rsidRDefault="00F934ED" w:rsidP="00F934ED">
            <w:pPr>
              <w:rPr>
                <w:rFonts w:ascii="Gill Sans" w:hAnsi="Gill Sans" w:cs="Gill Sans"/>
                <w:color w:val="000000"/>
                <w:szCs w:val="22"/>
                <w:lang w:val="en-AU"/>
              </w:rPr>
            </w:pPr>
            <w:r>
              <w:rPr>
                <w:rFonts w:ascii="Gill Sans" w:hAnsi="Gill Sans" w:cs="Gill Sans"/>
                <w:color w:val="000000"/>
                <w:szCs w:val="22"/>
                <w:lang w:val="en-AU"/>
              </w:rPr>
              <w:t>For RQ2, critical requirements = personal requirements (34%), organisational dimensions (30%), content-related requirements (22%) and social requirements (14%), quality of teaching/ supervision (7%)</w:t>
            </w:r>
          </w:p>
          <w:p w14:paraId="1A39E214" w14:textId="77777777" w:rsidR="00F934ED" w:rsidRDefault="00F934ED" w:rsidP="00F934ED">
            <w:pPr>
              <w:rPr>
                <w:rFonts w:ascii="Gill Sans" w:hAnsi="Gill Sans" w:cs="Gill Sans"/>
                <w:color w:val="000000"/>
                <w:szCs w:val="22"/>
                <w:lang w:val="en-AU"/>
              </w:rPr>
            </w:pPr>
            <w:r>
              <w:rPr>
                <w:rFonts w:ascii="Gill Sans" w:hAnsi="Gill Sans" w:cs="Gill Sans"/>
                <w:color w:val="000000"/>
                <w:szCs w:val="22"/>
                <w:lang w:val="en-AU"/>
              </w:rPr>
              <w:t>For RQ3:</w:t>
            </w:r>
          </w:p>
          <w:p w14:paraId="7FCB292D" w14:textId="3CFF7BBC" w:rsidR="00F934ED" w:rsidRDefault="00F934ED" w:rsidP="00F934ED">
            <w:pPr>
              <w:rPr>
                <w:rFonts w:ascii="Gill Sans" w:hAnsi="Gill Sans" w:cs="Gill Sans"/>
                <w:color w:val="000000"/>
                <w:szCs w:val="22"/>
                <w:lang w:val="en-AU"/>
              </w:rPr>
            </w:pPr>
            <w:r>
              <w:rPr>
                <w:rFonts w:ascii="Gill Sans" w:hAnsi="Gill Sans" w:cs="Gill Sans"/>
                <w:color w:val="000000"/>
                <w:szCs w:val="22"/>
                <w:lang w:val="en-AU"/>
              </w:rPr>
              <w:t>Personal requirements = balancing part-time work and travel, arranging housing, time management.</w:t>
            </w:r>
            <w:r w:rsidRPr="00076E76">
              <w:rPr>
                <w:rFonts w:ascii="Gill Sans" w:hAnsi="Gill Sans" w:cs="Gill Sans"/>
                <w:b/>
                <w:color w:val="000000"/>
                <w:szCs w:val="22"/>
                <w:lang w:val="en-AU"/>
              </w:rPr>
              <w:br/>
            </w:r>
            <w:r>
              <w:rPr>
                <w:rFonts w:ascii="Gill Sans" w:hAnsi="Gill Sans" w:cs="Gill Sans"/>
                <w:color w:val="000000"/>
                <w:szCs w:val="22"/>
                <w:lang w:val="en-AU"/>
              </w:rPr>
              <w:t>Organisational dimensions = quality of teaching/ perceived lack of support from lecturers, assessment conditions, bureaucratic regulations. Organisational barriers sit on top of personal requirements.</w:t>
            </w:r>
          </w:p>
          <w:p w14:paraId="38C1E239" w14:textId="4FBF632E" w:rsidR="00F934ED" w:rsidRDefault="00F934ED" w:rsidP="00F934ED">
            <w:pPr>
              <w:rPr>
                <w:rFonts w:ascii="Gill Sans" w:hAnsi="Gill Sans" w:cs="Gill Sans"/>
                <w:color w:val="000000"/>
                <w:szCs w:val="22"/>
                <w:lang w:val="en-AU"/>
              </w:rPr>
            </w:pPr>
            <w:r>
              <w:rPr>
                <w:rFonts w:ascii="Gill Sans" w:hAnsi="Gill Sans" w:cs="Gill Sans"/>
                <w:color w:val="000000"/>
                <w:szCs w:val="22"/>
                <w:lang w:val="en-AU"/>
              </w:rPr>
              <w:t>Content-relate barriers = increase in difficulty of subjects (e.g. maths), need to modify initial expectations</w:t>
            </w:r>
          </w:p>
          <w:p w14:paraId="7C4CCEB9" w14:textId="60AE9242" w:rsidR="00F934ED" w:rsidRPr="008F0E7A" w:rsidRDefault="00F934ED" w:rsidP="00F934ED">
            <w:pPr>
              <w:rPr>
                <w:rFonts w:ascii="Gill Sans" w:hAnsi="Gill Sans" w:cs="Gill Sans"/>
                <w:color w:val="000000"/>
                <w:szCs w:val="22"/>
                <w:lang w:val="en-AU"/>
              </w:rPr>
            </w:pPr>
            <w:r>
              <w:rPr>
                <w:rFonts w:ascii="Gill Sans" w:hAnsi="Gill Sans" w:cs="Gill Sans"/>
                <w:color w:val="000000"/>
                <w:szCs w:val="22"/>
                <w:lang w:val="en-AU"/>
              </w:rPr>
              <w:t>Social requirements = building trustworthy relationships, navigating new spaces, find peer group</w:t>
            </w:r>
          </w:p>
          <w:p w14:paraId="0B9D5B1D" w14:textId="69C98FAB" w:rsidR="00F934ED" w:rsidRPr="002D0E70"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Core argument:</w:t>
            </w:r>
            <w:r>
              <w:rPr>
                <w:rFonts w:ascii="Gill Sans" w:hAnsi="Gill Sans" w:cs="Gill Sans"/>
                <w:b/>
                <w:color w:val="000000"/>
                <w:szCs w:val="22"/>
                <w:lang w:val="en-AU"/>
              </w:rPr>
              <w:t xml:space="preserve"> </w:t>
            </w:r>
            <w:r>
              <w:rPr>
                <w:rFonts w:ascii="Gill Sans" w:hAnsi="Gill Sans" w:cs="Gill Sans"/>
                <w:color w:val="000000"/>
                <w:szCs w:val="22"/>
                <w:lang w:val="en-AU"/>
              </w:rPr>
              <w:t>Personal and organisational requirements are the most difficult to navigate</w:t>
            </w:r>
          </w:p>
        </w:tc>
      </w:tr>
      <w:tr w:rsidR="00F934ED" w:rsidRPr="00076E76" w14:paraId="4F8E519A" w14:textId="77777777" w:rsidTr="00076E76">
        <w:tc>
          <w:tcPr>
            <w:tcW w:w="5529" w:type="dxa"/>
            <w:shd w:val="clear" w:color="auto" w:fill="auto"/>
          </w:tcPr>
          <w:p w14:paraId="79C65CBC" w14:textId="2B8FB80F" w:rsidR="00F934ED" w:rsidRPr="00EB5588" w:rsidRDefault="00F934ED" w:rsidP="00F934ED">
            <w:pPr>
              <w:autoSpaceDE w:val="0"/>
              <w:autoSpaceDN w:val="0"/>
              <w:adjustRightInd w:val="0"/>
              <w:rPr>
                <w:rFonts w:ascii="Gill Sans" w:hAnsi="Gill Sans" w:cs="Gill Sans"/>
                <w:lang w:val="en-GB"/>
              </w:rPr>
            </w:pPr>
            <w:proofErr w:type="spellStart"/>
            <w:r w:rsidRPr="00EB5588">
              <w:rPr>
                <w:rFonts w:ascii="Gill Sans" w:hAnsi="Gill Sans" w:cs="Gill Sans"/>
              </w:rPr>
              <w:lastRenderedPageBreak/>
              <w:t>Tuononen</w:t>
            </w:r>
            <w:proofErr w:type="spellEnd"/>
            <w:r w:rsidRPr="00EB5588">
              <w:rPr>
                <w:rFonts w:ascii="Gill Sans" w:hAnsi="Gill Sans" w:cs="Gill Sans"/>
              </w:rPr>
              <w:t xml:space="preserve">, R., </w:t>
            </w:r>
            <w:proofErr w:type="spellStart"/>
            <w:r w:rsidRPr="00EB5588">
              <w:rPr>
                <w:rFonts w:ascii="Gill Sans" w:hAnsi="Gill Sans" w:cs="Gill Sans"/>
              </w:rPr>
              <w:t>Parpala</w:t>
            </w:r>
            <w:proofErr w:type="spellEnd"/>
            <w:r w:rsidRPr="00EB5588">
              <w:rPr>
                <w:rFonts w:ascii="Gill Sans" w:hAnsi="Gill Sans" w:cs="Gill Sans"/>
              </w:rPr>
              <w:t>, A. and Lindblom-</w:t>
            </w:r>
            <w:proofErr w:type="spellStart"/>
            <w:r w:rsidRPr="00EB5588">
              <w:rPr>
                <w:rFonts w:ascii="Gill Sans" w:hAnsi="Gill Sans" w:cs="Gill Sans"/>
              </w:rPr>
              <w:t>Ylänne</w:t>
            </w:r>
            <w:proofErr w:type="spellEnd"/>
            <w:r w:rsidRPr="00EB5588">
              <w:rPr>
                <w:rFonts w:ascii="Gill Sans" w:hAnsi="Gill Sans" w:cs="Gill Sans"/>
              </w:rPr>
              <w:t>, S. (2019)</w:t>
            </w:r>
            <w:r>
              <w:rPr>
                <w:rFonts w:ascii="Gill Sans" w:hAnsi="Gill Sans" w:cs="Gill Sans"/>
              </w:rPr>
              <w:t xml:space="preserve">. </w:t>
            </w:r>
            <w:hyperlink r:id="rId133" w:history="1">
              <w:r w:rsidRPr="00F25AEA">
                <w:rPr>
                  <w:rStyle w:val="Hyperlink"/>
                  <w:rFonts w:ascii="Gill Sans" w:hAnsi="Gill Sans" w:cs="Gill Sans"/>
                  <w:lang w:val="en-GB"/>
                </w:rPr>
                <w:t>Graduates’ evaluations of usefulness of university education, and early career success – a longitudinal study of the transition to working life</w:t>
              </w:r>
            </w:hyperlink>
            <w:r w:rsidRPr="00EB5588">
              <w:rPr>
                <w:rFonts w:ascii="Gill Sans" w:hAnsi="Gill Sans" w:cs="Gill Sans"/>
                <w:lang w:val="en-GB"/>
              </w:rPr>
              <w:t>, </w:t>
            </w:r>
            <w:r w:rsidRPr="00EB5588">
              <w:rPr>
                <w:rFonts w:ascii="Gill Sans" w:hAnsi="Gill Sans" w:cs="Gill Sans"/>
                <w:i/>
                <w:iCs/>
                <w:lang w:val="en-GB"/>
              </w:rPr>
              <w:t>Assessment and Evaluation in Higher Education,</w:t>
            </w:r>
            <w:r w:rsidRPr="00EB5588">
              <w:rPr>
                <w:rFonts w:ascii="Gill Sans" w:hAnsi="Gill Sans" w:cs="Gill Sans"/>
                <w:lang w:val="en-GB"/>
              </w:rPr>
              <w:t> 44</w:t>
            </w:r>
            <w:r>
              <w:rPr>
                <w:rFonts w:ascii="Gill Sans" w:hAnsi="Gill Sans" w:cs="Gill Sans"/>
                <w:lang w:val="en-GB"/>
              </w:rPr>
              <w:t>(4), 581–</w:t>
            </w:r>
            <w:r w:rsidRPr="00EB5588">
              <w:rPr>
                <w:rFonts w:ascii="Gill Sans" w:hAnsi="Gill Sans" w:cs="Gill Sans"/>
                <w:lang w:val="en-GB"/>
              </w:rPr>
              <w:t>595</w:t>
            </w:r>
            <w:r>
              <w:rPr>
                <w:rFonts w:ascii="Gill Sans" w:hAnsi="Gill Sans" w:cs="Gill Sans"/>
                <w:lang w:val="en-GB"/>
              </w:rPr>
              <w:t>.</w:t>
            </w:r>
          </w:p>
          <w:p w14:paraId="49E09CB2" w14:textId="77777777" w:rsidR="00F934ED" w:rsidRDefault="00F934ED" w:rsidP="00F934ED">
            <w:pPr>
              <w:autoSpaceDE w:val="0"/>
              <w:autoSpaceDN w:val="0"/>
              <w:adjustRightInd w:val="0"/>
              <w:rPr>
                <w:rFonts w:ascii="Gill Sans" w:hAnsi="Gill Sans" w:cs="Gill Sans"/>
                <w:lang w:val="en-GB"/>
              </w:rPr>
            </w:pPr>
            <w:r w:rsidRPr="00EB5588">
              <w:rPr>
                <w:rFonts w:ascii="Gill Sans" w:hAnsi="Gill Sans" w:cs="Gill Sans"/>
                <w:lang w:val="en-GB"/>
              </w:rPr>
              <w:t> </w:t>
            </w:r>
          </w:p>
          <w:p w14:paraId="48E83101" w14:textId="77777777" w:rsidR="00F934ED" w:rsidRPr="00EB5588" w:rsidRDefault="00F934ED" w:rsidP="00F934ED">
            <w:pPr>
              <w:autoSpaceDE w:val="0"/>
              <w:autoSpaceDN w:val="0"/>
              <w:adjustRightInd w:val="0"/>
              <w:rPr>
                <w:rFonts w:ascii="Gill Sans" w:hAnsi="Gill Sans" w:cs="Gill Sans"/>
                <w:lang w:val="en-GB"/>
              </w:rPr>
            </w:pPr>
            <w:r>
              <w:rPr>
                <w:rFonts w:ascii="Gill Sans" w:hAnsi="Gill Sans" w:cs="Gill Sans"/>
                <w:lang w:val="en-GB"/>
              </w:rPr>
              <w:t>FIN</w:t>
            </w:r>
          </w:p>
          <w:p w14:paraId="0EACD320" w14:textId="77777777" w:rsidR="00F934ED" w:rsidRPr="00EB5588" w:rsidRDefault="00F934ED" w:rsidP="00F934ED">
            <w:pPr>
              <w:autoSpaceDE w:val="0"/>
              <w:autoSpaceDN w:val="0"/>
              <w:adjustRightInd w:val="0"/>
              <w:rPr>
                <w:rFonts w:ascii="Gill Sans" w:hAnsi="Gill Sans" w:cs="Gill Sans"/>
                <w:lang w:val="en-GB"/>
              </w:rPr>
            </w:pPr>
            <w:r w:rsidRPr="00EB5588">
              <w:rPr>
                <w:rFonts w:ascii="Gill Sans" w:hAnsi="Gill Sans" w:cs="Gill Sans"/>
              </w:rPr>
              <w:t>Annotation written by Dr. Megan Rose</w:t>
            </w:r>
          </w:p>
          <w:p w14:paraId="172C2B59" w14:textId="77777777" w:rsidR="00F934ED" w:rsidRPr="00EB5588" w:rsidRDefault="00F934ED" w:rsidP="00F934ED">
            <w:pPr>
              <w:autoSpaceDE w:val="0"/>
              <w:autoSpaceDN w:val="0"/>
              <w:adjustRightInd w:val="0"/>
              <w:rPr>
                <w:rFonts w:ascii="Gill Sans" w:hAnsi="Gill Sans" w:cs="Gill Sans"/>
                <w:lang w:val="en-GB"/>
              </w:rPr>
            </w:pPr>
            <w:r w:rsidRPr="00EB5588">
              <w:rPr>
                <w:rFonts w:ascii="Gill Sans" w:hAnsi="Gill Sans" w:cs="Gill Sans"/>
              </w:rPr>
              <w:t> </w:t>
            </w:r>
          </w:p>
          <w:p w14:paraId="1487BC11" w14:textId="41FFE66E" w:rsidR="00F934ED" w:rsidRPr="00EB5588" w:rsidRDefault="00F934ED" w:rsidP="00F934ED">
            <w:pPr>
              <w:autoSpaceDE w:val="0"/>
              <w:autoSpaceDN w:val="0"/>
              <w:adjustRightInd w:val="0"/>
              <w:rPr>
                <w:rFonts w:ascii="Gill Sans" w:hAnsi="Gill Sans" w:cs="Gill Sans"/>
                <w:lang w:val="en-GB"/>
              </w:rPr>
            </w:pPr>
            <w:r>
              <w:rPr>
                <w:rFonts w:ascii="Gill Sans" w:hAnsi="Gill Sans" w:cs="Gill Sans"/>
              </w:rPr>
              <w:t>Keywords</w:t>
            </w:r>
            <w:r w:rsidRPr="00EB5588">
              <w:rPr>
                <w:rFonts w:ascii="Gill Sans" w:hAnsi="Gill Sans" w:cs="Gill Sans"/>
              </w:rPr>
              <w:t xml:space="preserve">: </w:t>
            </w:r>
            <w:r w:rsidRPr="00EB5588">
              <w:rPr>
                <w:rFonts w:ascii="Gill Sans" w:hAnsi="Gill Sans" w:cs="Gill Sans"/>
                <w:i/>
              </w:rPr>
              <w:t>Student Experiences</w:t>
            </w:r>
            <w:r w:rsidR="00913907">
              <w:rPr>
                <w:rFonts w:ascii="Gill Sans" w:hAnsi="Gill Sans" w:cs="Gill Sans"/>
                <w:i/>
              </w:rPr>
              <w:t>;</w:t>
            </w:r>
            <w:r w:rsidRPr="00EB5588">
              <w:rPr>
                <w:rFonts w:ascii="Gill Sans" w:hAnsi="Gill Sans" w:cs="Gill Sans"/>
                <w:i/>
              </w:rPr>
              <w:t xml:space="preserve"> </w:t>
            </w:r>
            <w:r w:rsidR="00913907">
              <w:rPr>
                <w:rFonts w:ascii="Gill Sans" w:hAnsi="Gill Sans" w:cs="Gill Sans"/>
                <w:i/>
              </w:rPr>
              <w:t>t</w:t>
            </w:r>
            <w:r w:rsidRPr="00EB5588">
              <w:rPr>
                <w:rFonts w:ascii="Gill Sans" w:hAnsi="Gill Sans" w:cs="Gill Sans"/>
                <w:i/>
              </w:rPr>
              <w:t>ransition</w:t>
            </w:r>
            <w:r w:rsidR="00913907">
              <w:rPr>
                <w:rFonts w:ascii="Gill Sans" w:hAnsi="Gill Sans" w:cs="Gill Sans"/>
                <w:i/>
              </w:rPr>
              <w:t>; e</w:t>
            </w:r>
            <w:r w:rsidRPr="00EB5588">
              <w:rPr>
                <w:rFonts w:ascii="Gill Sans" w:hAnsi="Gill Sans" w:cs="Gill Sans"/>
                <w:i/>
              </w:rPr>
              <w:t xml:space="preserve">arly </w:t>
            </w:r>
            <w:r w:rsidR="00913907">
              <w:rPr>
                <w:rFonts w:ascii="Gill Sans" w:hAnsi="Gill Sans" w:cs="Gill Sans"/>
                <w:i/>
              </w:rPr>
              <w:t>c</w:t>
            </w:r>
            <w:r w:rsidRPr="00EB5588">
              <w:rPr>
                <w:rFonts w:ascii="Gill Sans" w:hAnsi="Gill Sans" w:cs="Gill Sans"/>
                <w:i/>
              </w:rPr>
              <w:t>areers</w:t>
            </w:r>
            <w:r w:rsidR="00913907">
              <w:rPr>
                <w:rFonts w:ascii="Gill Sans" w:hAnsi="Gill Sans" w:cs="Gill Sans"/>
                <w:i/>
              </w:rPr>
              <w:t>;</w:t>
            </w:r>
            <w:r w:rsidRPr="00EB5588">
              <w:rPr>
                <w:rFonts w:ascii="Gill Sans" w:hAnsi="Gill Sans" w:cs="Gill Sans"/>
                <w:i/>
              </w:rPr>
              <w:t xml:space="preserve"> </w:t>
            </w:r>
            <w:r w:rsidR="00913907">
              <w:rPr>
                <w:rFonts w:ascii="Gill Sans" w:hAnsi="Gill Sans" w:cs="Gill Sans"/>
                <w:i/>
              </w:rPr>
              <w:t>j</w:t>
            </w:r>
            <w:r w:rsidRPr="00EB5588">
              <w:rPr>
                <w:rFonts w:ascii="Gill Sans" w:hAnsi="Gill Sans" w:cs="Gill Sans"/>
                <w:i/>
              </w:rPr>
              <w:t xml:space="preserve">ob </w:t>
            </w:r>
            <w:r w:rsidR="00913907">
              <w:rPr>
                <w:rFonts w:ascii="Gill Sans" w:hAnsi="Gill Sans" w:cs="Gill Sans"/>
                <w:i/>
              </w:rPr>
              <w:t>s</w:t>
            </w:r>
            <w:r w:rsidRPr="00EB5588">
              <w:rPr>
                <w:rFonts w:ascii="Gill Sans" w:hAnsi="Gill Sans" w:cs="Gill Sans"/>
                <w:i/>
              </w:rPr>
              <w:t>atisfaction</w:t>
            </w:r>
            <w:r w:rsidR="00913907">
              <w:rPr>
                <w:rFonts w:ascii="Gill Sans" w:hAnsi="Gill Sans" w:cs="Gill Sans"/>
                <w:i/>
              </w:rPr>
              <w:t>;</w:t>
            </w:r>
            <w:r w:rsidRPr="00EB5588">
              <w:rPr>
                <w:rFonts w:ascii="Gill Sans" w:hAnsi="Gill Sans" w:cs="Gill Sans"/>
                <w:i/>
              </w:rPr>
              <w:t xml:space="preserve"> </w:t>
            </w:r>
            <w:r w:rsidR="00913907">
              <w:rPr>
                <w:rFonts w:ascii="Gill Sans" w:hAnsi="Gill Sans" w:cs="Gill Sans"/>
                <w:i/>
              </w:rPr>
              <w:t>e</w:t>
            </w:r>
            <w:r w:rsidRPr="00EB5588">
              <w:rPr>
                <w:rFonts w:ascii="Gill Sans" w:hAnsi="Gill Sans" w:cs="Gill Sans"/>
                <w:i/>
              </w:rPr>
              <w:t>mployment</w:t>
            </w:r>
            <w:r w:rsidR="00913907">
              <w:rPr>
                <w:rFonts w:ascii="Gill Sans" w:hAnsi="Gill Sans" w:cs="Gill Sans"/>
                <w:i/>
              </w:rPr>
              <w:t>; a</w:t>
            </w:r>
            <w:r w:rsidRPr="00EB5588">
              <w:rPr>
                <w:rFonts w:ascii="Gill Sans" w:hAnsi="Gill Sans" w:cs="Gill Sans"/>
                <w:i/>
              </w:rPr>
              <w:t xml:space="preserve">cademic </w:t>
            </w:r>
            <w:r w:rsidR="00913907">
              <w:rPr>
                <w:rFonts w:ascii="Gill Sans" w:hAnsi="Gill Sans" w:cs="Gill Sans"/>
                <w:i/>
              </w:rPr>
              <w:t>c</w:t>
            </w:r>
            <w:r w:rsidRPr="00EB5588">
              <w:rPr>
                <w:rFonts w:ascii="Gill Sans" w:hAnsi="Gill Sans" w:cs="Gill Sans"/>
                <w:i/>
              </w:rPr>
              <w:t>ompetence</w:t>
            </w:r>
            <w:r w:rsidR="00913907">
              <w:rPr>
                <w:rFonts w:ascii="Gill Sans" w:hAnsi="Gill Sans" w:cs="Gill Sans"/>
                <w:i/>
              </w:rPr>
              <w:t>;</w:t>
            </w:r>
            <w:r w:rsidRPr="00EB5588">
              <w:rPr>
                <w:rFonts w:ascii="Gill Sans" w:hAnsi="Gill Sans" w:cs="Gill Sans"/>
                <w:i/>
              </w:rPr>
              <w:t xml:space="preserve"> </w:t>
            </w:r>
            <w:r w:rsidR="00913907">
              <w:rPr>
                <w:rFonts w:ascii="Gill Sans" w:hAnsi="Gill Sans" w:cs="Gill Sans"/>
                <w:i/>
              </w:rPr>
              <w:t>c</w:t>
            </w:r>
            <w:r w:rsidRPr="00EB5588">
              <w:rPr>
                <w:rFonts w:ascii="Gill Sans" w:hAnsi="Gill Sans" w:cs="Gill Sans"/>
                <w:i/>
              </w:rPr>
              <w:t xml:space="preserve">areer </w:t>
            </w:r>
            <w:r w:rsidR="00913907">
              <w:rPr>
                <w:rFonts w:ascii="Gill Sans" w:hAnsi="Gill Sans" w:cs="Gill Sans"/>
                <w:i/>
              </w:rPr>
              <w:t>s</w:t>
            </w:r>
            <w:r w:rsidRPr="00EB5588">
              <w:rPr>
                <w:rFonts w:ascii="Gill Sans" w:hAnsi="Gill Sans" w:cs="Gill Sans"/>
                <w:i/>
              </w:rPr>
              <w:t>uccess</w:t>
            </w:r>
          </w:p>
          <w:p w14:paraId="63C55BCA" w14:textId="77777777" w:rsidR="00F934ED" w:rsidRPr="00076E76" w:rsidRDefault="00F934ED" w:rsidP="00F934ED">
            <w:pPr>
              <w:rPr>
                <w:rFonts w:ascii="Gill Sans" w:hAnsi="Gill Sans" w:cs="Gill Sans"/>
                <w:szCs w:val="22"/>
              </w:rPr>
            </w:pPr>
          </w:p>
        </w:tc>
        <w:tc>
          <w:tcPr>
            <w:tcW w:w="10064" w:type="dxa"/>
          </w:tcPr>
          <w:p w14:paraId="36469DA3" w14:textId="77777777" w:rsidR="00F934ED" w:rsidRPr="00EB5588" w:rsidRDefault="00F934ED" w:rsidP="00F934ED">
            <w:pPr>
              <w:rPr>
                <w:rFonts w:ascii="Gill Sans" w:hAnsi="Gill Sans" w:cs="Gill Sans"/>
                <w:color w:val="000000"/>
                <w:lang w:val="en-GB"/>
              </w:rPr>
            </w:pPr>
            <w:r w:rsidRPr="00EB5588">
              <w:rPr>
                <w:rFonts w:ascii="Gill Sans" w:hAnsi="Gill Sans" w:cs="Gill Sans"/>
                <w:b/>
                <w:bCs/>
                <w:color w:val="000000"/>
              </w:rPr>
              <w:t>Context: </w:t>
            </w:r>
            <w:r w:rsidRPr="00EB5588">
              <w:rPr>
                <w:rFonts w:ascii="Gill Sans" w:hAnsi="Gill Sans" w:cs="Gill Sans"/>
                <w:color w:val="000000"/>
              </w:rPr>
              <w:t xml:space="preserve">Finnish </w:t>
            </w:r>
            <w:proofErr w:type="gramStart"/>
            <w:r w:rsidRPr="00EB5588">
              <w:rPr>
                <w:rFonts w:ascii="Gill Sans" w:hAnsi="Gill Sans" w:cs="Gill Sans"/>
                <w:color w:val="000000"/>
              </w:rPr>
              <w:t>students</w:t>
            </w:r>
            <w:proofErr w:type="gramEnd"/>
            <w:r w:rsidRPr="00EB5588">
              <w:rPr>
                <w:rFonts w:ascii="Gill Sans" w:hAnsi="Gill Sans" w:cs="Gill Sans"/>
                <w:color w:val="000000"/>
              </w:rPr>
              <w:t xml:space="preserve"> perceptions of the usefulness of tertiary education for employment.</w:t>
            </w:r>
          </w:p>
          <w:p w14:paraId="4E1A384D" w14:textId="77777777" w:rsidR="00F934ED" w:rsidRPr="00EB5588" w:rsidRDefault="00F934ED" w:rsidP="00F934ED">
            <w:pPr>
              <w:rPr>
                <w:rFonts w:ascii="Gill Sans" w:hAnsi="Gill Sans" w:cs="Gill Sans"/>
                <w:color w:val="000000"/>
                <w:lang w:val="en-GB"/>
              </w:rPr>
            </w:pPr>
            <w:r w:rsidRPr="00EB5588">
              <w:rPr>
                <w:rFonts w:ascii="Gill Sans" w:hAnsi="Gill Sans" w:cs="Gill Sans"/>
                <w:b/>
                <w:bCs/>
                <w:color w:val="000000"/>
              </w:rPr>
              <w:t>Aim:  </w:t>
            </w:r>
            <w:r w:rsidRPr="00EB5588">
              <w:rPr>
                <w:rFonts w:ascii="Gill Sans" w:hAnsi="Gill Sans" w:cs="Gill Sans"/>
                <w:color w:val="000000"/>
              </w:rPr>
              <w:t>To develop a deeper understanding of how graduate students differ in the way in which they describe their academic competencies, as well as the degree of satisfaction students have of their education and career success.</w:t>
            </w:r>
          </w:p>
          <w:p w14:paraId="5EEEC3C1" w14:textId="77777777" w:rsidR="00F934ED" w:rsidRPr="0045716A" w:rsidRDefault="00F934ED" w:rsidP="00F934ED">
            <w:pPr>
              <w:rPr>
                <w:rFonts w:ascii="Gill Sans" w:hAnsi="Gill Sans" w:cs="Gill Sans"/>
                <w:color w:val="000000"/>
                <w:lang w:val="en-GB"/>
              </w:rPr>
            </w:pPr>
            <w:r w:rsidRPr="00EB5588">
              <w:rPr>
                <w:rFonts w:ascii="Gill Sans" w:hAnsi="Gill Sans" w:cs="Gill Sans"/>
                <w:b/>
                <w:bCs/>
                <w:color w:val="000000"/>
              </w:rPr>
              <w:t>Methodology: </w:t>
            </w:r>
            <w:r w:rsidRPr="0045716A">
              <w:rPr>
                <w:rFonts w:ascii="Gill Sans" w:hAnsi="Gill Sans" w:cs="Gill Sans"/>
                <w:color w:val="000000"/>
              </w:rPr>
              <w:t>Longitudinal mixed phase study.</w:t>
            </w:r>
          </w:p>
          <w:p w14:paraId="08D89E88" w14:textId="77777777" w:rsidR="00F934ED" w:rsidRPr="00EB5588" w:rsidRDefault="00F934ED" w:rsidP="00F934ED">
            <w:pPr>
              <w:rPr>
                <w:rFonts w:ascii="Gill Sans" w:hAnsi="Gill Sans" w:cs="Gill Sans"/>
                <w:color w:val="000000"/>
                <w:lang w:val="en-GB"/>
              </w:rPr>
            </w:pPr>
            <w:r w:rsidRPr="00EB5588">
              <w:rPr>
                <w:rFonts w:ascii="Gill Sans" w:hAnsi="Gill Sans" w:cs="Gill Sans"/>
                <w:color w:val="000000"/>
              </w:rPr>
              <w:t>Phase one n=83 interviewed at time of graduation</w:t>
            </w:r>
          </w:p>
          <w:p w14:paraId="79466B98" w14:textId="77777777" w:rsidR="00F934ED" w:rsidRPr="00EB5588" w:rsidRDefault="00F934ED" w:rsidP="00F934ED">
            <w:pPr>
              <w:rPr>
                <w:rFonts w:ascii="Gill Sans" w:hAnsi="Gill Sans" w:cs="Gill Sans"/>
                <w:color w:val="000000"/>
                <w:lang w:val="en-GB"/>
              </w:rPr>
            </w:pPr>
            <w:r w:rsidRPr="00EB5588">
              <w:rPr>
                <w:rFonts w:ascii="Gill Sans" w:hAnsi="Gill Sans" w:cs="Gill Sans"/>
                <w:color w:val="000000"/>
              </w:rPr>
              <w:t>Phase two n=57 participated in a follow-up questionnaire 3 years later.</w:t>
            </w:r>
          </w:p>
          <w:p w14:paraId="1D9A9C29" w14:textId="77777777" w:rsidR="00F934ED" w:rsidRPr="00EB5588" w:rsidRDefault="00F934ED" w:rsidP="00F934ED">
            <w:pPr>
              <w:rPr>
                <w:rFonts w:ascii="Gill Sans" w:hAnsi="Gill Sans" w:cs="Gill Sans"/>
                <w:b/>
                <w:color w:val="000000"/>
                <w:lang w:val="en-GB"/>
              </w:rPr>
            </w:pPr>
            <w:r w:rsidRPr="00EB5588">
              <w:rPr>
                <w:rFonts w:ascii="Gill Sans" w:hAnsi="Gill Sans" w:cs="Gill Sans"/>
                <w:b/>
                <w:bCs/>
                <w:color w:val="000000"/>
              </w:rPr>
              <w:t>Findings: </w:t>
            </w:r>
          </w:p>
          <w:p w14:paraId="4F6580C6" w14:textId="77777777" w:rsidR="00F934ED" w:rsidRPr="00EB5588" w:rsidRDefault="00F934ED" w:rsidP="00F934ED">
            <w:pPr>
              <w:rPr>
                <w:rFonts w:ascii="Gill Sans" w:hAnsi="Gill Sans" w:cs="Gill Sans"/>
                <w:color w:val="000000"/>
                <w:lang w:val="en-GB"/>
              </w:rPr>
            </w:pPr>
            <w:r w:rsidRPr="00EB5588">
              <w:rPr>
                <w:rFonts w:ascii="Gill Sans" w:hAnsi="Gill Sans" w:cs="Gill Sans"/>
                <w:color w:val="000000"/>
                <w:lang w:val="en-GB"/>
              </w:rPr>
              <w:t>Students who were able to articulate their competencies during phase one perceived stronger correlations to their job and degree during phase two. Students who had a limited understanding struggled with employment and clarity around their career goals. Competencies identified included information processing, collaboration and communication skills.</w:t>
            </w:r>
          </w:p>
          <w:p w14:paraId="040A0865" w14:textId="77777777" w:rsidR="00F934ED" w:rsidRPr="00EB5588" w:rsidRDefault="00F934ED" w:rsidP="00F934ED">
            <w:pPr>
              <w:rPr>
                <w:rFonts w:ascii="Gill Sans" w:hAnsi="Gill Sans" w:cs="Gill Sans"/>
                <w:color w:val="000000"/>
                <w:lang w:val="en-GB"/>
              </w:rPr>
            </w:pPr>
            <w:r w:rsidRPr="00EB5588">
              <w:rPr>
                <w:rFonts w:ascii="Gill Sans" w:hAnsi="Gill Sans" w:cs="Gill Sans"/>
                <w:color w:val="000000"/>
                <w:lang w:val="en-GB"/>
              </w:rPr>
              <w:t>Ability to recognise diverse competencies correlated with later career success and the capacity to face challenges in the workplace, as well as perceived satisfaction with their degree and its usefulness.</w:t>
            </w:r>
          </w:p>
          <w:p w14:paraId="255F2EAC" w14:textId="0FF0C3B7" w:rsidR="00F934ED" w:rsidRPr="00076E76" w:rsidRDefault="00F934ED" w:rsidP="00F934ED">
            <w:pPr>
              <w:rPr>
                <w:rFonts w:ascii="Gill Sans" w:hAnsi="Gill Sans" w:cs="Gill Sans"/>
                <w:b/>
                <w:color w:val="000000"/>
                <w:szCs w:val="22"/>
                <w:lang w:val="en-AU"/>
              </w:rPr>
            </w:pPr>
            <w:r w:rsidRPr="00EB5588">
              <w:rPr>
                <w:rFonts w:ascii="Gill Sans" w:hAnsi="Gill Sans" w:cs="Gill Sans"/>
                <w:b/>
                <w:bCs/>
                <w:color w:val="000000"/>
              </w:rPr>
              <w:t>Core argument: </w:t>
            </w:r>
            <w:r w:rsidRPr="00EB5588">
              <w:rPr>
                <w:rFonts w:ascii="Gill Sans" w:hAnsi="Gill Sans" w:cs="Gill Sans"/>
                <w:color w:val="000000"/>
              </w:rPr>
              <w:t>The ability to understand and articulate the competencies achieved through studying at university are significant in individuals’ abilities to find employment and also feel satisfied in their employment.</w:t>
            </w:r>
          </w:p>
        </w:tc>
      </w:tr>
      <w:tr w:rsidR="00F934ED" w:rsidRPr="00076E76" w14:paraId="173CFC7C" w14:textId="77777777" w:rsidTr="00F97DBC">
        <w:tc>
          <w:tcPr>
            <w:tcW w:w="5529" w:type="dxa"/>
            <w:shd w:val="clear" w:color="auto" w:fill="auto"/>
          </w:tcPr>
          <w:p w14:paraId="6B8B329D" w14:textId="62F3FFE6" w:rsidR="00F934ED" w:rsidRDefault="00F934ED" w:rsidP="00F934ED">
            <w:pPr>
              <w:rPr>
                <w:rFonts w:ascii="Gill Sans" w:hAnsi="Gill Sans" w:cs="Gill Sans"/>
                <w:szCs w:val="22"/>
              </w:rPr>
            </w:pPr>
            <w:r w:rsidRPr="00076E76">
              <w:rPr>
                <w:rFonts w:ascii="Gill Sans" w:hAnsi="Gill Sans" w:cs="Gill Sans"/>
                <w:szCs w:val="22"/>
              </w:rPr>
              <w:t xml:space="preserve">Turner, L. &amp; </w:t>
            </w:r>
            <w:proofErr w:type="spellStart"/>
            <w:r w:rsidRPr="00076E76">
              <w:rPr>
                <w:rFonts w:ascii="Gill Sans" w:hAnsi="Gill Sans" w:cs="Gill Sans"/>
                <w:szCs w:val="22"/>
              </w:rPr>
              <w:t>Tobbell</w:t>
            </w:r>
            <w:proofErr w:type="spellEnd"/>
            <w:r w:rsidRPr="00076E76">
              <w:rPr>
                <w:rFonts w:ascii="Gill Sans" w:hAnsi="Gill Sans" w:cs="Gill Sans"/>
                <w:szCs w:val="22"/>
              </w:rPr>
              <w:t xml:space="preserve">, J. (2017). </w:t>
            </w:r>
            <w:hyperlink r:id="rId134" w:history="1">
              <w:r w:rsidRPr="001D54BC">
                <w:rPr>
                  <w:rStyle w:val="Hyperlink"/>
                  <w:rFonts w:ascii="Gill Sans" w:hAnsi="Gill Sans" w:cs="Gill Sans"/>
                  <w:szCs w:val="22"/>
                </w:rPr>
                <w:t xml:space="preserve">Learner identity and transition: an ethnographic exploration of undergraduate </w:t>
              </w:r>
              <w:r w:rsidRPr="001D54BC">
                <w:rPr>
                  <w:rStyle w:val="Hyperlink"/>
                  <w:rFonts w:ascii="Gill Sans" w:hAnsi="Gill Sans" w:cs="Gill Sans"/>
                  <w:szCs w:val="22"/>
                </w:rPr>
                <w:lastRenderedPageBreak/>
                <w:t>trajectories</w:t>
              </w:r>
            </w:hyperlink>
            <w:r w:rsidRPr="00076E76">
              <w:rPr>
                <w:rFonts w:ascii="Gill Sans" w:hAnsi="Gill Sans" w:cs="Gill Sans"/>
                <w:szCs w:val="22"/>
              </w:rPr>
              <w:t xml:space="preserve">, </w:t>
            </w:r>
            <w:r w:rsidRPr="00076E76">
              <w:rPr>
                <w:rFonts w:ascii="Gill Sans" w:hAnsi="Gill Sans" w:cs="Gill Sans"/>
                <w:i/>
                <w:szCs w:val="22"/>
              </w:rPr>
              <w:t xml:space="preserve">Journal of Further and Higher Education, </w:t>
            </w:r>
            <w:r>
              <w:rPr>
                <w:rFonts w:ascii="Gill Sans" w:hAnsi="Gill Sans" w:cs="Gill Sans"/>
                <w:szCs w:val="22"/>
              </w:rPr>
              <w:t>42(5), 708–720.</w:t>
            </w:r>
          </w:p>
          <w:p w14:paraId="6468909D" w14:textId="77777777" w:rsidR="00F934ED" w:rsidRDefault="00F934ED" w:rsidP="00F934ED">
            <w:pPr>
              <w:rPr>
                <w:rFonts w:ascii="Gill Sans" w:hAnsi="Gill Sans" w:cs="Gill Sans"/>
                <w:szCs w:val="22"/>
              </w:rPr>
            </w:pPr>
          </w:p>
          <w:p w14:paraId="1A80C63B" w14:textId="77777777" w:rsidR="00F934ED" w:rsidRDefault="00F934ED" w:rsidP="00F934ED">
            <w:pPr>
              <w:rPr>
                <w:rFonts w:ascii="Gill Sans" w:hAnsi="Gill Sans" w:cs="Gill Sans"/>
                <w:szCs w:val="22"/>
              </w:rPr>
            </w:pPr>
            <w:r>
              <w:rPr>
                <w:rFonts w:ascii="Gill Sans" w:hAnsi="Gill Sans" w:cs="Gill Sans"/>
                <w:szCs w:val="22"/>
              </w:rPr>
              <w:t>UK</w:t>
            </w:r>
          </w:p>
          <w:p w14:paraId="5F2A3E75"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42F8AF97" w14:textId="77777777" w:rsidR="00F934ED" w:rsidRDefault="00F934ED" w:rsidP="00F934ED">
            <w:pPr>
              <w:rPr>
                <w:rFonts w:ascii="Gill Sans" w:hAnsi="Gill Sans" w:cs="Gill Sans"/>
                <w:szCs w:val="22"/>
              </w:rPr>
            </w:pPr>
          </w:p>
          <w:p w14:paraId="10C48871" w14:textId="235F6CC9" w:rsidR="00F934ED" w:rsidRPr="00076E76" w:rsidRDefault="00F934ED" w:rsidP="00F934ED">
            <w:pPr>
              <w:rPr>
                <w:rFonts w:ascii="Gill Sans" w:hAnsi="Gill Sans" w:cs="Gill Sans"/>
                <w:szCs w:val="22"/>
              </w:rPr>
            </w:pPr>
            <w:r>
              <w:rPr>
                <w:rFonts w:ascii="Gill Sans" w:hAnsi="Gill Sans" w:cs="Gill Sans"/>
                <w:szCs w:val="22"/>
              </w:rPr>
              <w:t xml:space="preserve">Keywords: </w:t>
            </w:r>
            <w:r w:rsidRPr="00CF0E0B">
              <w:rPr>
                <w:rFonts w:ascii="Gill Sans" w:hAnsi="Gill Sans" w:cs="Gill Sans"/>
                <w:i/>
                <w:szCs w:val="22"/>
              </w:rPr>
              <w:t>Learner identity; transition; ethnography; higher education</w:t>
            </w:r>
          </w:p>
        </w:tc>
        <w:tc>
          <w:tcPr>
            <w:tcW w:w="10064" w:type="dxa"/>
          </w:tcPr>
          <w:p w14:paraId="4F45DDEE" w14:textId="6C9D023B" w:rsidR="00F934ED" w:rsidRPr="00E57823" w:rsidRDefault="00F934ED" w:rsidP="00F934ED">
            <w:pPr>
              <w:rPr>
                <w:rFonts w:ascii="Gill Sans" w:hAnsi="Gill Sans" w:cs="Gill Sans"/>
                <w:color w:val="000000"/>
                <w:szCs w:val="22"/>
              </w:rPr>
            </w:pPr>
            <w:r w:rsidRPr="00076E76">
              <w:rPr>
                <w:rFonts w:ascii="Gill Sans" w:hAnsi="Gill Sans" w:cs="Gill Sans"/>
                <w:b/>
                <w:color w:val="000000"/>
                <w:szCs w:val="22"/>
                <w:lang w:val="en-AU"/>
              </w:rPr>
              <w:lastRenderedPageBreak/>
              <w:t xml:space="preserve">Context: </w:t>
            </w:r>
            <w:r>
              <w:rPr>
                <w:rFonts w:ascii="Gill Sans" w:hAnsi="Gill Sans" w:cs="Gill Sans"/>
                <w:color w:val="000000"/>
                <w:szCs w:val="22"/>
                <w:lang w:val="en-AU"/>
              </w:rPr>
              <w:t xml:space="preserve">Intersection between identity, education and transition </w:t>
            </w:r>
            <w:r>
              <w:rPr>
                <w:rFonts w:ascii="Gill Sans" w:hAnsi="Gill Sans" w:cs="Gill Sans"/>
                <w:color w:val="000000"/>
                <w:szCs w:val="22"/>
                <w:lang w:val="en-AU"/>
              </w:rPr>
              <w:softHyphen/>
            </w:r>
            <w:r>
              <w:rPr>
                <w:rFonts w:cs="Gill Sans"/>
                <w:color w:val="000000"/>
                <w:szCs w:val="22"/>
                <w:lang w:val="en-AU"/>
              </w:rPr>
              <w:t>—</w:t>
            </w:r>
            <w:r>
              <w:rPr>
                <w:rFonts w:ascii="Gill Sans" w:hAnsi="Gill Sans" w:cs="Gill Sans"/>
                <w:color w:val="000000"/>
                <w:szCs w:val="22"/>
                <w:lang w:val="en-AU"/>
              </w:rPr>
              <w:t xml:space="preserve"> whereby the destabilising processes of transition make focusing on identity salient: “</w:t>
            </w:r>
            <w:r w:rsidRPr="00F36AF2">
              <w:rPr>
                <w:rFonts w:ascii="Gill Sans" w:hAnsi="Gill Sans" w:cs="Gill Sans"/>
                <w:color w:val="000000"/>
                <w:szCs w:val="22"/>
              </w:rPr>
              <w:t>Learner identity is unsure in transition because students do</w:t>
            </w:r>
            <w:r>
              <w:rPr>
                <w:rFonts w:ascii="Gill Sans" w:hAnsi="Gill Sans" w:cs="Gill Sans"/>
                <w:color w:val="000000"/>
                <w:szCs w:val="22"/>
              </w:rPr>
              <w:t xml:space="preserve"> </w:t>
            </w:r>
            <w:r w:rsidRPr="00F36AF2">
              <w:rPr>
                <w:rFonts w:ascii="Gill Sans" w:hAnsi="Gill Sans" w:cs="Gill Sans"/>
                <w:color w:val="000000"/>
                <w:szCs w:val="22"/>
              </w:rPr>
              <w:t xml:space="preserve">not </w:t>
            </w:r>
            <w:r w:rsidRPr="00F36AF2">
              <w:rPr>
                <w:rFonts w:ascii="Gill Sans" w:hAnsi="Gill Sans" w:cs="Gill Sans"/>
                <w:color w:val="000000"/>
                <w:szCs w:val="22"/>
              </w:rPr>
              <w:lastRenderedPageBreak/>
              <w:t>know what to do or how to act</w:t>
            </w:r>
            <w:r>
              <w:rPr>
                <w:rFonts w:ascii="Gill Sans" w:hAnsi="Gill Sans" w:cs="Gill Sans"/>
                <w:color w:val="000000"/>
                <w:szCs w:val="22"/>
              </w:rPr>
              <w:t xml:space="preserve"> in a new educational landscape” (p.709). Literature review on transition: </w:t>
            </w:r>
            <w:proofErr w:type="spellStart"/>
            <w:r>
              <w:rPr>
                <w:rFonts w:ascii="Gill Sans" w:hAnsi="Gill Sans" w:cs="Gill Sans"/>
                <w:color w:val="000000"/>
                <w:szCs w:val="22"/>
              </w:rPr>
              <w:t>Zepke</w:t>
            </w:r>
            <w:proofErr w:type="spellEnd"/>
            <w:r>
              <w:rPr>
                <w:rFonts w:ascii="Gill Sans" w:hAnsi="Gill Sans" w:cs="Gill Sans"/>
                <w:color w:val="000000"/>
                <w:szCs w:val="22"/>
              </w:rPr>
              <w:t xml:space="preserve"> &amp; Leach’s (2005) study identified a dominant ‘assimilationist approach’ to transition (where students are expected to adapt to the institution); alternative = ‘adaptive approach’ (</w:t>
            </w:r>
            <w:proofErr w:type="spellStart"/>
            <w:r>
              <w:rPr>
                <w:rFonts w:ascii="Gill Sans" w:hAnsi="Gill Sans" w:cs="Gill Sans"/>
                <w:color w:val="000000"/>
                <w:szCs w:val="22"/>
              </w:rPr>
              <w:t>Zepke</w:t>
            </w:r>
            <w:proofErr w:type="spellEnd"/>
            <w:r>
              <w:rPr>
                <w:rFonts w:ascii="Gill Sans" w:hAnsi="Gill Sans" w:cs="Gill Sans"/>
                <w:color w:val="000000"/>
                <w:szCs w:val="22"/>
              </w:rPr>
              <w:t>, Butler &amp; Leach, 2012)</w:t>
            </w:r>
          </w:p>
          <w:p w14:paraId="5D126AD1" w14:textId="009E336C" w:rsidR="00F934ED" w:rsidRDefault="00F934ED" w:rsidP="00F934ED">
            <w:pPr>
              <w:rPr>
                <w:rFonts w:ascii="Gill Sans" w:hAnsi="Gill Sans" w:cs="Gill Sans"/>
                <w:color w:val="000000"/>
                <w:szCs w:val="22"/>
              </w:rPr>
            </w:pPr>
            <w:r w:rsidRPr="00076E76">
              <w:rPr>
                <w:rFonts w:ascii="Gill Sans" w:hAnsi="Gill Sans" w:cs="Gill Sans"/>
                <w:b/>
                <w:color w:val="000000"/>
                <w:szCs w:val="22"/>
                <w:lang w:val="en-AU"/>
              </w:rPr>
              <w:t xml:space="preserve">Aim: </w:t>
            </w:r>
            <w:r>
              <w:rPr>
                <w:rFonts w:ascii="Gill Sans" w:hAnsi="Gill Sans" w:cs="Gill Sans"/>
                <w:color w:val="000000"/>
                <w:szCs w:val="22"/>
                <w:lang w:val="en-AU"/>
              </w:rPr>
              <w:t>To “</w:t>
            </w:r>
            <w:r w:rsidRPr="00D05C14">
              <w:rPr>
                <w:rFonts w:ascii="Gill Sans" w:hAnsi="Gill Sans" w:cs="Gill Sans"/>
                <w:color w:val="000000"/>
                <w:szCs w:val="22"/>
              </w:rPr>
              <w:t>explore the ways in which incoming identity influences participation and</w:t>
            </w:r>
            <w:r>
              <w:rPr>
                <w:rFonts w:ascii="Gill Sans" w:hAnsi="Gill Sans" w:cs="Gill Sans"/>
                <w:color w:val="000000"/>
                <w:szCs w:val="22"/>
              </w:rPr>
              <w:t xml:space="preserve"> </w:t>
            </w:r>
            <w:r w:rsidRPr="00D05C14">
              <w:rPr>
                <w:rFonts w:ascii="Gill Sans" w:hAnsi="Gill Sans" w:cs="Gill Sans"/>
                <w:color w:val="000000"/>
                <w:szCs w:val="22"/>
              </w:rPr>
              <w:t>higher education learner identity, consider the academic practices which</w:t>
            </w:r>
            <w:r>
              <w:rPr>
                <w:rFonts w:ascii="Gill Sans" w:hAnsi="Gill Sans" w:cs="Gill Sans"/>
                <w:color w:val="000000"/>
                <w:szCs w:val="22"/>
              </w:rPr>
              <w:t xml:space="preserve"> </w:t>
            </w:r>
            <w:r w:rsidRPr="00D05C14">
              <w:rPr>
                <w:rFonts w:ascii="Gill Sans" w:hAnsi="Gill Sans" w:cs="Gill Sans"/>
                <w:color w:val="000000"/>
                <w:szCs w:val="22"/>
              </w:rPr>
              <w:t>construct the transition experience and analyse those practices in terms of</w:t>
            </w:r>
            <w:r>
              <w:rPr>
                <w:rFonts w:ascii="Gill Sans" w:hAnsi="Gill Sans" w:cs="Gill Sans"/>
                <w:color w:val="000000"/>
                <w:szCs w:val="22"/>
              </w:rPr>
              <w:t xml:space="preserve"> </w:t>
            </w:r>
            <w:r w:rsidRPr="00D05C14">
              <w:rPr>
                <w:rFonts w:ascii="Gill Sans" w:hAnsi="Gill Sans" w:cs="Gill Sans"/>
                <w:color w:val="000000"/>
                <w:szCs w:val="22"/>
              </w:rPr>
              <w:t>learner identity and participation</w:t>
            </w:r>
            <w:r>
              <w:rPr>
                <w:rFonts w:ascii="Gill Sans" w:hAnsi="Gill Sans" w:cs="Gill Sans"/>
                <w:color w:val="000000"/>
                <w:szCs w:val="22"/>
              </w:rPr>
              <w:t>” (abstract). Stated aims on p.712:</w:t>
            </w:r>
          </w:p>
          <w:p w14:paraId="6D7F7198" w14:textId="3BBB4A90" w:rsidR="00F934ED" w:rsidRPr="00F469AB" w:rsidRDefault="00F934ED" w:rsidP="00F934ED">
            <w:pPr>
              <w:rPr>
                <w:rFonts w:ascii="Gill Sans" w:hAnsi="Gill Sans" w:cs="Gill Sans"/>
                <w:color w:val="000000"/>
                <w:szCs w:val="22"/>
              </w:rPr>
            </w:pPr>
            <w:r w:rsidRPr="00F469AB">
              <w:rPr>
                <w:rFonts w:ascii="Gill Sans" w:hAnsi="Gill Sans" w:cs="Gill Sans"/>
                <w:color w:val="000000"/>
                <w:szCs w:val="22"/>
              </w:rPr>
              <w:t xml:space="preserve">• </w:t>
            </w:r>
            <w:r>
              <w:rPr>
                <w:rFonts w:ascii="Gill Sans" w:hAnsi="Gill Sans" w:cs="Gill Sans"/>
                <w:color w:val="000000"/>
                <w:szCs w:val="22"/>
              </w:rPr>
              <w:t>“</w:t>
            </w:r>
            <w:r w:rsidRPr="00F469AB">
              <w:rPr>
                <w:rFonts w:ascii="Gill Sans" w:hAnsi="Gill Sans" w:cs="Gill Sans"/>
                <w:color w:val="000000"/>
                <w:szCs w:val="22"/>
              </w:rPr>
              <w:t>To explore the ways in which incoming identity influences participation and HE learner identity.</w:t>
            </w:r>
          </w:p>
          <w:p w14:paraId="4D35B5C6" w14:textId="77777777" w:rsidR="00F934ED" w:rsidRPr="00F469AB" w:rsidRDefault="00F934ED" w:rsidP="00F934ED">
            <w:pPr>
              <w:rPr>
                <w:rFonts w:ascii="Gill Sans" w:hAnsi="Gill Sans" w:cs="Gill Sans"/>
                <w:color w:val="000000"/>
                <w:szCs w:val="22"/>
              </w:rPr>
            </w:pPr>
            <w:r w:rsidRPr="00F469AB">
              <w:rPr>
                <w:rFonts w:ascii="Gill Sans" w:hAnsi="Gill Sans" w:cs="Gill Sans"/>
                <w:color w:val="000000"/>
                <w:szCs w:val="22"/>
              </w:rPr>
              <w:t>• To explore the academic practices which construct the transition environment for first-year undergraduate</w:t>
            </w:r>
          </w:p>
          <w:p w14:paraId="208B59F4" w14:textId="77777777" w:rsidR="00F934ED" w:rsidRPr="00F469AB" w:rsidRDefault="00F934ED" w:rsidP="00F934ED">
            <w:pPr>
              <w:rPr>
                <w:rFonts w:ascii="Gill Sans" w:hAnsi="Gill Sans" w:cs="Gill Sans"/>
                <w:color w:val="000000"/>
                <w:szCs w:val="22"/>
              </w:rPr>
            </w:pPr>
            <w:r w:rsidRPr="00F469AB">
              <w:rPr>
                <w:rFonts w:ascii="Gill Sans" w:hAnsi="Gill Sans" w:cs="Gill Sans"/>
                <w:color w:val="000000"/>
                <w:szCs w:val="22"/>
              </w:rPr>
              <w:t>psychology students.</w:t>
            </w:r>
          </w:p>
          <w:p w14:paraId="50276630" w14:textId="75C8285B" w:rsidR="00F934ED" w:rsidRPr="00D05C14" w:rsidRDefault="00F934ED" w:rsidP="00F934ED">
            <w:pPr>
              <w:rPr>
                <w:rFonts w:ascii="Gill Sans" w:hAnsi="Gill Sans" w:cs="Gill Sans"/>
                <w:color w:val="000000"/>
                <w:szCs w:val="22"/>
                <w:lang w:val="en-AU"/>
              </w:rPr>
            </w:pPr>
            <w:r w:rsidRPr="00F469AB">
              <w:rPr>
                <w:rFonts w:ascii="Gill Sans" w:hAnsi="Gill Sans" w:cs="Gill Sans"/>
                <w:color w:val="000000"/>
                <w:szCs w:val="22"/>
              </w:rPr>
              <w:t>• To analyse academic practices in terms of lea</w:t>
            </w:r>
            <w:r>
              <w:rPr>
                <w:rFonts w:ascii="Gill Sans" w:hAnsi="Gill Sans" w:cs="Gill Sans"/>
                <w:color w:val="000000"/>
                <w:szCs w:val="22"/>
              </w:rPr>
              <w:t>rner identity and participation”</w:t>
            </w:r>
          </w:p>
          <w:p w14:paraId="2698B483" w14:textId="750FE896" w:rsidR="00F934ED" w:rsidRPr="00CF0E0B"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Theoretical frame:</w:t>
            </w:r>
            <w:r>
              <w:rPr>
                <w:rFonts w:ascii="Gill Sans" w:hAnsi="Gill Sans" w:cs="Gill Sans"/>
                <w:color w:val="000000"/>
                <w:szCs w:val="22"/>
                <w:lang w:val="en-AU"/>
              </w:rPr>
              <w:t xml:space="preserve"> Communities of practice and ‘distributed approach to identity development in educational contexts, whereby “</w:t>
            </w:r>
            <w:r w:rsidRPr="001615A0">
              <w:rPr>
                <w:rFonts w:ascii="Gill Sans" w:hAnsi="Gill Sans" w:cs="Gill Sans"/>
                <w:color w:val="000000"/>
                <w:szCs w:val="22"/>
              </w:rPr>
              <w:t xml:space="preserve">identity </w:t>
            </w:r>
            <w:r>
              <w:rPr>
                <w:rFonts w:ascii="Gill Sans" w:hAnsi="Gill Sans" w:cs="Gill Sans"/>
                <w:color w:val="000000"/>
                <w:szCs w:val="22"/>
              </w:rPr>
              <w:t>[is]</w:t>
            </w:r>
            <w:r w:rsidRPr="001615A0">
              <w:rPr>
                <w:rFonts w:ascii="Gill Sans" w:hAnsi="Gill Sans" w:cs="Gill Sans"/>
                <w:color w:val="000000"/>
                <w:szCs w:val="22"/>
              </w:rPr>
              <w:t xml:space="preserve"> a sense of self which emerges within and across multiple communities</w:t>
            </w:r>
            <w:r>
              <w:rPr>
                <w:rFonts w:ascii="Gill Sans" w:hAnsi="Gill Sans" w:cs="Gill Sans"/>
                <w:color w:val="000000"/>
                <w:szCs w:val="22"/>
              </w:rPr>
              <w:t>” (p.708)</w:t>
            </w:r>
          </w:p>
          <w:p w14:paraId="395E37BF" w14:textId="5E365B35" w:rsidR="00F934ED" w:rsidRDefault="00F934ED" w:rsidP="00F934ED">
            <w:pPr>
              <w:rPr>
                <w:rFonts w:ascii="Gill Sans" w:hAnsi="Gill Sans" w:cs="Gill Sans"/>
                <w:color w:val="000000"/>
                <w:szCs w:val="22"/>
              </w:rPr>
            </w:pPr>
            <w:r w:rsidRPr="00076E76">
              <w:rPr>
                <w:rFonts w:ascii="Gill Sans" w:hAnsi="Gill Sans" w:cs="Gill Sans"/>
                <w:b/>
                <w:color w:val="000000"/>
                <w:szCs w:val="22"/>
                <w:lang w:val="en-AU"/>
              </w:rPr>
              <w:t xml:space="preserve">Methodology: </w:t>
            </w:r>
            <w:r>
              <w:rPr>
                <w:rFonts w:ascii="Gill Sans" w:hAnsi="Gill Sans" w:cs="Gill Sans"/>
                <w:color w:val="000000"/>
                <w:szCs w:val="22"/>
                <w:lang w:val="en-AU"/>
              </w:rPr>
              <w:t xml:space="preserve">Ethnographic study; data collection = </w:t>
            </w:r>
            <w:r w:rsidRPr="00D05C14">
              <w:rPr>
                <w:rFonts w:ascii="Gill Sans" w:hAnsi="Gill Sans" w:cs="Gill Sans"/>
                <w:color w:val="000000"/>
                <w:szCs w:val="22"/>
              </w:rPr>
              <w:t>observations,</w:t>
            </w:r>
            <w:r>
              <w:rPr>
                <w:rFonts w:ascii="Gill Sans" w:hAnsi="Gill Sans" w:cs="Gill Sans"/>
                <w:color w:val="000000"/>
                <w:szCs w:val="22"/>
              </w:rPr>
              <w:t xml:space="preserve"> </w:t>
            </w:r>
            <w:r w:rsidRPr="00D05C14">
              <w:rPr>
                <w:rFonts w:ascii="Gill Sans" w:hAnsi="Gill Sans" w:cs="Gill Sans"/>
                <w:color w:val="000000"/>
                <w:szCs w:val="22"/>
              </w:rPr>
              <w:t xml:space="preserve">informal social interactions, one-to-one interviews </w:t>
            </w:r>
            <w:r>
              <w:rPr>
                <w:rFonts w:ascii="Gill Sans" w:hAnsi="Gill Sans" w:cs="Gill Sans"/>
                <w:color w:val="000000"/>
                <w:szCs w:val="22"/>
              </w:rPr>
              <w:t xml:space="preserve">with students (n=9) </w:t>
            </w:r>
            <w:r w:rsidRPr="00D05C14">
              <w:rPr>
                <w:rFonts w:ascii="Gill Sans" w:hAnsi="Gill Sans" w:cs="Gill Sans"/>
                <w:color w:val="000000"/>
                <w:szCs w:val="22"/>
              </w:rPr>
              <w:t>and document analysis</w:t>
            </w:r>
            <w:r>
              <w:rPr>
                <w:rFonts w:ascii="Gill Sans" w:hAnsi="Gill Sans" w:cs="Gill Sans"/>
                <w:color w:val="000000"/>
                <w:szCs w:val="22"/>
              </w:rPr>
              <w:t xml:space="preserve"> over first term of first year psychology degree program, with this article focusing on access to study skills and developing information literacy. RQs: </w:t>
            </w:r>
          </w:p>
          <w:p w14:paraId="30F53550" w14:textId="6E8D6FA7" w:rsidR="00F934ED" w:rsidRPr="00EA3781" w:rsidRDefault="00F934ED" w:rsidP="00F934ED">
            <w:pPr>
              <w:rPr>
                <w:rFonts w:ascii="Gill Sans" w:hAnsi="Gill Sans" w:cs="Gill Sans"/>
                <w:color w:val="000000"/>
                <w:szCs w:val="22"/>
              </w:rPr>
            </w:pPr>
            <w:r>
              <w:rPr>
                <w:rFonts w:ascii="Gill Sans" w:hAnsi="Gill Sans" w:cs="Gill Sans"/>
                <w:color w:val="000000"/>
                <w:szCs w:val="22"/>
              </w:rPr>
              <w:t>“</w:t>
            </w:r>
            <w:r w:rsidRPr="00EA3781">
              <w:rPr>
                <w:rFonts w:ascii="Gill Sans" w:hAnsi="Gill Sans" w:cs="Gill Sans"/>
                <w:color w:val="000000"/>
                <w:szCs w:val="22"/>
              </w:rPr>
              <w:t>• How does practice influence participation?</w:t>
            </w:r>
          </w:p>
          <w:p w14:paraId="4A0AFF8D" w14:textId="77777777" w:rsidR="00F934ED" w:rsidRPr="00EA3781" w:rsidRDefault="00F934ED" w:rsidP="00F934ED">
            <w:pPr>
              <w:rPr>
                <w:rFonts w:ascii="Gill Sans" w:hAnsi="Gill Sans" w:cs="Gill Sans"/>
                <w:color w:val="000000"/>
                <w:szCs w:val="22"/>
              </w:rPr>
            </w:pPr>
            <w:r w:rsidRPr="00EA3781">
              <w:rPr>
                <w:rFonts w:ascii="Gill Sans" w:hAnsi="Gill Sans" w:cs="Gill Sans"/>
                <w:color w:val="000000"/>
                <w:szCs w:val="22"/>
              </w:rPr>
              <w:t>• How does participation influence learner identity?</w:t>
            </w:r>
          </w:p>
          <w:p w14:paraId="43014EA2" w14:textId="5F12AAC2" w:rsidR="00F934ED" w:rsidRDefault="00F934ED" w:rsidP="00F934ED">
            <w:pPr>
              <w:rPr>
                <w:rFonts w:ascii="Gill Sans" w:hAnsi="Gill Sans" w:cs="Gill Sans"/>
                <w:color w:val="000000"/>
                <w:szCs w:val="22"/>
              </w:rPr>
            </w:pPr>
            <w:r w:rsidRPr="00EA3781">
              <w:rPr>
                <w:rFonts w:ascii="Gill Sans" w:hAnsi="Gill Sans" w:cs="Gill Sans"/>
                <w:color w:val="000000"/>
                <w:szCs w:val="22"/>
              </w:rPr>
              <w:t>• How does identity influence participation?</w:t>
            </w:r>
            <w:r>
              <w:rPr>
                <w:rFonts w:ascii="Gill Sans" w:hAnsi="Gill Sans" w:cs="Gill Sans"/>
                <w:color w:val="000000"/>
                <w:szCs w:val="22"/>
              </w:rPr>
              <w:t>” (p.713)</w:t>
            </w:r>
          </w:p>
          <w:p w14:paraId="4B51BE3C" w14:textId="24326529" w:rsidR="00F934ED" w:rsidRPr="00D05C14" w:rsidRDefault="00F934ED" w:rsidP="00F934ED">
            <w:pPr>
              <w:rPr>
                <w:rFonts w:ascii="Gill Sans" w:hAnsi="Gill Sans" w:cs="Gill Sans"/>
                <w:color w:val="000000"/>
                <w:szCs w:val="22"/>
                <w:lang w:val="en-AU"/>
              </w:rPr>
            </w:pPr>
            <w:r>
              <w:rPr>
                <w:rFonts w:ascii="Gill Sans" w:hAnsi="Gill Sans" w:cs="Gill Sans"/>
                <w:color w:val="000000"/>
                <w:szCs w:val="22"/>
              </w:rPr>
              <w:t>Analysis = ‘theoretical thematic analysis’.</w:t>
            </w:r>
          </w:p>
          <w:p w14:paraId="742BAD8E" w14:textId="77777777" w:rsidR="00F934ED" w:rsidRDefault="00F934ED" w:rsidP="00F934ED">
            <w:pPr>
              <w:rPr>
                <w:rFonts w:ascii="Gill Sans" w:hAnsi="Gill Sans" w:cs="Gill Sans"/>
                <w:color w:val="000000"/>
                <w:szCs w:val="22"/>
              </w:rPr>
            </w:pPr>
            <w:r w:rsidRPr="00076E76">
              <w:rPr>
                <w:rFonts w:ascii="Gill Sans" w:hAnsi="Gill Sans" w:cs="Gill Sans"/>
                <w:b/>
                <w:color w:val="000000"/>
                <w:szCs w:val="22"/>
                <w:lang w:val="en-AU"/>
              </w:rPr>
              <w:t xml:space="preserve">Findings: </w:t>
            </w:r>
            <w:r>
              <w:rPr>
                <w:rFonts w:ascii="Gill Sans" w:hAnsi="Gill Sans" w:cs="Gill Sans"/>
                <w:color w:val="000000"/>
                <w:szCs w:val="22"/>
                <w:lang w:val="en-AU"/>
              </w:rPr>
              <w:t>Authors focused on “</w:t>
            </w:r>
            <w:r w:rsidRPr="008B11AD">
              <w:rPr>
                <w:rFonts w:ascii="Gill Sans" w:hAnsi="Gill Sans" w:cs="Gill Sans"/>
                <w:color w:val="000000"/>
                <w:szCs w:val="22"/>
              </w:rPr>
              <w:t>the negotiation between past and present identities</w:t>
            </w:r>
            <w:r>
              <w:rPr>
                <w:rFonts w:ascii="Gill Sans" w:hAnsi="Gill Sans" w:cs="Gill Sans"/>
                <w:color w:val="000000"/>
                <w:szCs w:val="22"/>
              </w:rPr>
              <w:t xml:space="preserve">” (p.713), finding that </w:t>
            </w:r>
            <w:r>
              <w:rPr>
                <w:rFonts w:ascii="Gill Sans" w:hAnsi="Gill Sans" w:cs="Gill Sans"/>
                <w:color w:val="000000"/>
                <w:szCs w:val="22"/>
                <w:lang w:val="en-AU"/>
              </w:rPr>
              <w:t>“</w:t>
            </w:r>
            <w:r w:rsidRPr="00E21460">
              <w:rPr>
                <w:rFonts w:ascii="Gill Sans" w:hAnsi="Gill Sans" w:cs="Gill Sans"/>
                <w:color w:val="000000"/>
                <w:szCs w:val="22"/>
              </w:rPr>
              <w:t>the reconciliation of past, present and future identities is psychologically</w:t>
            </w:r>
            <w:r>
              <w:rPr>
                <w:rFonts w:ascii="Gill Sans" w:hAnsi="Gill Sans" w:cs="Gill Sans"/>
                <w:color w:val="000000"/>
                <w:szCs w:val="22"/>
              </w:rPr>
              <w:t xml:space="preserve"> </w:t>
            </w:r>
            <w:r w:rsidRPr="00E21460">
              <w:rPr>
                <w:rFonts w:ascii="Gill Sans" w:hAnsi="Gill Sans" w:cs="Gill Sans"/>
                <w:color w:val="000000"/>
                <w:szCs w:val="22"/>
              </w:rPr>
              <w:t>challenging for students during educational transition and this influences</w:t>
            </w:r>
            <w:r>
              <w:rPr>
                <w:rFonts w:ascii="Gill Sans" w:hAnsi="Gill Sans" w:cs="Gill Sans"/>
                <w:color w:val="000000"/>
                <w:szCs w:val="22"/>
              </w:rPr>
              <w:t xml:space="preserve"> </w:t>
            </w:r>
            <w:r w:rsidRPr="00E21460">
              <w:rPr>
                <w:rFonts w:ascii="Gill Sans" w:hAnsi="Gill Sans" w:cs="Gill Sans"/>
                <w:color w:val="000000"/>
                <w:szCs w:val="22"/>
              </w:rPr>
              <w:t>individual trajectories</w:t>
            </w:r>
            <w:r>
              <w:rPr>
                <w:rFonts w:ascii="Gill Sans" w:hAnsi="Gill Sans" w:cs="Gill Sans"/>
                <w:color w:val="000000"/>
                <w:szCs w:val="22"/>
              </w:rPr>
              <w:t>” (abstract)</w:t>
            </w:r>
            <w:r w:rsidRPr="00E21460">
              <w:rPr>
                <w:rFonts w:ascii="Gill Sans" w:hAnsi="Gill Sans" w:cs="Gill Sans"/>
                <w:color w:val="000000"/>
                <w:szCs w:val="22"/>
              </w:rPr>
              <w:t>.</w:t>
            </w:r>
          </w:p>
          <w:p w14:paraId="516CBD30" w14:textId="77777777" w:rsidR="00F934ED" w:rsidRDefault="00F934ED" w:rsidP="00F934ED">
            <w:pPr>
              <w:rPr>
                <w:rFonts w:ascii="Gill Sans" w:hAnsi="Gill Sans" w:cs="Gill Sans"/>
                <w:color w:val="000000"/>
                <w:szCs w:val="22"/>
              </w:rPr>
            </w:pPr>
            <w:r>
              <w:rPr>
                <w:rFonts w:ascii="Gill Sans" w:hAnsi="Gill Sans" w:cs="Gill Sans"/>
                <w:color w:val="000000"/>
                <w:szCs w:val="22"/>
              </w:rPr>
              <w:t>‘Tracy’ had previously studied with the Open University and was a Direct Entrant (DE) student, and she was able to draw on her experience from her previous community/ies to help her adapt. Similarly, ‘Gemma’ made connections between the Access course she had previously studied and her new learning context, but she also reported feeling challenged by the new environment and topic.</w:t>
            </w:r>
          </w:p>
          <w:p w14:paraId="61118EA8" w14:textId="77777777" w:rsidR="00F934ED" w:rsidRDefault="00F934ED" w:rsidP="00F934ED">
            <w:pPr>
              <w:rPr>
                <w:rFonts w:ascii="Gill Sans" w:hAnsi="Gill Sans" w:cs="Gill Sans"/>
                <w:color w:val="000000"/>
                <w:szCs w:val="22"/>
              </w:rPr>
            </w:pPr>
            <w:r>
              <w:rPr>
                <w:rFonts w:ascii="Gill Sans" w:hAnsi="Gill Sans" w:cs="Gill Sans"/>
                <w:color w:val="000000"/>
                <w:szCs w:val="22"/>
              </w:rPr>
              <w:t>Other students found the reconciliation between past and present learning contexts more challenging. This manifested as ‘non-participation’ for some students in some contexts (for example, staying silent) because of what the authors refer to as ‘identity conflict’.</w:t>
            </w:r>
          </w:p>
          <w:p w14:paraId="68DD04B3" w14:textId="77777777" w:rsidR="00F934ED" w:rsidRDefault="00F934ED" w:rsidP="00F934ED">
            <w:pPr>
              <w:rPr>
                <w:rFonts w:ascii="Gill Sans" w:hAnsi="Gill Sans" w:cs="Gill Sans"/>
                <w:color w:val="000000"/>
                <w:szCs w:val="22"/>
              </w:rPr>
            </w:pPr>
            <w:r>
              <w:rPr>
                <w:rFonts w:ascii="Gill Sans" w:hAnsi="Gill Sans" w:cs="Gill Sans"/>
                <w:color w:val="000000"/>
                <w:szCs w:val="22"/>
              </w:rPr>
              <w:t>New practices also invoked challenges to comfortable adaptation, particularly in terms of writing essays, resulting in demotivation: “</w:t>
            </w:r>
            <w:r w:rsidRPr="00BB7DD2">
              <w:rPr>
                <w:rFonts w:ascii="Gill Sans" w:hAnsi="Gill Sans" w:cs="Gill Sans"/>
                <w:color w:val="000000"/>
                <w:szCs w:val="22"/>
              </w:rPr>
              <w:t>it is difficult to</w:t>
            </w:r>
            <w:r>
              <w:rPr>
                <w:rFonts w:ascii="Gill Sans" w:hAnsi="Gill Sans" w:cs="Gill Sans"/>
                <w:color w:val="000000"/>
                <w:szCs w:val="22"/>
              </w:rPr>
              <w:t xml:space="preserve"> </w:t>
            </w:r>
            <w:r w:rsidRPr="00BB7DD2">
              <w:rPr>
                <w:rFonts w:ascii="Gill Sans" w:hAnsi="Gill Sans" w:cs="Gill Sans"/>
                <w:color w:val="000000"/>
                <w:szCs w:val="22"/>
              </w:rPr>
              <w:t xml:space="preserve">motivate yourself if you are unsure of how to proceed. Practice is </w:t>
            </w:r>
            <w:r w:rsidRPr="00BB7DD2">
              <w:rPr>
                <w:rFonts w:ascii="Gill Sans" w:hAnsi="Gill Sans" w:cs="Gill Sans"/>
                <w:color w:val="000000"/>
                <w:szCs w:val="22"/>
              </w:rPr>
              <w:lastRenderedPageBreak/>
              <w:t>hidden for these students</w:t>
            </w:r>
            <w:r>
              <w:rPr>
                <w:rFonts w:ascii="Gill Sans" w:hAnsi="Gill Sans" w:cs="Gill Sans"/>
                <w:color w:val="000000"/>
                <w:szCs w:val="22"/>
              </w:rPr>
              <w:t>” (p.715). Feedback was also cited as a challenging practice, particularly for students who had previously experienced regular formative feedback on their work.</w:t>
            </w:r>
          </w:p>
          <w:p w14:paraId="5EB31517" w14:textId="45B3EA4E" w:rsidR="00F934ED" w:rsidRPr="001156A0" w:rsidRDefault="00F934ED" w:rsidP="00F934ED">
            <w:pPr>
              <w:rPr>
                <w:rFonts w:ascii="Gill Sans" w:hAnsi="Gill Sans" w:cs="Gill Sans"/>
                <w:color w:val="000000"/>
                <w:szCs w:val="22"/>
              </w:rPr>
            </w:pPr>
            <w:r>
              <w:rPr>
                <w:rFonts w:ascii="Gill Sans" w:hAnsi="Gill Sans" w:cs="Gill Sans"/>
                <w:color w:val="000000"/>
                <w:szCs w:val="22"/>
              </w:rPr>
              <w:t>Failure to adapt: authors cite example of students struggling to use the database to find sources for an assignment, and ultimately returning to familiar practices (referring to a text book, using Wikipedia). ‘Carl’ described the shift in practices as “overwhelming”</w:t>
            </w:r>
            <w:r w:rsidRPr="00076E76">
              <w:rPr>
                <w:rFonts w:ascii="Gill Sans" w:hAnsi="Gill Sans" w:cs="Gill Sans"/>
                <w:b/>
                <w:color w:val="000000"/>
                <w:szCs w:val="22"/>
                <w:lang w:val="en-AU"/>
              </w:rPr>
              <w:br/>
              <w:t>Core argument:</w:t>
            </w:r>
            <w:r>
              <w:rPr>
                <w:rFonts w:ascii="Gill Sans" w:hAnsi="Gill Sans" w:cs="Gill Sans"/>
                <w:b/>
                <w:color w:val="000000"/>
                <w:szCs w:val="22"/>
                <w:lang w:val="en-AU"/>
              </w:rPr>
              <w:t xml:space="preserve"> </w:t>
            </w:r>
            <w:r>
              <w:rPr>
                <w:rFonts w:ascii="Gill Sans" w:hAnsi="Gill Sans" w:cs="Gill Sans"/>
                <w:color w:val="000000"/>
                <w:szCs w:val="22"/>
                <w:lang w:val="en-AU"/>
              </w:rPr>
              <w:t>Success = explained by view of transition as ‘participatory trajectories’ (p.718) “</w:t>
            </w:r>
            <w:r w:rsidRPr="00227B8A">
              <w:rPr>
                <w:rFonts w:ascii="Gill Sans" w:hAnsi="Gill Sans" w:cs="Gill Sans"/>
                <w:color w:val="000000"/>
                <w:szCs w:val="22"/>
              </w:rPr>
              <w:t>Transition is a time of reconstruction, where the learner negotiates which aspects of their previous</w:t>
            </w:r>
            <w:r>
              <w:rPr>
                <w:rFonts w:ascii="Gill Sans" w:hAnsi="Gill Sans" w:cs="Gill Sans"/>
                <w:color w:val="000000"/>
                <w:szCs w:val="22"/>
              </w:rPr>
              <w:t xml:space="preserve"> </w:t>
            </w:r>
            <w:r w:rsidRPr="00227B8A">
              <w:rPr>
                <w:rFonts w:ascii="Gill Sans" w:hAnsi="Gill Sans" w:cs="Gill Sans"/>
                <w:color w:val="000000"/>
                <w:szCs w:val="22"/>
              </w:rPr>
              <w:t>learner identity to maintain and which require transformation</w:t>
            </w:r>
            <w:r>
              <w:rPr>
                <w:rFonts w:ascii="Gill Sans" w:hAnsi="Gill Sans" w:cs="Gill Sans"/>
                <w:color w:val="000000"/>
                <w:szCs w:val="22"/>
              </w:rPr>
              <w:t>” (p.714)</w:t>
            </w:r>
            <w:r w:rsidRPr="00227B8A">
              <w:rPr>
                <w:rFonts w:ascii="Gill Sans" w:hAnsi="Gill Sans" w:cs="Gill Sans"/>
                <w:color w:val="000000"/>
                <w:szCs w:val="22"/>
              </w:rPr>
              <w:t>.</w:t>
            </w:r>
          </w:p>
        </w:tc>
      </w:tr>
      <w:tr w:rsidR="00F934ED" w:rsidRPr="00076E76" w14:paraId="5821A29C" w14:textId="77777777" w:rsidTr="002E20D0">
        <w:tc>
          <w:tcPr>
            <w:tcW w:w="5529" w:type="dxa"/>
            <w:shd w:val="clear" w:color="auto" w:fill="auto"/>
          </w:tcPr>
          <w:p w14:paraId="17EA37C9" w14:textId="002839FB" w:rsidR="00F934ED" w:rsidRPr="001D54BC" w:rsidRDefault="00F934ED" w:rsidP="00F934ED">
            <w:pPr>
              <w:rPr>
                <w:rFonts w:ascii="Gill Sans" w:hAnsi="Gill Sans" w:cs="Gill Sans"/>
                <w:szCs w:val="22"/>
              </w:rPr>
            </w:pPr>
            <w:r w:rsidRPr="00076E76">
              <w:rPr>
                <w:rFonts w:ascii="Gill Sans" w:hAnsi="Gill Sans" w:cs="Gill Sans"/>
                <w:szCs w:val="22"/>
              </w:rPr>
              <w:lastRenderedPageBreak/>
              <w:t xml:space="preserve">Turner, R.; Morrison, D.; Cotton, D.; Child, S.; Stevens, S.; Nash, P. &amp; </w:t>
            </w:r>
            <w:proofErr w:type="spellStart"/>
            <w:r w:rsidRPr="00076E76">
              <w:rPr>
                <w:rFonts w:ascii="Gill Sans" w:hAnsi="Gill Sans" w:cs="Gill Sans"/>
                <w:szCs w:val="22"/>
              </w:rPr>
              <w:t>Kneale</w:t>
            </w:r>
            <w:proofErr w:type="spellEnd"/>
            <w:r w:rsidRPr="00076E76">
              <w:rPr>
                <w:rFonts w:ascii="Gill Sans" w:hAnsi="Gill Sans" w:cs="Gill Sans"/>
                <w:szCs w:val="22"/>
              </w:rPr>
              <w:t xml:space="preserve">, P. (2017). </w:t>
            </w:r>
            <w:hyperlink r:id="rId135" w:history="1">
              <w:r w:rsidRPr="00AB59A0">
                <w:rPr>
                  <w:rStyle w:val="Hyperlink"/>
                  <w:rFonts w:ascii="Gill Sans" w:hAnsi="Gill Sans" w:cs="Gill Sans"/>
                  <w:szCs w:val="22"/>
                </w:rPr>
                <w:t>Easing the transition of first year undergraduates through an immersive induction module</w:t>
              </w:r>
            </w:hyperlink>
            <w:r w:rsidRPr="00076E76">
              <w:rPr>
                <w:rFonts w:ascii="Gill Sans" w:hAnsi="Gill Sans" w:cs="Gill Sans"/>
                <w:szCs w:val="22"/>
              </w:rPr>
              <w:t xml:space="preserve">, </w:t>
            </w:r>
            <w:r w:rsidRPr="00076E76">
              <w:rPr>
                <w:rFonts w:ascii="Gill Sans" w:hAnsi="Gill Sans" w:cs="Gill Sans"/>
                <w:i/>
                <w:szCs w:val="22"/>
              </w:rPr>
              <w:t xml:space="preserve">Teaching in Higher Education, </w:t>
            </w:r>
            <w:r>
              <w:rPr>
                <w:rFonts w:ascii="Gill Sans" w:hAnsi="Gill Sans" w:cs="Gill Sans"/>
                <w:szCs w:val="22"/>
              </w:rPr>
              <w:t>22(7), 805–821.</w:t>
            </w:r>
          </w:p>
          <w:p w14:paraId="0F6AC675" w14:textId="77777777" w:rsidR="00F934ED" w:rsidRDefault="00F934ED" w:rsidP="00F934ED">
            <w:pPr>
              <w:rPr>
                <w:rFonts w:ascii="Gill Sans" w:hAnsi="Gill Sans" w:cs="Gill Sans"/>
                <w:szCs w:val="22"/>
              </w:rPr>
            </w:pPr>
          </w:p>
          <w:p w14:paraId="178517B3" w14:textId="77777777" w:rsidR="00F934ED" w:rsidRDefault="00F934ED" w:rsidP="00F934ED">
            <w:pPr>
              <w:rPr>
                <w:rFonts w:ascii="Gill Sans" w:hAnsi="Gill Sans" w:cs="Gill Sans"/>
                <w:szCs w:val="22"/>
              </w:rPr>
            </w:pPr>
            <w:r>
              <w:rPr>
                <w:rFonts w:ascii="Gill Sans" w:hAnsi="Gill Sans" w:cs="Gill Sans"/>
                <w:szCs w:val="22"/>
              </w:rPr>
              <w:t>UK</w:t>
            </w:r>
          </w:p>
          <w:p w14:paraId="72AAFF6B"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3994BB21" w14:textId="77777777" w:rsidR="00F934ED" w:rsidRDefault="00F934ED" w:rsidP="00F934ED">
            <w:pPr>
              <w:rPr>
                <w:rFonts w:ascii="Gill Sans" w:hAnsi="Gill Sans" w:cs="Gill Sans"/>
                <w:szCs w:val="22"/>
              </w:rPr>
            </w:pPr>
          </w:p>
          <w:p w14:paraId="68D71363" w14:textId="59B87330" w:rsidR="00F934ED" w:rsidRPr="00017C43" w:rsidRDefault="00F934ED" w:rsidP="00F934ED">
            <w:pPr>
              <w:rPr>
                <w:rFonts w:ascii="Gill Sans" w:hAnsi="Gill Sans" w:cs="Gill Sans"/>
                <w:i/>
                <w:szCs w:val="22"/>
              </w:rPr>
            </w:pPr>
            <w:r>
              <w:rPr>
                <w:rFonts w:ascii="Gill Sans" w:hAnsi="Gill Sans" w:cs="Gill Sans"/>
                <w:szCs w:val="22"/>
              </w:rPr>
              <w:t xml:space="preserve">Keywords: </w:t>
            </w:r>
            <w:r w:rsidRPr="004C3175">
              <w:rPr>
                <w:rFonts w:ascii="Gill Sans" w:hAnsi="Gill Sans" w:cs="Gill Sans"/>
                <w:i/>
                <w:szCs w:val="22"/>
              </w:rPr>
              <w:t>Widening participation; student experience;</w:t>
            </w:r>
            <w:r>
              <w:rPr>
                <w:rFonts w:ascii="Gill Sans" w:hAnsi="Gill Sans" w:cs="Gill Sans"/>
                <w:i/>
                <w:szCs w:val="22"/>
              </w:rPr>
              <w:t xml:space="preserve"> </w:t>
            </w:r>
            <w:r w:rsidRPr="004C3175">
              <w:rPr>
                <w:rFonts w:ascii="Gill Sans" w:hAnsi="Gill Sans" w:cs="Gill Sans"/>
                <w:i/>
                <w:szCs w:val="22"/>
              </w:rPr>
              <w:t>induction; retention; study skills</w:t>
            </w:r>
          </w:p>
        </w:tc>
        <w:tc>
          <w:tcPr>
            <w:tcW w:w="10064" w:type="dxa"/>
          </w:tcPr>
          <w:p w14:paraId="2014015E" w14:textId="29D18D87" w:rsidR="00F934ED" w:rsidRDefault="00F934ED" w:rsidP="00F934ED">
            <w:pPr>
              <w:rPr>
                <w:rFonts w:ascii="Gill Sans" w:hAnsi="Gill Sans" w:cs="Gill Sans"/>
                <w:color w:val="000000"/>
                <w:szCs w:val="22"/>
              </w:rPr>
            </w:pPr>
            <w:r w:rsidRPr="00076E76">
              <w:rPr>
                <w:rFonts w:ascii="Gill Sans" w:hAnsi="Gill Sans" w:cs="Gill Sans"/>
                <w:b/>
                <w:color w:val="000000"/>
                <w:szCs w:val="22"/>
                <w:lang w:val="en-AU"/>
              </w:rPr>
              <w:t xml:space="preserve">Context: </w:t>
            </w:r>
            <w:r>
              <w:rPr>
                <w:rFonts w:ascii="Gill Sans" w:hAnsi="Gill Sans" w:cs="Gill Sans"/>
                <w:color w:val="000000"/>
                <w:szCs w:val="22"/>
                <w:lang w:val="en-AU"/>
              </w:rPr>
              <w:t>Transition, particularly entry in, as a particularly challenging time and especially given the diversified student body resulting from widening participation, and with ‘non-traditional’ students at “particular risk” of attrition (p.3). Authors argue there is a gap in the transition literature, with “</w:t>
            </w:r>
            <w:r w:rsidRPr="00ED4F8E">
              <w:rPr>
                <w:rFonts w:ascii="Gill Sans" w:hAnsi="Gill Sans" w:cs="Gill Sans"/>
                <w:color w:val="000000"/>
                <w:szCs w:val="22"/>
              </w:rPr>
              <w:t>little extant research</w:t>
            </w:r>
            <w:r>
              <w:rPr>
                <w:rFonts w:ascii="Gill Sans" w:hAnsi="Gill Sans" w:cs="Gill Sans"/>
                <w:color w:val="000000"/>
                <w:szCs w:val="22"/>
              </w:rPr>
              <w:t>,</w:t>
            </w:r>
            <w:r w:rsidRPr="00ED4F8E">
              <w:rPr>
                <w:rFonts w:ascii="Gill Sans" w:hAnsi="Gill Sans" w:cs="Gill Sans"/>
                <w:color w:val="000000"/>
                <w:szCs w:val="22"/>
              </w:rPr>
              <w:t xml:space="preserve"> which</w:t>
            </w:r>
            <w:r>
              <w:rPr>
                <w:rFonts w:ascii="Gill Sans" w:hAnsi="Gill Sans" w:cs="Gill Sans"/>
                <w:color w:val="000000"/>
                <w:szCs w:val="22"/>
              </w:rPr>
              <w:t xml:space="preserve"> </w:t>
            </w:r>
            <w:r w:rsidRPr="00ED4F8E">
              <w:rPr>
                <w:rFonts w:ascii="Gill Sans" w:hAnsi="Gill Sans" w:cs="Gill Sans"/>
                <w:color w:val="000000"/>
                <w:szCs w:val="22"/>
              </w:rPr>
              <w:t>has attempted to link induction activities with student retention</w:t>
            </w:r>
            <w:r>
              <w:rPr>
                <w:rFonts w:ascii="Gill Sans" w:hAnsi="Gill Sans" w:cs="Gill Sans"/>
                <w:color w:val="000000"/>
                <w:szCs w:val="22"/>
              </w:rPr>
              <w:t>” (p.3).</w:t>
            </w:r>
          </w:p>
          <w:p w14:paraId="27458B8A" w14:textId="145A26B8" w:rsidR="00F934ED" w:rsidRPr="004C3175" w:rsidRDefault="00F934ED" w:rsidP="00F934ED">
            <w:pPr>
              <w:rPr>
                <w:rFonts w:ascii="Gill Sans" w:hAnsi="Gill Sans" w:cs="Gill Sans"/>
                <w:color w:val="000000"/>
                <w:szCs w:val="22"/>
                <w:lang w:val="en-AU"/>
              </w:rPr>
            </w:pPr>
            <w:r>
              <w:rPr>
                <w:rFonts w:ascii="Gill Sans" w:hAnsi="Gill Sans" w:cs="Gill Sans"/>
                <w:color w:val="000000"/>
                <w:szCs w:val="22"/>
              </w:rPr>
              <w:t>Innovation: pilot immersion model</w:t>
            </w:r>
            <w:r w:rsidRPr="002135B3">
              <w:rPr>
                <w:rFonts w:ascii="Gill Sans" w:hAnsi="Gill Sans" w:cs="Gill Sans"/>
                <w:color w:val="000000"/>
                <w:szCs w:val="22"/>
              </w:rPr>
              <w:t xml:space="preserve"> </w:t>
            </w:r>
            <w:r>
              <w:rPr>
                <w:rFonts w:ascii="Gill Sans" w:hAnsi="Gill Sans" w:cs="Gill Sans"/>
                <w:color w:val="000000"/>
                <w:szCs w:val="22"/>
              </w:rPr>
              <w:t>=</w:t>
            </w:r>
            <w:r w:rsidRPr="002135B3">
              <w:rPr>
                <w:rFonts w:ascii="Gill Sans" w:hAnsi="Gill Sans" w:cs="Gill Sans"/>
                <w:color w:val="000000"/>
                <w:szCs w:val="22"/>
              </w:rPr>
              <w:t xml:space="preserve"> piloted </w:t>
            </w:r>
            <w:r>
              <w:rPr>
                <w:rFonts w:ascii="Gill Sans" w:hAnsi="Gill Sans" w:cs="Gill Sans"/>
                <w:color w:val="000000"/>
                <w:szCs w:val="22"/>
              </w:rPr>
              <w:t>in</w:t>
            </w:r>
            <w:r w:rsidRPr="002135B3">
              <w:rPr>
                <w:rFonts w:ascii="Gill Sans" w:hAnsi="Gill Sans" w:cs="Gill Sans"/>
                <w:color w:val="000000"/>
                <w:szCs w:val="22"/>
              </w:rPr>
              <w:t xml:space="preserve"> 19 first</w:t>
            </w:r>
            <w:r>
              <w:rPr>
                <w:rFonts w:ascii="Gill Sans" w:hAnsi="Gill Sans" w:cs="Gill Sans"/>
                <w:color w:val="000000"/>
                <w:szCs w:val="22"/>
              </w:rPr>
              <w:t xml:space="preserve"> year programs in 2014; this morphed into a disciplinary-specific 4-week module in first year of study (active pedagogies; student-led; inclusive/ non-exam assessments)</w:t>
            </w:r>
          </w:p>
          <w:p w14:paraId="3A852739" w14:textId="5622A1C4" w:rsidR="00F934ED"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Pr>
                <w:rFonts w:ascii="Gill Sans" w:hAnsi="Gill Sans" w:cs="Gill Sans"/>
                <w:color w:val="000000"/>
                <w:szCs w:val="22"/>
                <w:lang w:val="en-AU"/>
              </w:rPr>
              <w:t xml:space="preserve">To describe and discuss a cross-institutional ‘curriculum innovation’; a four-week module/ intervention/ immersive model to support students with their transitions into their discipline area and improve retention. RQs: </w:t>
            </w:r>
          </w:p>
          <w:p w14:paraId="221CBD0F" w14:textId="53EF03C7" w:rsidR="00F934ED" w:rsidRPr="00D41CC4" w:rsidRDefault="00F934ED" w:rsidP="00F934ED">
            <w:pPr>
              <w:rPr>
                <w:rFonts w:ascii="Gill Sans" w:hAnsi="Gill Sans" w:cs="Gill Sans"/>
                <w:color w:val="000000"/>
                <w:szCs w:val="22"/>
              </w:rPr>
            </w:pPr>
            <w:r>
              <w:rPr>
                <w:rFonts w:ascii="Gill Sans" w:hAnsi="Gill Sans" w:cs="Gill Sans"/>
                <w:color w:val="000000"/>
                <w:szCs w:val="22"/>
                <w:lang w:val="en-AU"/>
              </w:rPr>
              <w:t>“</w:t>
            </w:r>
            <w:r w:rsidRPr="00D41CC4">
              <w:rPr>
                <w:rFonts w:ascii="Gill Sans" w:hAnsi="Gill Sans" w:cs="Gill Sans"/>
                <w:color w:val="000000"/>
                <w:szCs w:val="22"/>
              </w:rPr>
              <w:t>(1) In what ways and to what extent does the immersive module support students to</w:t>
            </w:r>
            <w:r>
              <w:rPr>
                <w:rFonts w:ascii="Gill Sans" w:hAnsi="Gill Sans" w:cs="Gill Sans"/>
                <w:color w:val="000000"/>
                <w:szCs w:val="22"/>
              </w:rPr>
              <w:t xml:space="preserve"> </w:t>
            </w:r>
            <w:r w:rsidRPr="00D41CC4">
              <w:rPr>
                <w:rFonts w:ascii="Gill Sans" w:hAnsi="Gill Sans" w:cs="Gill Sans"/>
                <w:color w:val="000000"/>
                <w:szCs w:val="22"/>
              </w:rPr>
              <w:t>develop peer networks and relationships with academic staff?</w:t>
            </w:r>
          </w:p>
          <w:p w14:paraId="2D7AE40D" w14:textId="6BC6554F" w:rsidR="00F934ED" w:rsidRPr="00D41CC4" w:rsidRDefault="00F934ED" w:rsidP="00F934ED">
            <w:pPr>
              <w:rPr>
                <w:rFonts w:ascii="Gill Sans" w:hAnsi="Gill Sans" w:cs="Gill Sans"/>
                <w:color w:val="000000"/>
                <w:szCs w:val="22"/>
              </w:rPr>
            </w:pPr>
            <w:r w:rsidRPr="00D41CC4">
              <w:rPr>
                <w:rFonts w:ascii="Gill Sans" w:hAnsi="Gill Sans" w:cs="Gill Sans"/>
                <w:color w:val="000000"/>
                <w:szCs w:val="22"/>
              </w:rPr>
              <w:t>(2) To what extent did the immersive modules serve to prepare students for HE-level</w:t>
            </w:r>
            <w:r>
              <w:rPr>
                <w:rFonts w:ascii="Gill Sans" w:hAnsi="Gill Sans" w:cs="Gill Sans"/>
                <w:color w:val="000000"/>
                <w:szCs w:val="22"/>
              </w:rPr>
              <w:t xml:space="preserve"> </w:t>
            </w:r>
            <w:r w:rsidRPr="00D41CC4">
              <w:rPr>
                <w:rFonts w:ascii="Gill Sans" w:hAnsi="Gill Sans" w:cs="Gill Sans"/>
                <w:color w:val="000000"/>
                <w:szCs w:val="22"/>
              </w:rPr>
              <w:t>study through their implicit focus on study skills?</w:t>
            </w:r>
          </w:p>
          <w:p w14:paraId="09A4C94D" w14:textId="1627CAC9" w:rsidR="00F934ED" w:rsidRPr="004C3175" w:rsidRDefault="00F934ED" w:rsidP="00F934ED">
            <w:pPr>
              <w:rPr>
                <w:rFonts w:ascii="Gill Sans" w:hAnsi="Gill Sans" w:cs="Gill Sans"/>
                <w:color w:val="000000"/>
                <w:szCs w:val="22"/>
                <w:lang w:val="en-AU"/>
              </w:rPr>
            </w:pPr>
            <w:r w:rsidRPr="00D41CC4">
              <w:rPr>
                <w:rFonts w:ascii="Gill Sans" w:hAnsi="Gill Sans" w:cs="Gill Sans"/>
                <w:color w:val="000000"/>
                <w:szCs w:val="22"/>
              </w:rPr>
              <w:t>(3) How did students negotiate the transition from the immersive module into a standard</w:t>
            </w:r>
            <w:r>
              <w:rPr>
                <w:rFonts w:ascii="Gill Sans" w:hAnsi="Gill Sans" w:cs="Gill Sans"/>
                <w:color w:val="000000"/>
                <w:szCs w:val="22"/>
              </w:rPr>
              <w:t xml:space="preserve"> </w:t>
            </w:r>
            <w:r w:rsidRPr="00D41CC4">
              <w:rPr>
                <w:rFonts w:ascii="Gill Sans" w:hAnsi="Gill Sans" w:cs="Gill Sans"/>
                <w:color w:val="000000"/>
                <w:szCs w:val="22"/>
              </w:rPr>
              <w:t>curriculum structure?</w:t>
            </w:r>
            <w:r>
              <w:rPr>
                <w:rFonts w:ascii="Gill Sans" w:hAnsi="Gill Sans" w:cs="Gill Sans"/>
                <w:color w:val="000000"/>
                <w:szCs w:val="22"/>
              </w:rPr>
              <w:t>” (p.4)</w:t>
            </w:r>
          </w:p>
          <w:p w14:paraId="79774F9F" w14:textId="57DA1977" w:rsidR="00F934ED" w:rsidRPr="009832CB"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Pr>
                <w:rFonts w:ascii="Gill Sans" w:hAnsi="Gill Sans" w:cs="Gill Sans"/>
                <w:color w:val="000000"/>
                <w:szCs w:val="22"/>
                <w:lang w:val="en-AU"/>
              </w:rPr>
              <w:t>Evaluation: participant observation (field notes, semi-structured observation protocols) + online survey of students (n=789) + focus groups. Statistical data analysed with Chi-square test; focus groups = thematic analysis.</w:t>
            </w:r>
          </w:p>
          <w:p w14:paraId="28E02522" w14:textId="70C8E0F4" w:rsidR="00F934ED" w:rsidRDefault="00F934ED" w:rsidP="00F934ED">
            <w:pPr>
              <w:rPr>
                <w:rFonts w:ascii="Gill Sans" w:hAnsi="Gill Sans" w:cs="Gill Sans"/>
                <w:color w:val="000000"/>
                <w:szCs w:val="22"/>
              </w:rPr>
            </w:pPr>
            <w:r w:rsidRPr="00076E76">
              <w:rPr>
                <w:rFonts w:ascii="Gill Sans" w:hAnsi="Gill Sans" w:cs="Gill Sans"/>
                <w:b/>
                <w:color w:val="000000"/>
                <w:szCs w:val="22"/>
                <w:lang w:val="en-AU"/>
              </w:rPr>
              <w:t xml:space="preserve">Findings: </w:t>
            </w:r>
            <w:r>
              <w:rPr>
                <w:rFonts w:ascii="Gill Sans" w:hAnsi="Gill Sans" w:cs="Gill Sans"/>
                <w:color w:val="000000"/>
                <w:szCs w:val="22"/>
                <w:lang w:val="en-AU"/>
              </w:rPr>
              <w:t xml:space="preserve">Themes: 1) </w:t>
            </w:r>
            <w:r w:rsidRPr="006930F2">
              <w:rPr>
                <w:rFonts w:ascii="Gill Sans" w:hAnsi="Gill Sans" w:cs="Gill Sans"/>
                <w:color w:val="000000"/>
                <w:szCs w:val="22"/>
              </w:rPr>
              <w:t>Belonging and social self-efficacy;</w:t>
            </w:r>
            <w:r>
              <w:rPr>
                <w:rFonts w:ascii="Gill Sans" w:hAnsi="Gill Sans" w:cs="Gill Sans"/>
                <w:color w:val="000000"/>
                <w:szCs w:val="22"/>
              </w:rPr>
              <w:t xml:space="preserve"> 2) </w:t>
            </w:r>
            <w:r w:rsidRPr="006930F2">
              <w:rPr>
                <w:rFonts w:ascii="Gill Sans" w:hAnsi="Gill Sans" w:cs="Gill Sans"/>
                <w:color w:val="000000"/>
                <w:szCs w:val="22"/>
              </w:rPr>
              <w:t>Study skills and academic self-efficacy;</w:t>
            </w:r>
            <w:r>
              <w:rPr>
                <w:rFonts w:ascii="Gill Sans" w:hAnsi="Gill Sans" w:cs="Gill Sans"/>
                <w:color w:val="000000"/>
                <w:szCs w:val="22"/>
              </w:rPr>
              <w:t xml:space="preserve"> 3) </w:t>
            </w:r>
            <w:r w:rsidRPr="006930F2">
              <w:rPr>
                <w:rFonts w:ascii="Gill Sans" w:hAnsi="Gill Sans" w:cs="Gill Sans"/>
                <w:color w:val="000000"/>
                <w:szCs w:val="22"/>
              </w:rPr>
              <w:t>Managing students</w:t>
            </w:r>
            <w:r>
              <w:rPr>
                <w:rFonts w:ascii="Gill Sans" w:hAnsi="Gill Sans" w:cs="Gill Sans"/>
                <w:color w:val="000000"/>
                <w:szCs w:val="22"/>
              </w:rPr>
              <w:t>’</w:t>
            </w:r>
            <w:r w:rsidRPr="006930F2">
              <w:rPr>
                <w:rFonts w:ascii="Gill Sans" w:hAnsi="Gill Sans" w:cs="Gill Sans"/>
                <w:color w:val="000000"/>
                <w:szCs w:val="22"/>
              </w:rPr>
              <w:t xml:space="preserve"> expectations;</w:t>
            </w:r>
            <w:r>
              <w:rPr>
                <w:rFonts w:ascii="Gill Sans" w:hAnsi="Gill Sans" w:cs="Gill Sans"/>
                <w:color w:val="000000"/>
                <w:szCs w:val="22"/>
              </w:rPr>
              <w:t xml:space="preserve"> 4)</w:t>
            </w:r>
            <w:r w:rsidRPr="00E518B2">
              <w:rPr>
                <w:rFonts w:ascii="Times New Roman" w:hAnsi="Times New Roman" w:cs="Times New Roman"/>
                <w:sz w:val="21"/>
                <w:szCs w:val="21"/>
              </w:rPr>
              <w:t xml:space="preserve"> </w:t>
            </w:r>
            <w:r w:rsidRPr="00E518B2">
              <w:rPr>
                <w:rFonts w:ascii="Gill Sans" w:hAnsi="Gill Sans" w:cs="Gill Sans"/>
                <w:color w:val="000000"/>
                <w:szCs w:val="22"/>
              </w:rPr>
              <w:t>Inclusive assessment; and</w:t>
            </w:r>
            <w:r>
              <w:rPr>
                <w:rFonts w:ascii="Gill Sans" w:hAnsi="Gill Sans" w:cs="Gill Sans"/>
                <w:color w:val="000000"/>
                <w:szCs w:val="22"/>
              </w:rPr>
              <w:t xml:space="preserve"> 5) </w:t>
            </w:r>
            <w:r w:rsidRPr="00E518B2">
              <w:rPr>
                <w:rFonts w:ascii="Gill Sans" w:hAnsi="Gill Sans" w:cs="Gill Sans"/>
                <w:color w:val="000000"/>
                <w:szCs w:val="22"/>
              </w:rPr>
              <w:t>Meeting expectations or moving goal posts</w:t>
            </w:r>
            <w:r>
              <w:rPr>
                <w:rFonts w:ascii="Gill Sans" w:hAnsi="Gill Sans" w:cs="Gill Sans"/>
                <w:color w:val="000000"/>
                <w:szCs w:val="22"/>
              </w:rPr>
              <w:t>.</w:t>
            </w:r>
          </w:p>
          <w:p w14:paraId="3E3F4DAD" w14:textId="77777777" w:rsidR="00F934ED" w:rsidRDefault="00F934ED" w:rsidP="00F934ED">
            <w:pPr>
              <w:rPr>
                <w:rFonts w:ascii="Gill Sans" w:hAnsi="Gill Sans" w:cs="Gill Sans"/>
                <w:color w:val="000000"/>
                <w:szCs w:val="22"/>
              </w:rPr>
            </w:pPr>
            <w:r>
              <w:rPr>
                <w:rFonts w:ascii="Gill Sans" w:hAnsi="Gill Sans" w:cs="Gill Sans"/>
                <w:color w:val="000000"/>
                <w:szCs w:val="22"/>
              </w:rPr>
              <w:t xml:space="preserve">1) Belonging: strategies were embedded to facilitate social integration (e.g. team-building activities), which helped prepare students for group work in subjects where that is a dominant mode of assessment. Students = generally positive about the team-building tasks. Students also reported positive experiences of interacting </w:t>
            </w:r>
            <w:r>
              <w:rPr>
                <w:rFonts w:ascii="Gill Sans" w:hAnsi="Gill Sans" w:cs="Gill Sans"/>
                <w:color w:val="000000"/>
                <w:szCs w:val="22"/>
              </w:rPr>
              <w:lastRenderedPageBreak/>
              <w:t>with staff.</w:t>
            </w:r>
          </w:p>
          <w:p w14:paraId="29C59C57" w14:textId="77777777" w:rsidR="00F934ED" w:rsidRDefault="00F934ED" w:rsidP="00F934ED">
            <w:pPr>
              <w:rPr>
                <w:rFonts w:ascii="Gill Sans" w:hAnsi="Gill Sans" w:cs="Gill Sans"/>
                <w:color w:val="000000"/>
                <w:szCs w:val="22"/>
              </w:rPr>
            </w:pPr>
            <w:r>
              <w:rPr>
                <w:rFonts w:ascii="Gill Sans" w:hAnsi="Gill Sans" w:cs="Gill Sans"/>
                <w:color w:val="000000"/>
                <w:szCs w:val="22"/>
              </w:rPr>
              <w:t>2) Study skills: students gave mixed responses; some respondents found the support too generic so that it didn’t meet their individual needs and that the timing of the sessions was too long (Health); in contrast, the Business students appeared to find the study skills sessions more relevant because they were embedded more holistically into the module.</w:t>
            </w:r>
          </w:p>
          <w:p w14:paraId="3DF1E0E6" w14:textId="6147D6D9" w:rsidR="00F934ED" w:rsidRDefault="00F934ED" w:rsidP="00F934ED">
            <w:pPr>
              <w:rPr>
                <w:rFonts w:ascii="Gill Sans" w:hAnsi="Gill Sans" w:cs="Gill Sans"/>
                <w:color w:val="000000"/>
                <w:szCs w:val="22"/>
              </w:rPr>
            </w:pPr>
            <w:r>
              <w:rPr>
                <w:rFonts w:ascii="Gill Sans" w:hAnsi="Gill Sans" w:cs="Gill Sans"/>
                <w:color w:val="000000"/>
                <w:szCs w:val="22"/>
              </w:rPr>
              <w:t xml:space="preserve">3) Students’ expectations: there was a mixed reception to the more student-led, problem solving approach taken by Business; authors suggest explicitly outlining the approach at the beginning to help set </w:t>
            </w:r>
            <w:proofErr w:type="gramStart"/>
            <w:r>
              <w:rPr>
                <w:rFonts w:ascii="Gill Sans" w:hAnsi="Gill Sans" w:cs="Gill Sans"/>
                <w:color w:val="000000"/>
                <w:szCs w:val="22"/>
              </w:rPr>
              <w:t>expectations, and</w:t>
            </w:r>
            <w:proofErr w:type="gramEnd"/>
            <w:r>
              <w:rPr>
                <w:rFonts w:ascii="Gill Sans" w:hAnsi="Gill Sans" w:cs="Gill Sans"/>
                <w:color w:val="000000"/>
                <w:szCs w:val="22"/>
              </w:rPr>
              <w:t xml:space="preserve"> should help students to identify what existing knowledge and practices they bring with them.</w:t>
            </w:r>
          </w:p>
          <w:p w14:paraId="1BC652E9" w14:textId="77777777" w:rsidR="00F934ED" w:rsidRDefault="00F934ED" w:rsidP="00F934ED">
            <w:pPr>
              <w:rPr>
                <w:rFonts w:ascii="Gill Sans" w:hAnsi="Gill Sans" w:cs="Gill Sans"/>
                <w:color w:val="000000"/>
                <w:szCs w:val="22"/>
              </w:rPr>
            </w:pPr>
            <w:r>
              <w:rPr>
                <w:rFonts w:ascii="Gill Sans" w:hAnsi="Gill Sans" w:cs="Gill Sans"/>
                <w:color w:val="000000"/>
                <w:szCs w:val="22"/>
              </w:rPr>
              <w:t>4) Inclusive assessment: students still found the assessments confusing, despite attempts to clearly outline expectations, tasks and deadlines.</w:t>
            </w:r>
          </w:p>
          <w:p w14:paraId="1E0F9DB3" w14:textId="02F27079" w:rsidR="00F934ED" w:rsidRPr="00AC6181" w:rsidRDefault="00F934ED" w:rsidP="00F934ED">
            <w:pPr>
              <w:rPr>
                <w:rFonts w:ascii="Gill Sans" w:hAnsi="Gill Sans" w:cs="Gill Sans"/>
                <w:color w:val="000000"/>
                <w:szCs w:val="22"/>
                <w:lang w:val="en-AU"/>
              </w:rPr>
            </w:pPr>
            <w:r>
              <w:rPr>
                <w:rFonts w:ascii="Gill Sans" w:hAnsi="Gill Sans" w:cs="Gill Sans"/>
                <w:color w:val="000000"/>
                <w:szCs w:val="22"/>
              </w:rPr>
              <w:t xml:space="preserve">5) Meeting expectations? Highlights from evaluation = peer networking and introduction to university expectations and assessment practices. However, focus groups suggest that students still need transitional support after the first 4 weeks, particularly as students moved to different groups, bigger groups, different lecturers and studying multiple modules concurrently. </w:t>
            </w:r>
            <w:r w:rsidRPr="00076E76">
              <w:rPr>
                <w:rFonts w:ascii="Gill Sans" w:hAnsi="Gill Sans" w:cs="Gill Sans"/>
                <w:b/>
                <w:color w:val="000000"/>
                <w:szCs w:val="22"/>
                <w:lang w:val="en-AU"/>
              </w:rPr>
              <w:br/>
              <w:t>Core argument:</w:t>
            </w:r>
            <w:r>
              <w:rPr>
                <w:rFonts w:ascii="Gill Sans" w:hAnsi="Gill Sans" w:cs="Gill Sans"/>
                <w:b/>
                <w:color w:val="000000"/>
                <w:szCs w:val="22"/>
                <w:lang w:val="en-AU"/>
              </w:rPr>
              <w:t xml:space="preserve"> </w:t>
            </w:r>
            <w:r>
              <w:rPr>
                <w:rFonts w:ascii="Gill Sans" w:hAnsi="Gill Sans" w:cs="Gill Sans"/>
                <w:color w:val="000000"/>
                <w:szCs w:val="22"/>
                <w:lang w:val="en-AU"/>
              </w:rPr>
              <w:t>Many components of the innovation were useful, but more transitional support is needed. Setting/ managing expectations emerged as an issue that the designers had not predicted: “</w:t>
            </w:r>
            <w:r w:rsidRPr="002E20D0">
              <w:rPr>
                <w:rFonts w:ascii="Gill Sans" w:hAnsi="Gill Sans" w:cs="Gill Sans"/>
                <w:color w:val="000000"/>
                <w:szCs w:val="22"/>
              </w:rPr>
              <w:t>Having made an initial module which was widely felt to be successful, the expectations</w:t>
            </w:r>
            <w:r>
              <w:rPr>
                <w:rFonts w:ascii="Gill Sans" w:hAnsi="Gill Sans" w:cs="Gill Sans"/>
                <w:color w:val="000000"/>
                <w:szCs w:val="22"/>
              </w:rPr>
              <w:t xml:space="preserve"> </w:t>
            </w:r>
            <w:r w:rsidRPr="002E20D0">
              <w:rPr>
                <w:rFonts w:ascii="Gill Sans" w:hAnsi="Gill Sans" w:cs="Gill Sans"/>
                <w:color w:val="000000"/>
                <w:szCs w:val="22"/>
              </w:rPr>
              <w:t>for subsequent teaching were a</w:t>
            </w:r>
            <w:r>
              <w:rPr>
                <w:rFonts w:ascii="Gill Sans" w:hAnsi="Gill Sans" w:cs="Gill Sans"/>
                <w:color w:val="000000"/>
                <w:szCs w:val="22"/>
              </w:rPr>
              <w:t>rguably difficult to live up to” (p.14).</w:t>
            </w:r>
          </w:p>
        </w:tc>
      </w:tr>
      <w:tr w:rsidR="00F934ED" w:rsidRPr="00076E76" w14:paraId="5456CF64" w14:textId="77777777" w:rsidTr="001A130E">
        <w:tc>
          <w:tcPr>
            <w:tcW w:w="5529" w:type="dxa"/>
            <w:shd w:val="clear" w:color="auto" w:fill="auto"/>
          </w:tcPr>
          <w:p w14:paraId="262D954E" w14:textId="63AA273C" w:rsidR="00F934ED" w:rsidRDefault="00F934ED" w:rsidP="00F934ED">
            <w:pPr>
              <w:rPr>
                <w:rFonts w:cs="Gill Sans"/>
                <w:szCs w:val="22"/>
              </w:rPr>
            </w:pPr>
            <w:r w:rsidRPr="00076E76">
              <w:rPr>
                <w:rFonts w:ascii="Gill Sans" w:hAnsi="Gill Sans" w:cs="Gill Sans"/>
                <w:szCs w:val="22"/>
              </w:rPr>
              <w:lastRenderedPageBreak/>
              <w:t xml:space="preserve">van </w:t>
            </w:r>
            <w:proofErr w:type="spellStart"/>
            <w:r w:rsidRPr="00076E76">
              <w:rPr>
                <w:rFonts w:ascii="Gill Sans" w:hAnsi="Gill Sans" w:cs="Gill Sans"/>
                <w:szCs w:val="22"/>
              </w:rPr>
              <w:t>Rooij</w:t>
            </w:r>
            <w:proofErr w:type="spellEnd"/>
            <w:r>
              <w:rPr>
                <w:rFonts w:ascii="Gill Sans" w:hAnsi="Gill Sans" w:cs="Gill Sans"/>
                <w:szCs w:val="22"/>
              </w:rPr>
              <w:t xml:space="preserve">, E. &amp; Jansen, E. (2018). </w:t>
            </w:r>
            <w:hyperlink r:id="rId136" w:history="1">
              <w:r w:rsidRPr="001D54BC">
                <w:rPr>
                  <w:rStyle w:val="Hyperlink"/>
                  <w:rFonts w:ascii="Gill Sans" w:hAnsi="Gill Sans" w:cs="Gill Sans"/>
                  <w:szCs w:val="22"/>
                </w:rPr>
                <w:t>“Our job is to deliver a good secondary school student, not a good university student.” Secondary school teachers’ beliefs and practices regarding university preparation</w:t>
              </w:r>
            </w:hyperlink>
            <w:r>
              <w:rPr>
                <w:rFonts w:ascii="Gill Sans" w:hAnsi="Gill Sans" w:cs="Gill Sans"/>
                <w:szCs w:val="22"/>
              </w:rPr>
              <w:t xml:space="preserve">, </w:t>
            </w:r>
            <w:r>
              <w:rPr>
                <w:rFonts w:ascii="Gill Sans" w:hAnsi="Gill Sans" w:cs="Gill Sans"/>
                <w:i/>
                <w:szCs w:val="22"/>
              </w:rPr>
              <w:t xml:space="preserve">International Journal of Educational Research, </w:t>
            </w:r>
            <w:r>
              <w:rPr>
                <w:rFonts w:cs="Gill Sans"/>
                <w:szCs w:val="22"/>
              </w:rPr>
              <w:t>88, 9–19.</w:t>
            </w:r>
          </w:p>
          <w:p w14:paraId="60704F9C" w14:textId="77777777" w:rsidR="00F934ED" w:rsidRDefault="00F934ED" w:rsidP="00F934ED">
            <w:pPr>
              <w:rPr>
                <w:rFonts w:cs="Gill Sans"/>
                <w:szCs w:val="22"/>
              </w:rPr>
            </w:pPr>
          </w:p>
          <w:p w14:paraId="0EFFA9C7" w14:textId="77777777" w:rsidR="00F934ED" w:rsidRPr="00C46F1C" w:rsidRDefault="00F934ED" w:rsidP="00F934ED">
            <w:pPr>
              <w:rPr>
                <w:rFonts w:ascii="Gill Sans" w:hAnsi="Gill Sans" w:cs="Gill Sans"/>
                <w:szCs w:val="22"/>
              </w:rPr>
            </w:pPr>
            <w:r w:rsidRPr="00C46F1C">
              <w:rPr>
                <w:rFonts w:ascii="Gill Sans" w:hAnsi="Gill Sans" w:cs="Gill Sans"/>
                <w:szCs w:val="22"/>
              </w:rPr>
              <w:t>NETH</w:t>
            </w:r>
          </w:p>
          <w:p w14:paraId="2515B032"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0120FFE7" w14:textId="77777777" w:rsidR="00F934ED" w:rsidRPr="00C46F1C" w:rsidRDefault="00F934ED" w:rsidP="00F934ED">
            <w:pPr>
              <w:rPr>
                <w:rFonts w:ascii="Gill Sans" w:hAnsi="Gill Sans" w:cs="Gill Sans"/>
                <w:szCs w:val="22"/>
              </w:rPr>
            </w:pPr>
          </w:p>
          <w:p w14:paraId="6A05F4C4" w14:textId="29A67013" w:rsidR="00F934ED" w:rsidRPr="00C46F1C" w:rsidRDefault="00F934ED" w:rsidP="00F934ED">
            <w:pPr>
              <w:rPr>
                <w:rFonts w:ascii="Gill Sans" w:hAnsi="Gill Sans" w:cs="Gill Sans"/>
                <w:i/>
                <w:szCs w:val="22"/>
              </w:rPr>
            </w:pPr>
            <w:r w:rsidRPr="00C46F1C">
              <w:rPr>
                <w:rFonts w:ascii="Gill Sans" w:hAnsi="Gill Sans" w:cs="Gill Sans"/>
                <w:szCs w:val="22"/>
              </w:rPr>
              <w:t xml:space="preserve">Keywords: </w:t>
            </w:r>
            <w:r w:rsidRPr="00C46F1C">
              <w:rPr>
                <w:rFonts w:ascii="Gill Sans" w:hAnsi="Gill Sans" w:cs="Gill Sans"/>
                <w:i/>
                <w:szCs w:val="22"/>
              </w:rPr>
              <w:t xml:space="preserve">University readiness; </w:t>
            </w:r>
            <w:r w:rsidR="00913907">
              <w:rPr>
                <w:rFonts w:ascii="Gill Sans" w:hAnsi="Gill Sans" w:cs="Gill Sans"/>
                <w:i/>
                <w:szCs w:val="22"/>
              </w:rPr>
              <w:t>s</w:t>
            </w:r>
            <w:r w:rsidRPr="00C46F1C">
              <w:rPr>
                <w:rFonts w:ascii="Gill Sans" w:hAnsi="Gill Sans" w:cs="Gill Sans"/>
                <w:i/>
                <w:szCs w:val="22"/>
              </w:rPr>
              <w:t>econdary school teachers</w:t>
            </w:r>
          </w:p>
          <w:p w14:paraId="1710F2D7" w14:textId="7D0015AC" w:rsidR="00F934ED" w:rsidRPr="00913907" w:rsidRDefault="00913907" w:rsidP="00F934ED">
            <w:pPr>
              <w:rPr>
                <w:rFonts w:ascii="Gill Sans" w:hAnsi="Gill Sans" w:cs="Gill Sans"/>
                <w:i/>
                <w:szCs w:val="22"/>
              </w:rPr>
            </w:pPr>
            <w:r>
              <w:rPr>
                <w:rFonts w:ascii="Gill Sans" w:hAnsi="Gill Sans" w:cs="Gill Sans"/>
                <w:i/>
                <w:szCs w:val="22"/>
              </w:rPr>
              <w:t>t</w:t>
            </w:r>
            <w:r w:rsidR="00F934ED" w:rsidRPr="00C46F1C">
              <w:rPr>
                <w:rFonts w:ascii="Gill Sans" w:hAnsi="Gill Sans" w:cs="Gill Sans"/>
                <w:i/>
                <w:szCs w:val="22"/>
              </w:rPr>
              <w:t xml:space="preserve">eacher beliefs; </w:t>
            </w:r>
            <w:r>
              <w:rPr>
                <w:rFonts w:ascii="Gill Sans" w:hAnsi="Gill Sans" w:cs="Gill Sans"/>
                <w:i/>
                <w:szCs w:val="22"/>
              </w:rPr>
              <w:t>c</w:t>
            </w:r>
            <w:r w:rsidR="00F934ED" w:rsidRPr="00C46F1C">
              <w:rPr>
                <w:rFonts w:ascii="Gill Sans" w:hAnsi="Gill Sans" w:cs="Gill Sans"/>
                <w:i/>
                <w:szCs w:val="22"/>
              </w:rPr>
              <w:t xml:space="preserve">lassroom practices; </w:t>
            </w:r>
            <w:r>
              <w:rPr>
                <w:rFonts w:ascii="Gill Sans" w:hAnsi="Gill Sans" w:cs="Gill Sans"/>
                <w:i/>
                <w:szCs w:val="22"/>
              </w:rPr>
              <w:t>i</w:t>
            </w:r>
            <w:r w:rsidR="00F934ED" w:rsidRPr="00C46F1C">
              <w:rPr>
                <w:rFonts w:ascii="Gill Sans" w:hAnsi="Gill Sans" w:cs="Gill Sans"/>
                <w:i/>
                <w:szCs w:val="22"/>
              </w:rPr>
              <w:t>nterviews</w:t>
            </w:r>
          </w:p>
        </w:tc>
        <w:tc>
          <w:tcPr>
            <w:tcW w:w="10064" w:type="dxa"/>
          </w:tcPr>
          <w:p w14:paraId="5A149364" w14:textId="30471B0F" w:rsidR="00F934ED" w:rsidRPr="00A53B00"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Pr>
                <w:rFonts w:ascii="Gill Sans" w:hAnsi="Gill Sans" w:cs="Gill Sans"/>
                <w:color w:val="000000"/>
                <w:szCs w:val="22"/>
                <w:lang w:val="en-AU"/>
              </w:rPr>
              <w:t xml:space="preserve">Secondary school teachers’ beliefs with regard to university preparation in the Netherlands; attrition from university (statistic for the Netherlands = 25% either drop out or switch program during/ after first year), which justifies the strong focus in the scholarly literature. However, authors argue that the period prior to starting university is under-explored. In the Netherlands, there is a form of secondary education (literally university preparation education), which is the focus of this study. Authors argue that examining the perceptions of </w:t>
            </w:r>
            <w:proofErr w:type="gramStart"/>
            <w:r>
              <w:rPr>
                <w:rFonts w:ascii="Gill Sans" w:hAnsi="Gill Sans" w:cs="Gill Sans"/>
                <w:color w:val="000000"/>
                <w:szCs w:val="22"/>
                <w:lang w:val="en-AU"/>
              </w:rPr>
              <w:t>school teachers</w:t>
            </w:r>
            <w:proofErr w:type="gramEnd"/>
            <w:r>
              <w:rPr>
                <w:rFonts w:ascii="Gill Sans" w:hAnsi="Gill Sans" w:cs="Gill Sans"/>
                <w:color w:val="000000"/>
                <w:szCs w:val="22"/>
                <w:lang w:val="en-AU"/>
              </w:rPr>
              <w:t xml:space="preserve"> is insightful because (1) they are university educated themselves; (2) they know their students reasonably well. Authors also argue there is inadequate attention on how teachers prepare students for their transitions into higher education, and the connection between beliefs and practices with regard to preparing students for university study.</w:t>
            </w:r>
          </w:p>
          <w:p w14:paraId="3A5428D5" w14:textId="77777777" w:rsidR="00F934ED" w:rsidRDefault="00F934ED" w:rsidP="00F934ED">
            <w:pPr>
              <w:rPr>
                <w:rFonts w:ascii="Gill Sans" w:hAnsi="Gill Sans" w:cs="Gill Sans"/>
                <w:color w:val="000000"/>
                <w:szCs w:val="22"/>
              </w:rPr>
            </w:pPr>
            <w:r w:rsidRPr="00076E76">
              <w:rPr>
                <w:rFonts w:ascii="Gill Sans" w:hAnsi="Gill Sans" w:cs="Gill Sans"/>
                <w:b/>
                <w:color w:val="000000"/>
                <w:szCs w:val="22"/>
                <w:lang w:val="en-AU"/>
              </w:rPr>
              <w:t xml:space="preserve">Aim: </w:t>
            </w:r>
            <w:r>
              <w:rPr>
                <w:rFonts w:ascii="Gill Sans" w:hAnsi="Gill Sans" w:cs="Gill Sans"/>
                <w:color w:val="000000"/>
                <w:szCs w:val="22"/>
                <w:lang w:val="en-AU"/>
              </w:rPr>
              <w:t>To explore teachers’ beliefs so as to “</w:t>
            </w:r>
            <w:r w:rsidRPr="00ED1BCF">
              <w:rPr>
                <w:rFonts w:ascii="Gill Sans" w:hAnsi="Gill Sans" w:cs="Gill Sans"/>
                <w:color w:val="000000"/>
                <w:szCs w:val="22"/>
              </w:rPr>
              <w:t>investigate whether and to what extent they pay attention to</w:t>
            </w:r>
            <w:r>
              <w:rPr>
                <w:rFonts w:ascii="Gill Sans" w:hAnsi="Gill Sans" w:cs="Gill Sans"/>
                <w:color w:val="000000"/>
                <w:szCs w:val="22"/>
              </w:rPr>
              <w:t xml:space="preserve"> </w:t>
            </w:r>
            <w:r w:rsidRPr="00ED1BCF">
              <w:rPr>
                <w:rFonts w:ascii="Gill Sans" w:hAnsi="Gill Sans" w:cs="Gill Sans"/>
                <w:color w:val="000000"/>
                <w:szCs w:val="22"/>
              </w:rPr>
              <w:t>making their students ready for university</w:t>
            </w:r>
            <w:r>
              <w:rPr>
                <w:rFonts w:ascii="Gill Sans" w:hAnsi="Gill Sans" w:cs="Gill Sans"/>
                <w:color w:val="000000"/>
                <w:szCs w:val="22"/>
              </w:rPr>
              <w:t xml:space="preserve">” (p.10). To respond to these RQs: </w:t>
            </w:r>
          </w:p>
          <w:p w14:paraId="7E934314" w14:textId="36BE71AE" w:rsidR="00F934ED" w:rsidRDefault="00F934ED" w:rsidP="00F934ED">
            <w:pPr>
              <w:rPr>
                <w:rFonts w:ascii="Gill Sans" w:hAnsi="Gill Sans" w:cs="Gill Sans"/>
                <w:color w:val="000000"/>
                <w:szCs w:val="22"/>
              </w:rPr>
            </w:pPr>
            <w:r>
              <w:rPr>
                <w:rFonts w:ascii="Gill Sans" w:hAnsi="Gill Sans" w:cs="Gill Sans"/>
                <w:color w:val="000000"/>
                <w:szCs w:val="22"/>
              </w:rPr>
              <w:t>1) “</w:t>
            </w:r>
            <w:r w:rsidRPr="00ED1BCF">
              <w:rPr>
                <w:rFonts w:ascii="Gill Sans" w:hAnsi="Gill Sans" w:cs="Gill Sans"/>
                <w:color w:val="000000"/>
                <w:szCs w:val="22"/>
              </w:rPr>
              <w:t>What are teachers’ beliefs about aspects of university readiness?</w:t>
            </w:r>
            <w:r>
              <w:rPr>
                <w:rFonts w:ascii="Gill Sans" w:hAnsi="Gill Sans" w:cs="Gill Sans"/>
                <w:color w:val="000000"/>
                <w:szCs w:val="22"/>
              </w:rPr>
              <w:t>...</w:t>
            </w:r>
          </w:p>
          <w:p w14:paraId="03D12E72" w14:textId="77777777" w:rsidR="00F934ED" w:rsidRDefault="00F934ED" w:rsidP="00F934ED">
            <w:pPr>
              <w:rPr>
                <w:rFonts w:ascii="Gill Sans" w:hAnsi="Gill Sans" w:cs="Gill Sans"/>
                <w:color w:val="000000"/>
                <w:szCs w:val="22"/>
              </w:rPr>
            </w:pPr>
            <w:r>
              <w:rPr>
                <w:rFonts w:ascii="Gill Sans" w:hAnsi="Gill Sans" w:cs="Gill Sans"/>
                <w:color w:val="000000"/>
                <w:szCs w:val="22"/>
              </w:rPr>
              <w:t xml:space="preserve">2) </w:t>
            </w:r>
            <w:r w:rsidRPr="005312AD">
              <w:rPr>
                <w:rFonts w:ascii="Gill Sans" w:hAnsi="Gill Sans" w:cs="Gill Sans"/>
                <w:color w:val="000000"/>
                <w:szCs w:val="22"/>
              </w:rPr>
              <w:t>How do teachers contribute to their students’ university readiness?</w:t>
            </w:r>
            <w:r>
              <w:rPr>
                <w:rFonts w:ascii="Gill Sans" w:hAnsi="Gill Sans" w:cs="Gill Sans"/>
                <w:color w:val="000000"/>
                <w:szCs w:val="22"/>
              </w:rPr>
              <w:t>...</w:t>
            </w:r>
          </w:p>
          <w:p w14:paraId="0E7579A6" w14:textId="20C533E2" w:rsidR="00F934ED" w:rsidRPr="00852522" w:rsidRDefault="00F934ED" w:rsidP="00F934ED">
            <w:pPr>
              <w:rPr>
                <w:rFonts w:ascii="Gill Sans" w:hAnsi="Gill Sans" w:cs="Gill Sans"/>
                <w:color w:val="000000"/>
                <w:szCs w:val="22"/>
              </w:rPr>
            </w:pPr>
            <w:r>
              <w:rPr>
                <w:rFonts w:ascii="Gill Sans" w:hAnsi="Gill Sans" w:cs="Gill Sans"/>
                <w:color w:val="000000"/>
                <w:szCs w:val="22"/>
              </w:rPr>
              <w:t>3)</w:t>
            </w:r>
            <w:r w:rsidRPr="00852522">
              <w:rPr>
                <w:rFonts w:ascii="Gill Sans" w:hAnsi="Gill Sans" w:cs="Gill Sans"/>
                <w:color w:val="000000"/>
                <w:szCs w:val="22"/>
              </w:rPr>
              <w:t xml:space="preserve"> What are teachers’ beliefs about their role in the process of preparing students for university?</w:t>
            </w:r>
          </w:p>
          <w:p w14:paraId="2D0CF305" w14:textId="678CECF8" w:rsidR="00F934ED" w:rsidRPr="0046641B" w:rsidRDefault="00F934ED" w:rsidP="00F934ED">
            <w:pPr>
              <w:rPr>
                <w:rFonts w:ascii="Gill Sans" w:hAnsi="Gill Sans" w:cs="Gill Sans"/>
                <w:color w:val="000000"/>
                <w:szCs w:val="22"/>
                <w:lang w:val="en-AU"/>
              </w:rPr>
            </w:pPr>
            <w:r>
              <w:rPr>
                <w:rFonts w:ascii="Gill Sans" w:hAnsi="Gill Sans" w:cs="Gill Sans"/>
                <w:color w:val="000000"/>
                <w:szCs w:val="22"/>
              </w:rPr>
              <w:lastRenderedPageBreak/>
              <w:t>4)</w:t>
            </w:r>
            <w:r w:rsidRPr="00852522">
              <w:rPr>
                <w:rFonts w:ascii="Gill Sans" w:hAnsi="Gill Sans" w:cs="Gill Sans"/>
                <w:color w:val="000000"/>
                <w:szCs w:val="22"/>
              </w:rPr>
              <w:t xml:space="preserve"> Do teachers experience barriers that hinder them from attending to university preparation, and if so, what are these barriers,</w:t>
            </w:r>
            <w:r>
              <w:rPr>
                <w:rFonts w:ascii="Gill Sans" w:hAnsi="Gill Sans" w:cs="Gill Sans"/>
                <w:color w:val="000000"/>
                <w:szCs w:val="22"/>
              </w:rPr>
              <w:t xml:space="preserve"> </w:t>
            </w:r>
            <w:r w:rsidRPr="00852522">
              <w:rPr>
                <w:rFonts w:ascii="Gill Sans" w:hAnsi="Gill Sans" w:cs="Gill Sans"/>
                <w:color w:val="000000"/>
                <w:szCs w:val="22"/>
              </w:rPr>
              <w:t>and how might they be overcome?</w:t>
            </w:r>
            <w:r>
              <w:rPr>
                <w:rFonts w:ascii="Gill Sans" w:hAnsi="Gill Sans" w:cs="Gill Sans"/>
                <w:color w:val="000000"/>
                <w:szCs w:val="22"/>
              </w:rPr>
              <w:t xml:space="preserve">” (all p.11) </w:t>
            </w:r>
          </w:p>
          <w:p w14:paraId="312B0536" w14:textId="24687D92" w:rsidR="00F934ED" w:rsidRPr="0046641B"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Pr>
                <w:rFonts w:ascii="Gill Sans" w:hAnsi="Gill Sans" w:cs="Gill Sans"/>
                <w:color w:val="000000"/>
                <w:szCs w:val="22"/>
                <w:lang w:val="en-AU"/>
              </w:rPr>
              <w:t xml:space="preserve">Semi-structured interviews with </w:t>
            </w:r>
            <w:proofErr w:type="gramStart"/>
            <w:r>
              <w:rPr>
                <w:rFonts w:ascii="Gill Sans" w:hAnsi="Gill Sans" w:cs="Gill Sans"/>
                <w:color w:val="000000"/>
                <w:szCs w:val="22"/>
                <w:lang w:val="en-AU"/>
              </w:rPr>
              <w:t>school teachers</w:t>
            </w:r>
            <w:proofErr w:type="gramEnd"/>
            <w:r>
              <w:rPr>
                <w:rFonts w:ascii="Gill Sans" w:hAnsi="Gill Sans" w:cs="Gill Sans"/>
                <w:color w:val="000000"/>
                <w:szCs w:val="22"/>
                <w:lang w:val="en-AU"/>
              </w:rPr>
              <w:t xml:space="preserve"> who taught grade 11 and/or 12 of school in the university preparation stream; most = humanities teachers. Authors undertook ‘framework analysis’ (see p.12)</w:t>
            </w:r>
          </w:p>
          <w:p w14:paraId="5509321B" w14:textId="77777777" w:rsidR="00F934ED" w:rsidRDefault="00F934ED" w:rsidP="00F934ED">
            <w:pPr>
              <w:rPr>
                <w:rFonts w:ascii="Gill Sans" w:hAnsi="Gill Sans" w:cs="Gill Sans"/>
                <w:b/>
                <w:color w:val="000000"/>
                <w:szCs w:val="22"/>
                <w:lang w:val="en-AU"/>
              </w:rPr>
            </w:pPr>
            <w:r w:rsidRPr="00076E76">
              <w:rPr>
                <w:rFonts w:ascii="Gill Sans" w:hAnsi="Gill Sans" w:cs="Gill Sans"/>
                <w:b/>
                <w:color w:val="000000"/>
                <w:szCs w:val="22"/>
                <w:lang w:val="en-AU"/>
              </w:rPr>
              <w:t xml:space="preserve">Findings: </w:t>
            </w:r>
          </w:p>
          <w:p w14:paraId="74D6E835" w14:textId="77777777" w:rsidR="00F934ED" w:rsidRDefault="00F934ED" w:rsidP="00F934ED">
            <w:pPr>
              <w:rPr>
                <w:rFonts w:ascii="Gill Sans" w:hAnsi="Gill Sans" w:cs="Gill Sans"/>
                <w:color w:val="000000"/>
                <w:szCs w:val="22"/>
                <w:lang w:val="en-AU"/>
              </w:rPr>
            </w:pPr>
            <w:r>
              <w:rPr>
                <w:rFonts w:ascii="Gill Sans" w:hAnsi="Gill Sans" w:cs="Gill Sans"/>
                <w:i/>
                <w:color w:val="000000"/>
                <w:szCs w:val="22"/>
                <w:lang w:val="en-AU"/>
              </w:rPr>
              <w:t>Teachers’ beliefs about preparation</w:t>
            </w:r>
            <w:r>
              <w:rPr>
                <w:rFonts w:ascii="Gill Sans" w:hAnsi="Gill Sans" w:cs="Gill Sans"/>
                <w:color w:val="000000"/>
                <w:szCs w:val="22"/>
                <w:lang w:val="en-AU"/>
              </w:rPr>
              <w:t xml:space="preserve">: study skills (most prominent) </w:t>
            </w:r>
            <w:r>
              <w:rPr>
                <w:rFonts w:cs="Gill Sans"/>
                <w:color w:val="000000"/>
                <w:szCs w:val="22"/>
                <w:lang w:val="en-AU"/>
              </w:rPr>
              <w:t>—</w:t>
            </w:r>
            <w:r>
              <w:rPr>
                <w:rFonts w:ascii="Gill Sans" w:hAnsi="Gill Sans" w:cs="Gill Sans"/>
                <w:color w:val="000000"/>
                <w:szCs w:val="22"/>
                <w:lang w:val="en-AU"/>
              </w:rPr>
              <w:t xml:space="preserve"> including independent study and metacognition; independence more broadly (living alone/ study); perseverance; curiosity.</w:t>
            </w:r>
          </w:p>
          <w:p w14:paraId="3628BDFC" w14:textId="77777777" w:rsidR="00F934ED" w:rsidRDefault="00F934ED" w:rsidP="00F934ED">
            <w:pPr>
              <w:rPr>
                <w:rFonts w:ascii="Gill Sans" w:hAnsi="Gill Sans" w:cs="Gill Sans"/>
                <w:color w:val="000000"/>
                <w:szCs w:val="22"/>
                <w:lang w:val="en-AU"/>
              </w:rPr>
            </w:pPr>
            <w:r>
              <w:rPr>
                <w:rFonts w:ascii="Gill Sans" w:hAnsi="Gill Sans" w:cs="Gill Sans"/>
                <w:i/>
                <w:color w:val="000000"/>
                <w:szCs w:val="22"/>
                <w:lang w:val="en-AU"/>
              </w:rPr>
              <w:t>Teachers’ preparatory practices</w:t>
            </w:r>
            <w:r>
              <w:rPr>
                <w:rFonts w:ascii="Gill Sans" w:hAnsi="Gill Sans" w:cs="Gill Sans"/>
                <w:color w:val="000000"/>
                <w:szCs w:val="22"/>
                <w:lang w:val="en-AU"/>
              </w:rPr>
              <w:t>: just less than half said they were not aware of consciously contributing to students’ readiness; one quarter described activities designed to prepare students. Most common activity (mentioned by 2/3 of teachers) = answering direct questions about university courses associated with their subjects; half of the teachers reported asking students about post-school plans for study, meaning that half left it to students to ask for assistance; half of teachers sought to develop students’ research skills/ thinking skills; 44% of teachers promoted study skills; 44% gave general information about studying at university; 42% described trying to help students developed independence; 15% mentioned paying attention to students’ language development.</w:t>
            </w:r>
          </w:p>
          <w:p w14:paraId="43D88613" w14:textId="77777777" w:rsidR="00F934ED" w:rsidRDefault="00F934ED" w:rsidP="00F934ED">
            <w:pPr>
              <w:rPr>
                <w:rFonts w:ascii="Gill Sans" w:hAnsi="Gill Sans" w:cs="Gill Sans"/>
                <w:color w:val="000000"/>
                <w:szCs w:val="22"/>
                <w:lang w:val="en-AU"/>
              </w:rPr>
            </w:pPr>
            <w:r>
              <w:rPr>
                <w:rFonts w:ascii="Gill Sans" w:hAnsi="Gill Sans" w:cs="Gill Sans"/>
                <w:i/>
                <w:color w:val="000000"/>
                <w:szCs w:val="22"/>
                <w:lang w:val="en-AU"/>
              </w:rPr>
              <w:t>Teachers’ belief about their role in university preparation</w:t>
            </w:r>
            <w:r>
              <w:rPr>
                <w:rFonts w:ascii="Gill Sans" w:hAnsi="Gill Sans" w:cs="Gill Sans"/>
                <w:color w:val="000000"/>
                <w:szCs w:val="22"/>
                <w:lang w:val="en-AU"/>
              </w:rPr>
              <w:t>: 66% viewed university preparation as their responsibility; 26% viewed exam preparation as university preparation; 26% did not view that they have a role in supporting students to prepare for university.</w:t>
            </w:r>
          </w:p>
          <w:p w14:paraId="4AA5F248" w14:textId="400FF793" w:rsidR="00F934ED" w:rsidRPr="00835E27" w:rsidRDefault="00F934ED" w:rsidP="00F934ED">
            <w:pPr>
              <w:rPr>
                <w:rFonts w:ascii="Gill Sans" w:hAnsi="Gill Sans" w:cs="Gill Sans"/>
                <w:color w:val="000000"/>
                <w:szCs w:val="22"/>
              </w:rPr>
            </w:pPr>
            <w:r>
              <w:rPr>
                <w:rFonts w:ascii="Gill Sans" w:hAnsi="Gill Sans" w:cs="Gill Sans"/>
                <w:color w:val="000000"/>
                <w:szCs w:val="22"/>
                <w:lang w:val="en-AU"/>
              </w:rPr>
              <w:t>“</w:t>
            </w:r>
            <w:r w:rsidRPr="00835E27">
              <w:rPr>
                <w:rFonts w:ascii="Gill Sans" w:hAnsi="Gill Sans" w:cs="Gill Sans"/>
                <w:color w:val="000000"/>
                <w:szCs w:val="22"/>
              </w:rPr>
              <w:t>Thus, it appears that university preparation is not high on the agenda in secondary schools or consciously</w:t>
            </w:r>
            <w:r>
              <w:rPr>
                <w:rFonts w:ascii="Gill Sans" w:hAnsi="Gill Sans" w:cs="Gill Sans"/>
                <w:color w:val="000000"/>
                <w:szCs w:val="22"/>
              </w:rPr>
              <w:t xml:space="preserve"> </w:t>
            </w:r>
            <w:r w:rsidRPr="00835E27">
              <w:rPr>
                <w:rFonts w:ascii="Gill Sans" w:hAnsi="Gill Sans" w:cs="Gill Sans"/>
                <w:color w:val="000000"/>
                <w:szCs w:val="22"/>
              </w:rPr>
              <w:t>in the minds of teachers</w:t>
            </w:r>
            <w:r>
              <w:rPr>
                <w:rFonts w:ascii="Gill Sans" w:hAnsi="Gill Sans" w:cs="Gill Sans"/>
                <w:color w:val="000000"/>
                <w:szCs w:val="22"/>
              </w:rPr>
              <w:t>” (p.16)</w:t>
            </w:r>
            <w:r w:rsidRPr="00835E27">
              <w:rPr>
                <w:rFonts w:ascii="Gill Sans" w:hAnsi="Gill Sans" w:cs="Gill Sans"/>
                <w:color w:val="000000"/>
                <w:szCs w:val="22"/>
              </w:rPr>
              <w:t>.</w:t>
            </w:r>
          </w:p>
          <w:p w14:paraId="131AA975" w14:textId="77777777" w:rsidR="00F934ED" w:rsidRDefault="00F934ED" w:rsidP="00F934ED">
            <w:pPr>
              <w:rPr>
                <w:rFonts w:ascii="Gill Sans" w:hAnsi="Gill Sans" w:cs="Gill Sans"/>
                <w:color w:val="000000"/>
                <w:szCs w:val="22"/>
                <w:lang w:val="en-AU"/>
              </w:rPr>
            </w:pPr>
            <w:r w:rsidRPr="00835E27">
              <w:rPr>
                <w:rFonts w:ascii="Gill Sans" w:hAnsi="Gill Sans" w:cs="Gill Sans"/>
                <w:i/>
                <w:color w:val="000000"/>
                <w:szCs w:val="22"/>
                <w:lang w:val="en-AU"/>
              </w:rPr>
              <w:t>Challenges</w:t>
            </w:r>
            <w:r>
              <w:rPr>
                <w:rFonts w:ascii="Gill Sans" w:hAnsi="Gill Sans" w:cs="Gill Sans"/>
                <w:color w:val="000000"/>
                <w:szCs w:val="22"/>
                <w:lang w:val="en-AU"/>
              </w:rPr>
              <w:t>: preparing for exams as a significant barrier (40%); lack of time (38%); lack of familiarity with what universities expect (36%).</w:t>
            </w:r>
          </w:p>
          <w:p w14:paraId="0040E326" w14:textId="04B34875" w:rsidR="00F934ED" w:rsidRPr="0022683E" w:rsidRDefault="00F934ED" w:rsidP="00F934ED">
            <w:pPr>
              <w:rPr>
                <w:rFonts w:ascii="Gill Sans" w:hAnsi="Gill Sans" w:cs="Gill Sans"/>
                <w:i/>
                <w:color w:val="000000"/>
                <w:szCs w:val="22"/>
                <w:lang w:val="en-AU"/>
              </w:rPr>
            </w:pPr>
            <w:r w:rsidRPr="00835E27">
              <w:rPr>
                <w:rFonts w:ascii="Gill Sans" w:hAnsi="Gill Sans" w:cs="Gill Sans"/>
                <w:i/>
                <w:color w:val="000000"/>
                <w:szCs w:val="22"/>
                <w:lang w:val="en-AU"/>
              </w:rPr>
              <w:t>Wishes</w:t>
            </w:r>
            <w:r>
              <w:rPr>
                <w:rFonts w:ascii="Gill Sans" w:hAnsi="Gill Sans" w:cs="Gill Sans"/>
                <w:color w:val="000000"/>
                <w:szCs w:val="22"/>
                <w:lang w:val="en-AU"/>
              </w:rPr>
              <w:t>: more coordination between schools and universities; more attention to university preparation [presumably in the curriculum]</w:t>
            </w:r>
            <w:r w:rsidRPr="00076E76">
              <w:rPr>
                <w:rFonts w:ascii="Gill Sans" w:hAnsi="Gill Sans" w:cs="Gill Sans"/>
                <w:b/>
                <w:color w:val="000000"/>
                <w:szCs w:val="22"/>
                <w:lang w:val="en-AU"/>
              </w:rPr>
              <w:br/>
              <w:t>Core argument:</w:t>
            </w:r>
            <w:r>
              <w:rPr>
                <w:rFonts w:ascii="Gill Sans" w:hAnsi="Gill Sans" w:cs="Gill Sans"/>
                <w:b/>
                <w:color w:val="000000"/>
                <w:szCs w:val="22"/>
                <w:lang w:val="en-AU"/>
              </w:rPr>
              <w:t xml:space="preserve"> </w:t>
            </w:r>
            <w:r>
              <w:rPr>
                <w:rFonts w:ascii="Gill Sans" w:hAnsi="Gill Sans" w:cs="Gill Sans"/>
                <w:color w:val="000000"/>
                <w:szCs w:val="22"/>
                <w:lang w:val="en-AU"/>
              </w:rPr>
              <w:t>Strong connection between role perception/ beliefs and practices, suggesting that if more teachers view university preparation as part of their role then they would do more purposeful preparation activities [but obviously recognising the structural impediments to this, and the responsibility of universities to engage in more coordination and information sharing]</w:t>
            </w:r>
          </w:p>
        </w:tc>
      </w:tr>
      <w:tr w:rsidR="00F934ED" w:rsidRPr="00076E76" w14:paraId="597B16FB" w14:textId="77777777" w:rsidTr="007A6A23">
        <w:tc>
          <w:tcPr>
            <w:tcW w:w="5529" w:type="dxa"/>
            <w:shd w:val="clear" w:color="auto" w:fill="auto"/>
          </w:tcPr>
          <w:p w14:paraId="6B1F3FD7" w14:textId="0B6B11EB" w:rsidR="00F934ED" w:rsidRPr="00076E76" w:rsidRDefault="00F934ED" w:rsidP="00F934ED">
            <w:pPr>
              <w:rPr>
                <w:rFonts w:ascii="Gill Sans" w:hAnsi="Gill Sans" w:cs="Gill Sans"/>
                <w:szCs w:val="22"/>
              </w:rPr>
            </w:pPr>
            <w:proofErr w:type="spellStart"/>
            <w:r w:rsidRPr="00076E76">
              <w:rPr>
                <w:rFonts w:ascii="Gill Sans" w:hAnsi="Gill Sans" w:cs="Gill Sans"/>
                <w:szCs w:val="22"/>
              </w:rPr>
              <w:lastRenderedPageBreak/>
              <w:t>Wardley</w:t>
            </w:r>
            <w:proofErr w:type="spellEnd"/>
            <w:r w:rsidRPr="00076E76">
              <w:rPr>
                <w:rFonts w:ascii="Gill Sans" w:hAnsi="Gill Sans" w:cs="Gill Sans"/>
                <w:szCs w:val="22"/>
              </w:rPr>
              <w:t xml:space="preserve">, L. &amp; </w:t>
            </w:r>
            <w:proofErr w:type="spellStart"/>
            <w:r w:rsidRPr="00076E76">
              <w:rPr>
                <w:rFonts w:ascii="Gill Sans" w:hAnsi="Gill Sans" w:cs="Gill Sans"/>
                <w:szCs w:val="22"/>
              </w:rPr>
              <w:t>Bélenger</w:t>
            </w:r>
            <w:proofErr w:type="spellEnd"/>
            <w:r w:rsidRPr="00076E76">
              <w:rPr>
                <w:rFonts w:ascii="Gill Sans" w:hAnsi="Gill Sans" w:cs="Gill Sans"/>
                <w:szCs w:val="22"/>
              </w:rPr>
              <w:t xml:space="preserve">, C. (2013). </w:t>
            </w:r>
            <w:hyperlink r:id="rId137" w:history="1">
              <w:r w:rsidRPr="00CF2135">
                <w:rPr>
                  <w:rStyle w:val="Hyperlink"/>
                  <w:rFonts w:ascii="Gill Sans" w:hAnsi="Gill Sans" w:cs="Gill Sans"/>
                  <w:szCs w:val="22"/>
                </w:rPr>
                <w:t>Rites of Passage: Does adaptation to university mean severing connections</w:t>
              </w:r>
            </w:hyperlink>
            <w:r w:rsidRPr="00076E76">
              <w:rPr>
                <w:rFonts w:ascii="Gill Sans" w:hAnsi="Gill Sans" w:cs="Gill Sans"/>
                <w:szCs w:val="22"/>
              </w:rPr>
              <w:t xml:space="preserve">?, </w:t>
            </w:r>
            <w:r w:rsidRPr="00076E76">
              <w:rPr>
                <w:rFonts w:ascii="Gill Sans" w:hAnsi="Gill Sans" w:cs="Gill Sans"/>
                <w:i/>
                <w:szCs w:val="22"/>
              </w:rPr>
              <w:t xml:space="preserve">Tertiary Education and Management, </w:t>
            </w:r>
            <w:r>
              <w:rPr>
                <w:rFonts w:ascii="Gill Sans" w:hAnsi="Gill Sans" w:cs="Gill Sans"/>
                <w:szCs w:val="22"/>
              </w:rPr>
              <w:t>19(1), 32–</w:t>
            </w:r>
            <w:r w:rsidRPr="00076E76">
              <w:rPr>
                <w:rFonts w:ascii="Gill Sans" w:hAnsi="Gill Sans" w:cs="Gill Sans"/>
                <w:szCs w:val="22"/>
              </w:rPr>
              <w:t>51.</w:t>
            </w:r>
          </w:p>
          <w:p w14:paraId="28E0FE50" w14:textId="77777777" w:rsidR="00F934ED" w:rsidRPr="00076E76" w:rsidRDefault="00F934ED" w:rsidP="00F934ED">
            <w:pPr>
              <w:rPr>
                <w:rFonts w:ascii="Gill Sans" w:hAnsi="Gill Sans" w:cs="Gill Sans"/>
                <w:szCs w:val="22"/>
              </w:rPr>
            </w:pPr>
          </w:p>
          <w:p w14:paraId="0A8FFFFE" w14:textId="77777777" w:rsidR="00F934ED" w:rsidRDefault="00F934ED" w:rsidP="00F934ED">
            <w:pPr>
              <w:rPr>
                <w:rFonts w:ascii="Gill Sans" w:hAnsi="Gill Sans" w:cs="Gill Sans"/>
                <w:szCs w:val="22"/>
              </w:rPr>
            </w:pPr>
            <w:r w:rsidRPr="00076E76">
              <w:rPr>
                <w:rFonts w:ascii="Gill Sans" w:hAnsi="Gill Sans" w:cs="Gill Sans"/>
                <w:szCs w:val="22"/>
              </w:rPr>
              <w:t>CAN</w:t>
            </w:r>
          </w:p>
          <w:p w14:paraId="0CF6A1C7" w14:textId="77777777" w:rsidR="00F934ED" w:rsidRDefault="00F934ED" w:rsidP="00F934ED">
            <w:pPr>
              <w:rPr>
                <w:rFonts w:ascii="Gill Sans" w:hAnsi="Gill Sans" w:cs="Gill Sans"/>
                <w:szCs w:val="22"/>
              </w:rPr>
            </w:pPr>
            <w:r>
              <w:rPr>
                <w:rFonts w:ascii="Gill Sans" w:hAnsi="Gill Sans" w:cs="Gill Sans"/>
                <w:szCs w:val="22"/>
              </w:rPr>
              <w:t xml:space="preserve">Annotation by </w:t>
            </w:r>
            <w:r w:rsidRPr="000D146B">
              <w:rPr>
                <w:rFonts w:ascii="Gill Sans" w:hAnsi="Gill Sans" w:cs="Gill Sans"/>
                <w:szCs w:val="22"/>
              </w:rPr>
              <w:t>Caitlyn McLoughlin</w:t>
            </w:r>
          </w:p>
          <w:p w14:paraId="6CA90743" w14:textId="77777777" w:rsidR="00F934ED" w:rsidRDefault="00F934ED" w:rsidP="00F934ED">
            <w:pPr>
              <w:rPr>
                <w:rFonts w:ascii="Gill Sans" w:hAnsi="Gill Sans" w:cs="Gill Sans"/>
                <w:szCs w:val="22"/>
              </w:rPr>
            </w:pPr>
          </w:p>
          <w:p w14:paraId="300EFC24" w14:textId="77777777" w:rsidR="00F934ED" w:rsidRPr="000D146B" w:rsidRDefault="00F934ED" w:rsidP="00F934ED">
            <w:pPr>
              <w:rPr>
                <w:rFonts w:ascii="Gill Sans" w:hAnsi="Gill Sans" w:cs="Gill Sans"/>
                <w:szCs w:val="22"/>
              </w:rPr>
            </w:pPr>
            <w:r w:rsidRPr="000D146B">
              <w:rPr>
                <w:rFonts w:ascii="Gill Sans" w:hAnsi="Gill Sans" w:cs="Gill Sans"/>
                <w:szCs w:val="22"/>
              </w:rPr>
              <w:t xml:space="preserve">Keywords: </w:t>
            </w:r>
            <w:r w:rsidRPr="000D146B">
              <w:rPr>
                <w:rFonts w:ascii="Gill Sans" w:hAnsi="Gill Sans" w:cs="Gill Sans"/>
                <w:i/>
                <w:szCs w:val="22"/>
              </w:rPr>
              <w:t>student experience; student recruitment and selection; undergraduate study</w:t>
            </w:r>
          </w:p>
          <w:p w14:paraId="5AEF619C" w14:textId="4314B87E" w:rsidR="00F934ED" w:rsidRPr="00076E76" w:rsidRDefault="00F934ED" w:rsidP="00F934ED">
            <w:pPr>
              <w:rPr>
                <w:rFonts w:ascii="Gill Sans" w:hAnsi="Gill Sans" w:cs="Gill Sans"/>
                <w:szCs w:val="22"/>
              </w:rPr>
            </w:pPr>
          </w:p>
        </w:tc>
        <w:tc>
          <w:tcPr>
            <w:tcW w:w="10064" w:type="dxa"/>
          </w:tcPr>
          <w:p w14:paraId="563B3D37" w14:textId="249F3192" w:rsidR="00F934ED" w:rsidRPr="004439E6" w:rsidRDefault="00F934ED" w:rsidP="00F934ED">
            <w:pPr>
              <w:rPr>
                <w:rFonts w:ascii="Gill Sans" w:hAnsi="Gill Sans" w:cs="Gill Sans"/>
                <w:color w:val="000000"/>
                <w:szCs w:val="22"/>
              </w:rPr>
            </w:pPr>
            <w:r w:rsidRPr="00076E76">
              <w:rPr>
                <w:rFonts w:ascii="Gill Sans" w:hAnsi="Gill Sans" w:cs="Gill Sans"/>
                <w:b/>
                <w:color w:val="000000"/>
                <w:szCs w:val="22"/>
                <w:lang w:val="en-AU"/>
              </w:rPr>
              <w:lastRenderedPageBreak/>
              <w:t xml:space="preserve">Context: </w:t>
            </w:r>
            <w:r>
              <w:rPr>
                <w:rFonts w:ascii="Gill Sans" w:hAnsi="Gill Sans" w:cs="Gill Sans"/>
                <w:color w:val="000000"/>
                <w:szCs w:val="22"/>
              </w:rPr>
              <w:t>A</w:t>
            </w:r>
            <w:r w:rsidRPr="004439E6">
              <w:rPr>
                <w:rFonts w:ascii="Gill Sans" w:hAnsi="Gill Sans" w:cs="Gill Sans"/>
                <w:color w:val="000000"/>
                <w:szCs w:val="22"/>
              </w:rPr>
              <w:t>ccommodation and proximity of the university to one’s permanent abode</w:t>
            </w:r>
            <w:r>
              <w:rPr>
                <w:rFonts w:ascii="Gill Sans" w:hAnsi="Gill Sans" w:cs="Gill Sans"/>
                <w:color w:val="000000"/>
                <w:szCs w:val="22"/>
              </w:rPr>
              <w:t xml:space="preserve"> are two important factors that </w:t>
            </w:r>
            <w:r w:rsidRPr="004439E6">
              <w:rPr>
                <w:rFonts w:ascii="Gill Sans" w:hAnsi="Gill Sans" w:cs="Gill Sans"/>
                <w:color w:val="000000"/>
                <w:szCs w:val="22"/>
              </w:rPr>
              <w:t>go into the decision of selecting a university</w:t>
            </w:r>
            <w:r>
              <w:rPr>
                <w:rFonts w:ascii="Gill Sans" w:hAnsi="Gill Sans" w:cs="Gill Sans"/>
                <w:color w:val="000000"/>
                <w:szCs w:val="22"/>
              </w:rPr>
              <w:t xml:space="preserve"> and succeeding while at university. </w:t>
            </w:r>
          </w:p>
          <w:p w14:paraId="39A83DAC" w14:textId="7AFF61B5" w:rsidR="00F934ED" w:rsidRPr="00DA3EA1" w:rsidRDefault="00F934ED" w:rsidP="00F934ED">
            <w:pPr>
              <w:rPr>
                <w:rFonts w:ascii="Gill Sans" w:hAnsi="Gill Sans" w:cs="Gill Sans"/>
                <w:b/>
                <w:color w:val="000000"/>
                <w:szCs w:val="22"/>
              </w:rPr>
            </w:pPr>
            <w:r w:rsidRPr="00076E76">
              <w:rPr>
                <w:rFonts w:ascii="Gill Sans" w:hAnsi="Gill Sans" w:cs="Gill Sans"/>
                <w:b/>
                <w:color w:val="000000"/>
                <w:szCs w:val="22"/>
                <w:lang w:val="en-AU"/>
              </w:rPr>
              <w:t xml:space="preserve">Aim: </w:t>
            </w:r>
            <w:r>
              <w:rPr>
                <w:rFonts w:ascii="Gill Sans" w:hAnsi="Gill Sans" w:cs="Gill Sans"/>
                <w:color w:val="000000"/>
                <w:szCs w:val="22"/>
                <w:lang w:val="en-AU"/>
              </w:rPr>
              <w:t>“</w:t>
            </w:r>
            <w:r w:rsidRPr="00DA3EA1">
              <w:rPr>
                <w:rFonts w:ascii="Gill Sans" w:hAnsi="Gill Sans" w:cs="Gill Sans"/>
                <w:color w:val="000000"/>
                <w:szCs w:val="22"/>
              </w:rPr>
              <w:t xml:space="preserve">The purpose of this research was to find out: (1) </w:t>
            </w:r>
            <w:r>
              <w:rPr>
                <w:rFonts w:ascii="Gill Sans" w:hAnsi="Gill Sans" w:cs="Gill Sans"/>
                <w:color w:val="000000"/>
                <w:szCs w:val="22"/>
              </w:rPr>
              <w:t>which transition and incorpora</w:t>
            </w:r>
            <w:r w:rsidRPr="00DA3EA1">
              <w:rPr>
                <w:rFonts w:ascii="Gill Sans" w:hAnsi="Gill Sans" w:cs="Gill Sans"/>
                <w:color w:val="000000"/>
                <w:szCs w:val="22"/>
              </w:rPr>
              <w:t xml:space="preserve">tion variables </w:t>
            </w:r>
            <w:r w:rsidRPr="00DA3EA1">
              <w:rPr>
                <w:rFonts w:ascii="Gill Sans" w:hAnsi="Gill Sans" w:cs="Gill Sans"/>
                <w:color w:val="000000"/>
                <w:szCs w:val="22"/>
              </w:rPr>
              <w:lastRenderedPageBreak/>
              <w:t>influence students’ adaptation to university; (2) what the differences were between first-year students who lived on-campus in university residences and those who lived off-campus; and (3) if there were differences between first-year student groups depending on the distance between the university and the student’s permanent home</w:t>
            </w:r>
            <w:r>
              <w:rPr>
                <w:rFonts w:ascii="Gill Sans" w:hAnsi="Gill Sans" w:cs="Gill Sans"/>
                <w:color w:val="000000"/>
                <w:szCs w:val="22"/>
              </w:rPr>
              <w:t>” (34).</w:t>
            </w:r>
          </w:p>
          <w:p w14:paraId="0652CF65" w14:textId="5B830C38" w:rsidR="00F934ED" w:rsidRPr="008539CE" w:rsidRDefault="00F934ED" w:rsidP="00F934ED">
            <w:pPr>
              <w:rPr>
                <w:rFonts w:ascii="Gill Sans" w:hAnsi="Gill Sans" w:cs="Gill Sans"/>
                <w:color w:val="000000"/>
                <w:szCs w:val="22"/>
              </w:rPr>
            </w:pPr>
            <w:r w:rsidRPr="00076E76">
              <w:rPr>
                <w:rFonts w:ascii="Gill Sans" w:hAnsi="Gill Sans" w:cs="Gill Sans"/>
                <w:b/>
                <w:color w:val="000000"/>
                <w:szCs w:val="22"/>
                <w:lang w:val="en-AU"/>
              </w:rPr>
              <w:t>Theoretical frame:</w:t>
            </w:r>
            <w:r>
              <w:rPr>
                <w:rFonts w:ascii="Gill Sans" w:hAnsi="Gill Sans" w:cs="Gill Sans"/>
                <w:b/>
                <w:color w:val="000000"/>
                <w:szCs w:val="22"/>
                <w:lang w:val="en-AU"/>
              </w:rPr>
              <w:t xml:space="preserve"> </w:t>
            </w:r>
            <w:r>
              <w:rPr>
                <w:rFonts w:ascii="Gill Sans" w:hAnsi="Gill Sans" w:cs="Gill Sans"/>
                <w:color w:val="000000"/>
                <w:szCs w:val="22"/>
              </w:rPr>
              <w:t>T</w:t>
            </w:r>
            <w:r w:rsidRPr="008539CE">
              <w:rPr>
                <w:rFonts w:ascii="Gill Sans" w:hAnsi="Gill Sans" w:cs="Gill Sans"/>
                <w:color w:val="000000"/>
                <w:szCs w:val="22"/>
              </w:rPr>
              <w:t>heories exploring the post-secondary student’s adaptation to university</w:t>
            </w:r>
            <w:r>
              <w:rPr>
                <w:rFonts w:ascii="Gill Sans" w:hAnsi="Gill Sans" w:cs="Gill Sans"/>
                <w:color w:val="000000"/>
                <w:szCs w:val="22"/>
              </w:rPr>
              <w:t xml:space="preserve">, including Tinto’s (1988) </w:t>
            </w:r>
            <w:r w:rsidRPr="008539CE">
              <w:rPr>
                <w:rFonts w:ascii="Gill Sans" w:hAnsi="Gill Sans" w:cs="Gill Sans"/>
                <w:color w:val="000000"/>
                <w:szCs w:val="22"/>
              </w:rPr>
              <w:t>theory of student integration</w:t>
            </w:r>
            <w:r>
              <w:rPr>
                <w:rFonts w:ascii="Gill Sans" w:hAnsi="Gill Sans" w:cs="Gill Sans"/>
                <w:color w:val="000000"/>
                <w:szCs w:val="22"/>
              </w:rPr>
              <w:t xml:space="preserve"> and “Rites of Passage” and Van </w:t>
            </w:r>
            <w:proofErr w:type="spellStart"/>
            <w:r>
              <w:rPr>
                <w:rFonts w:ascii="Gill Sans" w:hAnsi="Gill Sans" w:cs="Gill Sans"/>
                <w:color w:val="000000"/>
                <w:szCs w:val="22"/>
              </w:rPr>
              <w:t>Gennep’s</w:t>
            </w:r>
            <w:proofErr w:type="spellEnd"/>
            <w:r>
              <w:rPr>
                <w:rFonts w:ascii="Gill Sans" w:hAnsi="Gill Sans" w:cs="Gill Sans"/>
                <w:color w:val="000000"/>
                <w:szCs w:val="22"/>
              </w:rPr>
              <w:t xml:space="preserve"> (1966) three distinct phases of movement (</w:t>
            </w:r>
            <w:r w:rsidRPr="008539CE">
              <w:rPr>
                <w:rFonts w:ascii="Gill Sans" w:hAnsi="Gill Sans" w:cs="Gill Sans"/>
                <w:color w:val="000000"/>
                <w:szCs w:val="22"/>
              </w:rPr>
              <w:t>separation, transition and incorporation</w:t>
            </w:r>
            <w:r>
              <w:rPr>
                <w:rFonts w:ascii="Gill Sans" w:hAnsi="Gill Sans" w:cs="Gill Sans"/>
                <w:color w:val="000000"/>
                <w:szCs w:val="22"/>
              </w:rPr>
              <w:t>) that are involved in the s</w:t>
            </w:r>
            <w:r w:rsidRPr="008539CE">
              <w:rPr>
                <w:rFonts w:ascii="Gill Sans" w:hAnsi="Gill Sans" w:cs="Gill Sans"/>
                <w:color w:val="000000"/>
                <w:szCs w:val="22"/>
              </w:rPr>
              <w:t>eparation from former environment</w:t>
            </w:r>
            <w:r>
              <w:rPr>
                <w:rFonts w:ascii="Gill Sans" w:hAnsi="Gill Sans" w:cs="Gill Sans"/>
                <w:color w:val="000000"/>
                <w:szCs w:val="22"/>
              </w:rPr>
              <w:t>s and suc</w:t>
            </w:r>
            <w:r w:rsidRPr="008539CE">
              <w:rPr>
                <w:rFonts w:ascii="Gill Sans" w:hAnsi="Gill Sans" w:cs="Gill Sans"/>
                <w:color w:val="000000"/>
                <w:szCs w:val="22"/>
              </w:rPr>
              <w:t>cessful involvement in new environment</w:t>
            </w:r>
            <w:r>
              <w:rPr>
                <w:rFonts w:ascii="Gill Sans" w:hAnsi="Gill Sans" w:cs="Gill Sans"/>
                <w:color w:val="000000"/>
                <w:szCs w:val="22"/>
              </w:rPr>
              <w:t xml:space="preserve">s. In opposition, Tierney’s (1992) hierarchy of dominant cultures. </w:t>
            </w:r>
          </w:p>
          <w:p w14:paraId="31EB1C5A" w14:textId="1A27CE21" w:rsidR="00F934ED" w:rsidRPr="0033148C" w:rsidRDefault="00F934ED" w:rsidP="00F934ED">
            <w:pPr>
              <w:rPr>
                <w:rFonts w:ascii="Gill Sans" w:hAnsi="Gill Sans" w:cs="Gill Sans"/>
                <w:color w:val="000000"/>
                <w:szCs w:val="22"/>
              </w:rPr>
            </w:pPr>
            <w:r w:rsidRPr="00076E76">
              <w:rPr>
                <w:rFonts w:ascii="Gill Sans" w:hAnsi="Gill Sans" w:cs="Gill Sans"/>
                <w:b/>
                <w:color w:val="000000"/>
                <w:szCs w:val="22"/>
                <w:lang w:val="en-AU"/>
              </w:rPr>
              <w:t xml:space="preserve">Methodology: </w:t>
            </w:r>
            <w:r>
              <w:rPr>
                <w:rFonts w:ascii="Gill Sans" w:hAnsi="Gill Sans" w:cs="Gill Sans"/>
                <w:color w:val="000000"/>
                <w:szCs w:val="22"/>
              </w:rPr>
              <w:t>O</w:t>
            </w:r>
            <w:r w:rsidRPr="008A3628">
              <w:rPr>
                <w:rFonts w:ascii="Gill Sans" w:hAnsi="Gill Sans" w:cs="Gill Sans"/>
                <w:color w:val="000000"/>
                <w:szCs w:val="22"/>
              </w:rPr>
              <w:t>nline survey through an email invitation sent to 3155 students</w:t>
            </w:r>
            <w:r>
              <w:rPr>
                <w:rFonts w:ascii="Gill Sans" w:hAnsi="Gill Sans" w:cs="Gill Sans"/>
                <w:color w:val="000000"/>
                <w:szCs w:val="22"/>
              </w:rPr>
              <w:t xml:space="preserve">. Research was </w:t>
            </w:r>
            <w:r w:rsidRPr="0033148C">
              <w:rPr>
                <w:rFonts w:ascii="Gill Sans" w:hAnsi="Gill Sans" w:cs="Gill Sans"/>
                <w:color w:val="000000"/>
                <w:szCs w:val="22"/>
              </w:rPr>
              <w:t xml:space="preserve">cross-sectional </w:t>
            </w:r>
            <w:r>
              <w:rPr>
                <w:rFonts w:ascii="Gill Sans" w:hAnsi="Gill Sans" w:cs="Gill Sans"/>
                <w:color w:val="000000"/>
                <w:szCs w:val="22"/>
              </w:rPr>
              <w:t xml:space="preserve">in </w:t>
            </w:r>
            <w:r w:rsidRPr="0033148C">
              <w:rPr>
                <w:rFonts w:ascii="Gill Sans" w:hAnsi="Gill Sans" w:cs="Gill Sans"/>
                <w:color w:val="000000"/>
                <w:szCs w:val="22"/>
              </w:rPr>
              <w:t>design and a convenience sample of first-year undergraduate students from two universities with multiple geographic locations</w:t>
            </w:r>
            <w:r>
              <w:rPr>
                <w:rFonts w:ascii="Gill Sans" w:hAnsi="Gill Sans" w:cs="Gill Sans"/>
                <w:color w:val="000000"/>
                <w:szCs w:val="22"/>
              </w:rPr>
              <w:t xml:space="preserve"> was used. </w:t>
            </w:r>
            <w:r w:rsidRPr="00B81960">
              <w:rPr>
                <w:rFonts w:ascii="Gill Sans" w:hAnsi="Gill Sans" w:cs="Gill Sans"/>
                <w:color w:val="000000"/>
                <w:szCs w:val="22"/>
              </w:rPr>
              <w:t xml:space="preserve">Analysis of the data consisted of a three-step process using </w:t>
            </w:r>
            <w:r>
              <w:rPr>
                <w:rFonts w:ascii="Gill Sans" w:hAnsi="Gill Sans" w:cs="Gill Sans"/>
                <w:color w:val="000000"/>
                <w:szCs w:val="22"/>
              </w:rPr>
              <w:t>separate statistical procedures:</w:t>
            </w:r>
            <w:r w:rsidRPr="00B81960">
              <w:rPr>
                <w:rFonts w:ascii="Gill Sans" w:hAnsi="Gill Sans" w:cs="Gill Sans"/>
                <w:color w:val="000000"/>
                <w:szCs w:val="22"/>
              </w:rPr>
              <w:t xml:space="preserve"> </w:t>
            </w:r>
            <w:r>
              <w:rPr>
                <w:rFonts w:ascii="Gill Sans" w:hAnsi="Gill Sans" w:cs="Gill Sans"/>
                <w:color w:val="000000"/>
                <w:szCs w:val="22"/>
              </w:rPr>
              <w:t>1)</w:t>
            </w:r>
            <w:r w:rsidRPr="00B81960">
              <w:rPr>
                <w:rFonts w:ascii="Gill Sans" w:hAnsi="Gill Sans" w:cs="Gill Sans"/>
                <w:color w:val="000000"/>
                <w:szCs w:val="22"/>
              </w:rPr>
              <w:t xml:space="preserve"> constructs were assessed using exploratory and confirmatory factor analysis</w:t>
            </w:r>
            <w:r>
              <w:rPr>
                <w:rFonts w:ascii="Gill Sans" w:hAnsi="Gill Sans" w:cs="Gill Sans"/>
                <w:color w:val="000000"/>
                <w:szCs w:val="22"/>
              </w:rPr>
              <w:t>,</w:t>
            </w:r>
            <w:r w:rsidRPr="00B81960">
              <w:rPr>
                <w:rFonts w:ascii="Gill Sans" w:hAnsi="Gill Sans" w:cs="Gill Sans"/>
                <w:color w:val="000000"/>
                <w:szCs w:val="22"/>
              </w:rPr>
              <w:t xml:space="preserve"> </w:t>
            </w:r>
            <w:r>
              <w:rPr>
                <w:rFonts w:ascii="Gill Sans" w:hAnsi="Gill Sans" w:cs="Gill Sans"/>
                <w:color w:val="000000"/>
                <w:szCs w:val="22"/>
              </w:rPr>
              <w:t>2)</w:t>
            </w:r>
            <w:r w:rsidRPr="00B81960">
              <w:rPr>
                <w:rFonts w:ascii="Gill Sans" w:hAnsi="Gill Sans" w:cs="Gill Sans"/>
                <w:color w:val="000000"/>
                <w:szCs w:val="22"/>
              </w:rPr>
              <w:t xml:space="preserve"> linear regressio</w:t>
            </w:r>
            <w:r>
              <w:rPr>
                <w:rFonts w:ascii="Gill Sans" w:hAnsi="Gill Sans" w:cs="Gill Sans"/>
                <w:color w:val="000000"/>
                <w:szCs w:val="22"/>
              </w:rPr>
              <w:t>n was used to test the indepen</w:t>
            </w:r>
            <w:r w:rsidRPr="00B81960">
              <w:rPr>
                <w:rFonts w:ascii="Gill Sans" w:hAnsi="Gill Sans" w:cs="Gill Sans"/>
                <w:color w:val="000000"/>
                <w:szCs w:val="22"/>
              </w:rPr>
              <w:t>dent constructs to ascertain whether they influenced the dependent variable,</w:t>
            </w:r>
            <w:r>
              <w:rPr>
                <w:rFonts w:ascii="Gill Sans" w:hAnsi="Gill Sans" w:cs="Gill Sans"/>
                <w:color w:val="000000"/>
                <w:szCs w:val="22"/>
              </w:rPr>
              <w:t xml:space="preserve"> namely, adapting to university and</w:t>
            </w:r>
            <w:r w:rsidRPr="00B81960">
              <w:rPr>
                <w:rFonts w:ascii="Gill Sans" w:hAnsi="Gill Sans" w:cs="Gill Sans"/>
                <w:color w:val="000000"/>
                <w:szCs w:val="22"/>
              </w:rPr>
              <w:t xml:space="preserve"> </w:t>
            </w:r>
            <w:r>
              <w:rPr>
                <w:rFonts w:ascii="Gill Sans" w:hAnsi="Gill Sans" w:cs="Gill Sans"/>
                <w:color w:val="000000"/>
                <w:szCs w:val="22"/>
              </w:rPr>
              <w:t>3)</w:t>
            </w:r>
            <w:r w:rsidRPr="00B81960">
              <w:rPr>
                <w:rFonts w:ascii="Gill Sans" w:hAnsi="Gill Sans" w:cs="Gill Sans"/>
                <w:color w:val="000000"/>
                <w:szCs w:val="22"/>
              </w:rPr>
              <w:t xml:space="preserve"> to determine if significant differences existed, a test of significance between population means was conducted using an analysis of variance</w:t>
            </w:r>
            <w:r>
              <w:rPr>
                <w:rFonts w:ascii="Gill Sans" w:hAnsi="Gill Sans" w:cs="Gill Sans"/>
                <w:color w:val="000000"/>
                <w:szCs w:val="22"/>
              </w:rPr>
              <w:t xml:space="preserve"> </w:t>
            </w:r>
            <w:r w:rsidRPr="00B81960">
              <w:rPr>
                <w:rFonts w:ascii="Gill Sans" w:hAnsi="Gill Sans" w:cs="Gill Sans"/>
                <w:color w:val="000000"/>
                <w:szCs w:val="22"/>
              </w:rPr>
              <w:t>based on living accommodation while at univer</w:t>
            </w:r>
            <w:r>
              <w:rPr>
                <w:rFonts w:ascii="Gill Sans" w:hAnsi="Gill Sans" w:cs="Gill Sans"/>
                <w:color w:val="000000"/>
                <w:szCs w:val="22"/>
              </w:rPr>
              <w:t>sity (on-campus vs. off-campus)</w:t>
            </w:r>
            <w:r w:rsidRPr="00B81960">
              <w:rPr>
                <w:rFonts w:ascii="Gill Sans" w:hAnsi="Gill Sans" w:cs="Gill Sans"/>
                <w:color w:val="000000"/>
                <w:szCs w:val="22"/>
              </w:rPr>
              <w:t xml:space="preserve"> and</w:t>
            </w:r>
            <w:r>
              <w:rPr>
                <w:rFonts w:ascii="Gill Sans" w:hAnsi="Gill Sans" w:cs="Gill Sans"/>
                <w:color w:val="000000"/>
                <w:szCs w:val="22"/>
              </w:rPr>
              <w:t xml:space="preserve"> </w:t>
            </w:r>
            <w:r w:rsidRPr="00B81960">
              <w:rPr>
                <w:rFonts w:ascii="Gill Sans" w:hAnsi="Gill Sans" w:cs="Gill Sans"/>
                <w:color w:val="000000"/>
                <w:szCs w:val="22"/>
              </w:rPr>
              <w:t>proximity between the university and permanent home (5–50 km vs. 51–500 + km).</w:t>
            </w:r>
          </w:p>
          <w:p w14:paraId="2C808500" w14:textId="30189E83" w:rsidR="00F934ED" w:rsidRPr="000D465C" w:rsidRDefault="00F934ED" w:rsidP="00F934ED">
            <w:pPr>
              <w:rPr>
                <w:rFonts w:ascii="Gill Sans" w:hAnsi="Gill Sans" w:cs="Gill Sans"/>
                <w:color w:val="000000"/>
                <w:szCs w:val="22"/>
              </w:rPr>
            </w:pPr>
            <w:r w:rsidRPr="00076E76">
              <w:rPr>
                <w:rFonts w:ascii="Gill Sans" w:hAnsi="Gill Sans" w:cs="Gill Sans"/>
                <w:b/>
                <w:color w:val="000000"/>
                <w:szCs w:val="22"/>
                <w:lang w:val="en-AU"/>
              </w:rPr>
              <w:t xml:space="preserve">Findings: </w:t>
            </w:r>
            <w:r w:rsidRPr="000D465C">
              <w:rPr>
                <w:rFonts w:ascii="Gill Sans" w:hAnsi="Gill Sans" w:cs="Gill Sans"/>
                <w:color w:val="000000"/>
                <w:szCs w:val="22"/>
              </w:rPr>
              <w:t>Students who lived on-campus during the school term felt their transition to university was easy</w:t>
            </w:r>
            <w:r>
              <w:rPr>
                <w:rFonts w:ascii="Gill Sans" w:hAnsi="Gill Sans" w:cs="Gill Sans"/>
                <w:color w:val="000000"/>
                <w:szCs w:val="22"/>
                <w:lang w:val="en-AU"/>
              </w:rPr>
              <w:t xml:space="preserve"> and </w:t>
            </w:r>
            <w:r w:rsidRPr="000D465C">
              <w:rPr>
                <w:rFonts w:ascii="Gill Sans" w:hAnsi="Gill Sans" w:cs="Gill Sans"/>
                <w:color w:val="000000"/>
                <w:szCs w:val="22"/>
              </w:rPr>
              <w:t>were significantly more involved in extracurricular activities than those living off-campus</w:t>
            </w:r>
            <w:r>
              <w:rPr>
                <w:rFonts w:ascii="Gill Sans" w:hAnsi="Gill Sans" w:cs="Gill Sans"/>
                <w:color w:val="000000"/>
                <w:szCs w:val="22"/>
              </w:rPr>
              <w:t xml:space="preserve">. </w:t>
            </w:r>
            <w:r w:rsidRPr="00E208EC">
              <w:rPr>
                <w:rFonts w:ascii="Gill Sans" w:hAnsi="Gill Sans" w:cs="Gill Sans"/>
                <w:color w:val="000000"/>
                <w:szCs w:val="22"/>
              </w:rPr>
              <w:t>Living on-campus was found to increase commitment to the university</w:t>
            </w:r>
            <w:r>
              <w:rPr>
                <w:rFonts w:ascii="Gill Sans" w:hAnsi="Gill Sans" w:cs="Gill Sans"/>
                <w:color w:val="000000"/>
                <w:szCs w:val="22"/>
              </w:rPr>
              <w:t xml:space="preserve"> and students </w:t>
            </w:r>
            <w:r w:rsidRPr="00E208EC">
              <w:rPr>
                <w:rFonts w:ascii="Gill Sans" w:hAnsi="Gill Sans" w:cs="Gill Sans"/>
                <w:color w:val="000000"/>
                <w:szCs w:val="22"/>
              </w:rPr>
              <w:t>were more likely to be c</w:t>
            </w:r>
            <w:r>
              <w:rPr>
                <w:rFonts w:ascii="Gill Sans" w:hAnsi="Gill Sans" w:cs="Gill Sans"/>
                <w:color w:val="000000"/>
                <w:szCs w:val="22"/>
              </w:rPr>
              <w:t>ommitted to their univer</w:t>
            </w:r>
            <w:r w:rsidRPr="00E208EC">
              <w:rPr>
                <w:rFonts w:ascii="Gill Sans" w:hAnsi="Gill Sans" w:cs="Gill Sans"/>
                <w:color w:val="000000"/>
                <w:szCs w:val="22"/>
              </w:rPr>
              <w:t>sity if separation was encouraged through a greater distance between the students’ permanent home and the university</w:t>
            </w:r>
            <w:r>
              <w:rPr>
                <w:rFonts w:ascii="Gill Sans" w:hAnsi="Gill Sans" w:cs="Gill Sans"/>
                <w:color w:val="000000"/>
                <w:szCs w:val="22"/>
              </w:rPr>
              <w:t xml:space="preserve">. </w:t>
            </w:r>
            <w:r w:rsidRPr="00D00B98">
              <w:rPr>
                <w:rFonts w:ascii="Gill Sans" w:hAnsi="Gill Sans" w:cs="Gill Sans"/>
                <w:color w:val="000000"/>
                <w:szCs w:val="22"/>
              </w:rPr>
              <w:t xml:space="preserve">Students living on-campus </w:t>
            </w:r>
            <w:r>
              <w:rPr>
                <w:rFonts w:ascii="Gill Sans" w:hAnsi="Gill Sans" w:cs="Gill Sans"/>
                <w:color w:val="000000"/>
                <w:szCs w:val="22"/>
              </w:rPr>
              <w:t xml:space="preserve">and those </w:t>
            </w:r>
            <w:r w:rsidRPr="00D00B98">
              <w:rPr>
                <w:rFonts w:ascii="Gill Sans" w:hAnsi="Gill Sans" w:cs="Gill Sans"/>
                <w:color w:val="000000"/>
                <w:szCs w:val="22"/>
              </w:rPr>
              <w:t>with permanent homes farther away from the university generally utilized more university support than those in the off-campus grouping</w:t>
            </w:r>
            <w:r>
              <w:rPr>
                <w:rFonts w:ascii="Gill Sans" w:hAnsi="Gill Sans" w:cs="Gill Sans"/>
                <w:color w:val="000000"/>
                <w:szCs w:val="22"/>
              </w:rPr>
              <w:t xml:space="preserve">. Overall, </w:t>
            </w:r>
            <w:r w:rsidRPr="0005487C">
              <w:rPr>
                <w:rFonts w:ascii="Gill Sans" w:hAnsi="Gill Sans" w:cs="Gill Sans"/>
                <w:color w:val="000000"/>
                <w:szCs w:val="22"/>
              </w:rPr>
              <w:t>students without easy access to their prior community</w:t>
            </w:r>
            <w:r>
              <w:rPr>
                <w:rFonts w:ascii="Gill Sans" w:hAnsi="Gill Sans" w:cs="Gill Sans"/>
                <w:color w:val="000000"/>
                <w:szCs w:val="22"/>
              </w:rPr>
              <w:t xml:space="preserve"> </w:t>
            </w:r>
            <w:r w:rsidRPr="0005487C">
              <w:rPr>
                <w:rFonts w:ascii="Gill Sans" w:hAnsi="Gill Sans" w:cs="Gill Sans"/>
                <w:color w:val="000000"/>
                <w:szCs w:val="22"/>
              </w:rPr>
              <w:t>made more progress in adapting to university than those students</w:t>
            </w:r>
            <w:r>
              <w:rPr>
                <w:rFonts w:ascii="Gill Sans" w:hAnsi="Gill Sans" w:cs="Gill Sans"/>
                <w:color w:val="000000"/>
                <w:szCs w:val="22"/>
              </w:rPr>
              <w:t xml:space="preserve"> with easy access</w:t>
            </w:r>
            <w:r w:rsidRPr="0005487C">
              <w:rPr>
                <w:rFonts w:ascii="Gill Sans" w:hAnsi="Gill Sans" w:cs="Gill Sans"/>
                <w:color w:val="000000"/>
                <w:szCs w:val="22"/>
              </w:rPr>
              <w:t xml:space="preserve"> to their permanent home</w:t>
            </w:r>
            <w:r>
              <w:rPr>
                <w:rFonts w:ascii="Gill Sans" w:hAnsi="Gill Sans" w:cs="Gill Sans"/>
                <w:color w:val="000000"/>
                <w:szCs w:val="22"/>
              </w:rPr>
              <w:t xml:space="preserve"> (45-46). </w:t>
            </w:r>
            <w:r w:rsidRPr="00076E76">
              <w:rPr>
                <w:rFonts w:ascii="Gill Sans" w:hAnsi="Gill Sans" w:cs="Gill Sans"/>
                <w:b/>
                <w:color w:val="000000"/>
                <w:szCs w:val="22"/>
                <w:lang w:val="en-AU"/>
              </w:rPr>
              <w:br/>
              <w:t>Core argument:</w:t>
            </w:r>
            <w:r>
              <w:rPr>
                <w:rFonts w:ascii="Gill Sans" w:hAnsi="Gill Sans" w:cs="Gill Sans"/>
                <w:b/>
                <w:color w:val="000000"/>
                <w:szCs w:val="22"/>
                <w:lang w:val="en-AU"/>
              </w:rPr>
              <w:t xml:space="preserve"> </w:t>
            </w:r>
            <w:r>
              <w:rPr>
                <w:rFonts w:ascii="Gill Sans" w:hAnsi="Gill Sans" w:cs="Gill Sans"/>
                <w:color w:val="000000"/>
                <w:szCs w:val="22"/>
              </w:rPr>
              <w:t>S</w:t>
            </w:r>
            <w:r w:rsidRPr="00B304AB">
              <w:rPr>
                <w:rFonts w:ascii="Gill Sans" w:hAnsi="Gill Sans" w:cs="Gill Sans"/>
                <w:color w:val="000000"/>
                <w:szCs w:val="22"/>
              </w:rPr>
              <w:t>eparation of students’ living arrangements and distance from home impact on transition and incorporation variables, which influenced students’ adaptation to university</w:t>
            </w:r>
            <w:r>
              <w:rPr>
                <w:rFonts w:ascii="Gill Sans" w:hAnsi="Gill Sans" w:cs="Gill Sans"/>
                <w:color w:val="000000"/>
                <w:szCs w:val="22"/>
              </w:rPr>
              <w:t>.</w:t>
            </w:r>
          </w:p>
        </w:tc>
      </w:tr>
      <w:tr w:rsidR="00F934ED" w:rsidRPr="00076E76" w14:paraId="42EB828D" w14:textId="77777777" w:rsidTr="002E557C">
        <w:tc>
          <w:tcPr>
            <w:tcW w:w="5529" w:type="dxa"/>
          </w:tcPr>
          <w:p w14:paraId="272EAB3F" w14:textId="2116C54D" w:rsidR="00F934ED" w:rsidRPr="00076E76" w:rsidRDefault="00F934ED" w:rsidP="00F934ED">
            <w:pPr>
              <w:rPr>
                <w:rFonts w:ascii="Gill Sans" w:hAnsi="Gill Sans" w:cs="Gill Sans"/>
                <w:szCs w:val="22"/>
              </w:rPr>
            </w:pPr>
            <w:r w:rsidRPr="00076E76">
              <w:rPr>
                <w:rFonts w:ascii="Gill Sans" w:hAnsi="Gill Sans" w:cs="Gill Sans"/>
                <w:szCs w:val="22"/>
              </w:rPr>
              <w:lastRenderedPageBreak/>
              <w:t xml:space="preserve">Wilcox, P.; Winn, S. &amp; </w:t>
            </w:r>
            <w:proofErr w:type="spellStart"/>
            <w:r w:rsidRPr="00076E76">
              <w:rPr>
                <w:rFonts w:ascii="Gill Sans" w:hAnsi="Gill Sans" w:cs="Gill Sans"/>
                <w:szCs w:val="22"/>
              </w:rPr>
              <w:t>Fybie-Gauld</w:t>
            </w:r>
            <w:proofErr w:type="spellEnd"/>
            <w:r w:rsidRPr="00076E76">
              <w:rPr>
                <w:rFonts w:ascii="Gill Sans" w:hAnsi="Gill Sans" w:cs="Gill Sans"/>
                <w:szCs w:val="22"/>
              </w:rPr>
              <w:t xml:space="preserve">, M. (2005). </w:t>
            </w:r>
            <w:hyperlink r:id="rId138" w:history="1">
              <w:r w:rsidRPr="006F1F61">
                <w:rPr>
                  <w:rStyle w:val="Hyperlink"/>
                  <w:rFonts w:ascii="Gill Sans" w:hAnsi="Gill Sans" w:cs="Gill Sans"/>
                  <w:szCs w:val="22"/>
                </w:rPr>
                <w:t>‘It was nothing to do with the university, it was just the people’: the role of social support in the first-year experience of higher education</w:t>
              </w:r>
            </w:hyperlink>
            <w:r w:rsidRPr="00076E76">
              <w:rPr>
                <w:rFonts w:ascii="Gill Sans" w:hAnsi="Gill Sans" w:cs="Gill Sans"/>
                <w:szCs w:val="22"/>
              </w:rPr>
              <w:t xml:space="preserve">, </w:t>
            </w:r>
            <w:r w:rsidRPr="00076E76">
              <w:rPr>
                <w:rFonts w:ascii="Gill Sans" w:hAnsi="Gill Sans" w:cs="Gill Sans"/>
                <w:i/>
                <w:szCs w:val="22"/>
              </w:rPr>
              <w:t xml:space="preserve">Studies in Higher Education, </w:t>
            </w:r>
            <w:r>
              <w:rPr>
                <w:rFonts w:ascii="Gill Sans" w:hAnsi="Gill Sans" w:cs="Gill Sans"/>
                <w:szCs w:val="22"/>
              </w:rPr>
              <w:t>30(6),</w:t>
            </w:r>
            <w:r w:rsidRPr="00076E76">
              <w:rPr>
                <w:rFonts w:ascii="Gill Sans" w:hAnsi="Gill Sans" w:cs="Gill Sans"/>
                <w:szCs w:val="22"/>
              </w:rPr>
              <w:t xml:space="preserve"> 707</w:t>
            </w:r>
            <w:r>
              <w:rPr>
                <w:rFonts w:ascii="Gill Sans" w:hAnsi="Gill Sans" w:cs="Gill Sans"/>
                <w:szCs w:val="22"/>
              </w:rPr>
              <w:t>–</w:t>
            </w:r>
            <w:r w:rsidRPr="00076E76">
              <w:rPr>
                <w:rFonts w:ascii="Gill Sans" w:hAnsi="Gill Sans" w:cs="Gill Sans"/>
                <w:szCs w:val="22"/>
              </w:rPr>
              <w:lastRenderedPageBreak/>
              <w:t>722.</w:t>
            </w:r>
          </w:p>
          <w:p w14:paraId="0B6095EE" w14:textId="77777777" w:rsidR="00F934ED" w:rsidRPr="00076E76" w:rsidRDefault="00F934ED" w:rsidP="00F934ED">
            <w:pPr>
              <w:rPr>
                <w:rFonts w:ascii="Gill Sans" w:hAnsi="Gill Sans" w:cs="Gill Sans"/>
                <w:szCs w:val="22"/>
              </w:rPr>
            </w:pPr>
          </w:p>
          <w:p w14:paraId="19FB72E7" w14:textId="77777777" w:rsidR="00F934ED" w:rsidRPr="00076E76" w:rsidRDefault="00F934ED" w:rsidP="00F934ED">
            <w:pPr>
              <w:rPr>
                <w:rFonts w:ascii="Gill Sans" w:hAnsi="Gill Sans" w:cs="Gill Sans"/>
                <w:szCs w:val="22"/>
              </w:rPr>
            </w:pPr>
            <w:r w:rsidRPr="00076E76">
              <w:rPr>
                <w:rFonts w:ascii="Gill Sans" w:hAnsi="Gill Sans" w:cs="Gill Sans"/>
                <w:szCs w:val="22"/>
              </w:rPr>
              <w:t>UK</w:t>
            </w:r>
          </w:p>
          <w:p w14:paraId="75DC417D"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5E73BDCA" w14:textId="77777777" w:rsidR="00F934ED" w:rsidRPr="00076E76" w:rsidRDefault="00F934ED" w:rsidP="00F934ED">
            <w:pPr>
              <w:rPr>
                <w:rFonts w:ascii="Gill Sans" w:hAnsi="Gill Sans" w:cs="Gill Sans"/>
                <w:szCs w:val="22"/>
              </w:rPr>
            </w:pPr>
          </w:p>
          <w:p w14:paraId="309FE274" w14:textId="1944DF3A" w:rsidR="00F934ED" w:rsidRPr="00076E76" w:rsidRDefault="00F934ED" w:rsidP="00F934ED">
            <w:pPr>
              <w:rPr>
                <w:rFonts w:ascii="Gill Sans" w:hAnsi="Gill Sans" w:cs="Gill Sans"/>
                <w:szCs w:val="22"/>
              </w:rPr>
            </w:pPr>
            <w:r w:rsidRPr="00076E76">
              <w:rPr>
                <w:rFonts w:ascii="Gill Sans" w:hAnsi="Gill Sans" w:cs="Gill Sans"/>
                <w:szCs w:val="22"/>
              </w:rPr>
              <w:t xml:space="preserve">Keywords: </w:t>
            </w:r>
            <w:r w:rsidRPr="00076E76">
              <w:rPr>
                <w:rFonts w:ascii="Gill Sans" w:hAnsi="Gill Sans" w:cs="Gill Sans"/>
                <w:i/>
                <w:szCs w:val="22"/>
              </w:rPr>
              <w:t>transition, social integration, first year, retention, attrition</w:t>
            </w:r>
          </w:p>
        </w:tc>
        <w:tc>
          <w:tcPr>
            <w:tcW w:w="10064" w:type="dxa"/>
          </w:tcPr>
          <w:p w14:paraId="64F7B405" w14:textId="7EB67E7D"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lastRenderedPageBreak/>
              <w:t xml:space="preserve">Context: </w:t>
            </w:r>
            <w:r w:rsidRPr="00076E76">
              <w:rPr>
                <w:rFonts w:ascii="Gill Sans" w:hAnsi="Gill Sans" w:cs="Gill Sans"/>
                <w:color w:val="000000"/>
                <w:szCs w:val="22"/>
                <w:lang w:val="en-AU"/>
              </w:rPr>
              <w:t xml:space="preserve">UK higher education and first year student retention. Looks at role of ‘social support’. Concerns regarding retention driven by government intention to address </w:t>
            </w:r>
            <w:proofErr w:type="spellStart"/>
            <w:r w:rsidRPr="00076E76">
              <w:rPr>
                <w:rFonts w:ascii="Gill Sans" w:hAnsi="Gill Sans" w:cs="Gill Sans"/>
                <w:color w:val="000000"/>
                <w:szCs w:val="22"/>
                <w:lang w:val="en-AU"/>
              </w:rPr>
              <w:t>drop out</w:t>
            </w:r>
            <w:proofErr w:type="spellEnd"/>
            <w:r w:rsidRPr="00076E76">
              <w:rPr>
                <w:rFonts w:ascii="Gill Sans" w:hAnsi="Gill Sans" w:cs="Gill Sans"/>
                <w:color w:val="000000"/>
                <w:szCs w:val="22"/>
                <w:lang w:val="en-AU"/>
              </w:rPr>
              <w:t xml:space="preserve"> rates (financial consequences) and anxieties about quality of learning, </w:t>
            </w:r>
            <w:proofErr w:type="gramStart"/>
            <w:r w:rsidRPr="00076E76">
              <w:rPr>
                <w:rFonts w:ascii="Gill Sans" w:hAnsi="Gill Sans" w:cs="Gill Sans"/>
                <w:color w:val="000000"/>
                <w:szCs w:val="22"/>
                <w:lang w:val="en-AU"/>
              </w:rPr>
              <w:t>Cites</w:t>
            </w:r>
            <w:proofErr w:type="gramEnd"/>
            <w:r w:rsidRPr="00076E76">
              <w:rPr>
                <w:rFonts w:ascii="Gill Sans" w:hAnsi="Gill Sans" w:cs="Gill Sans"/>
                <w:color w:val="000000"/>
                <w:szCs w:val="22"/>
                <w:lang w:val="en-AU"/>
              </w:rPr>
              <w:t xml:space="preserve"> research and commonly held understanding that two drivers of attrition = lack of preparedness and misalignment between choice of course/ institution and student (see </w:t>
            </w:r>
            <w:proofErr w:type="spellStart"/>
            <w:r w:rsidRPr="00076E76">
              <w:rPr>
                <w:rFonts w:ascii="Gill Sans" w:hAnsi="Gill Sans" w:cs="Gill Sans"/>
                <w:color w:val="000000"/>
                <w:szCs w:val="22"/>
              </w:rPr>
              <w:lastRenderedPageBreak/>
              <w:t>Ozga</w:t>
            </w:r>
            <w:proofErr w:type="spellEnd"/>
            <w:r w:rsidRPr="00076E76">
              <w:rPr>
                <w:rFonts w:ascii="Gill Sans" w:hAnsi="Gill Sans" w:cs="Gill Sans"/>
                <w:color w:val="000000"/>
                <w:szCs w:val="22"/>
              </w:rPr>
              <w:t xml:space="preserve"> and </w:t>
            </w:r>
            <w:proofErr w:type="spellStart"/>
            <w:r w:rsidRPr="00076E76">
              <w:rPr>
                <w:rFonts w:ascii="Gill Sans" w:hAnsi="Gill Sans" w:cs="Gill Sans"/>
                <w:color w:val="000000"/>
                <w:szCs w:val="22"/>
              </w:rPr>
              <w:t>Sukhnandan</w:t>
            </w:r>
            <w:proofErr w:type="spellEnd"/>
            <w:r w:rsidRPr="00076E76">
              <w:rPr>
                <w:rFonts w:ascii="Gill Sans" w:hAnsi="Gill Sans" w:cs="Gill Sans"/>
                <w:color w:val="000000"/>
                <w:szCs w:val="22"/>
              </w:rPr>
              <w:t>, 1998)</w:t>
            </w:r>
            <w:r w:rsidRPr="00076E76">
              <w:rPr>
                <w:rFonts w:ascii="Gill Sans" w:hAnsi="Gill Sans" w:cs="Gill Sans"/>
                <w:color w:val="000000"/>
                <w:szCs w:val="22"/>
                <w:lang w:val="en-AU"/>
              </w:rPr>
              <w:t xml:space="preserve">. Scopes literature on social integration - starting with health literature – connections between social integration and wellbeing/ health, moving on to psychological accounts. Authors note there is little sociological explanation. Furthermore, most attention = paid to students’ experiences of academic domain, rather than the wider social milieu </w:t>
            </w:r>
          </w:p>
          <w:p w14:paraId="0DC207A0" w14:textId="0D924D29"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sidRPr="00076E76">
              <w:rPr>
                <w:rFonts w:ascii="Gill Sans" w:hAnsi="Gill Sans" w:cs="Gill Sans"/>
                <w:color w:val="000000"/>
                <w:szCs w:val="22"/>
                <w:lang w:val="en-AU"/>
              </w:rPr>
              <w:t xml:space="preserve">To offer analysis of academic and social integration of students post-entry into Year 1, with particular focus on social support; to </w:t>
            </w:r>
            <w:r w:rsidRPr="00076E76">
              <w:rPr>
                <w:rFonts w:ascii="Gill Sans" w:hAnsi="Gill Sans" w:cs="Gill Sans"/>
                <w:color w:val="000000"/>
                <w:szCs w:val="22"/>
              </w:rPr>
              <w:t>explore the experiences of a group of first-year students to try to capture their social development over time, and how social integration (or lack of) influenced drop out</w:t>
            </w:r>
          </w:p>
          <w:p w14:paraId="2E56C13D" w14:textId="67BB1A4D"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Qualitative study of students in Applied Social Science at University of Brighton = 22 students who completed Year 1 and 12 students who dropped out. Students were mostly female, white and under 21 years old. Interviews conducted with students (face-to-face with current students; telephone interviews with drop out students). Students asked to narrate experiences at different times (first day, first week, typical week)</w:t>
            </w:r>
          </w:p>
          <w:p w14:paraId="6E19CF10" w14:textId="50C61061"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Findings: </w:t>
            </w:r>
            <w:r w:rsidRPr="00076E76">
              <w:rPr>
                <w:rFonts w:ascii="Gill Sans" w:hAnsi="Gill Sans" w:cs="Gill Sans"/>
                <w:color w:val="000000"/>
                <w:szCs w:val="22"/>
                <w:lang w:val="en-AU"/>
              </w:rPr>
              <w:t>Deciding to drop out = complex and multifaceted decision made over time, and was a serious decision for all students. Only one student who dropped out said it was because he chose the wrong course. Major themes in reasons for dropping out = 1) social; 2) independent learning; 3) material reasons. Detail of reasons = difficulty in making friends, accommodation, studying independently, mismatch with expectations, unhappy with subject/ course, no connection with tutor, location of campus, friends had withdrawn, finances (and others; see p.712).</w:t>
            </w:r>
          </w:p>
          <w:p w14:paraId="00BF389D" w14:textId="6807A4FE"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t xml:space="preserve">Making compatible friends = authors relate to idea that student = </w:t>
            </w:r>
            <w:proofErr w:type="gramStart"/>
            <w:r w:rsidRPr="00076E76">
              <w:rPr>
                <w:rFonts w:ascii="Gill Sans" w:hAnsi="Gill Sans" w:cs="Gill Sans"/>
                <w:color w:val="000000"/>
                <w:szCs w:val="22"/>
                <w:lang w:val="en-AU"/>
              </w:rPr>
              <w:t>becoming:</w:t>
            </w:r>
            <w:proofErr w:type="gramEnd"/>
            <w:r w:rsidRPr="00076E76">
              <w:rPr>
                <w:rFonts w:ascii="Gill Sans" w:hAnsi="Gill Sans" w:cs="Gill Sans"/>
                <w:color w:val="000000"/>
                <w:szCs w:val="22"/>
                <w:lang w:val="en-AU"/>
              </w:rPr>
              <w:t xml:space="preserve"> new identity/ sense of belonging, which involves negotiation between past, present [and future]. Feeling lonely/ homesick = common – emotional support from home (family and friends) = important ‘buffer’ = leading to ‘transitional [liminal] phase – where students are anxious to make friends and connections. As students settle in, they develop friendships and ‘home’ becomes less necessary for support. Later, it becomes more important to make ‘good’ friends. Data suggests living arrangements (living in halls of residence) = significant to this (both positive and negative impacts). Students relationship with staff, particularly personal tutors = important</w:t>
            </w:r>
            <w:r w:rsidRPr="00076E76">
              <w:rPr>
                <w:rFonts w:ascii="Gill Sans" w:hAnsi="Gill Sans" w:cs="Gill Sans"/>
                <w:b/>
                <w:color w:val="000000"/>
                <w:szCs w:val="22"/>
                <w:lang w:val="en-AU"/>
              </w:rPr>
              <w:br/>
              <w:t xml:space="preserve">Core argument: </w:t>
            </w:r>
            <w:r w:rsidRPr="00076E76">
              <w:rPr>
                <w:rFonts w:ascii="Gill Sans" w:hAnsi="Gill Sans" w:cs="Gill Sans"/>
                <w:color w:val="000000"/>
                <w:szCs w:val="22"/>
                <w:lang w:val="en-AU"/>
              </w:rPr>
              <w:t>Students’ anxieties about making friends = important aspect of students’ transitions and more consideration needs to be given to this (e.g., by accommodation designers, by institutions).</w:t>
            </w:r>
          </w:p>
        </w:tc>
      </w:tr>
      <w:tr w:rsidR="00F934ED" w:rsidRPr="00076E76" w14:paraId="6BEAB2A4" w14:textId="77777777" w:rsidTr="00CA3645">
        <w:tc>
          <w:tcPr>
            <w:tcW w:w="5529" w:type="dxa"/>
            <w:shd w:val="clear" w:color="auto" w:fill="auto"/>
          </w:tcPr>
          <w:p w14:paraId="6712BE47" w14:textId="71967FBD" w:rsidR="00F934ED" w:rsidRPr="00076E76" w:rsidRDefault="00F934ED" w:rsidP="00F934ED">
            <w:pPr>
              <w:rPr>
                <w:rFonts w:ascii="Gill Sans" w:hAnsi="Gill Sans" w:cs="Gill Sans"/>
                <w:szCs w:val="22"/>
              </w:rPr>
            </w:pPr>
            <w:r w:rsidRPr="00076E76">
              <w:rPr>
                <w:rFonts w:ascii="Gill Sans" w:hAnsi="Gill Sans" w:cs="Gill Sans"/>
                <w:szCs w:val="22"/>
              </w:rPr>
              <w:lastRenderedPageBreak/>
              <w:t xml:space="preserve">Wilson, F.; Child, S. &amp; </w:t>
            </w:r>
            <w:proofErr w:type="spellStart"/>
            <w:r w:rsidRPr="00076E76">
              <w:rPr>
                <w:rFonts w:ascii="Gill Sans" w:hAnsi="Gill Sans" w:cs="Gill Sans"/>
                <w:szCs w:val="22"/>
              </w:rPr>
              <w:t>Suto</w:t>
            </w:r>
            <w:proofErr w:type="spellEnd"/>
            <w:r w:rsidRPr="00076E76">
              <w:rPr>
                <w:rFonts w:ascii="Gill Sans" w:hAnsi="Gill Sans" w:cs="Gill Sans"/>
                <w:szCs w:val="22"/>
              </w:rPr>
              <w:t xml:space="preserve">, I. (2017). </w:t>
            </w:r>
            <w:hyperlink r:id="rId139" w:history="1">
              <w:r w:rsidRPr="006F1F61">
                <w:rPr>
                  <w:rStyle w:val="Hyperlink"/>
                  <w:rFonts w:ascii="Gill Sans" w:hAnsi="Gill Sans" w:cs="Gill Sans"/>
                  <w:szCs w:val="22"/>
                </w:rPr>
                <w:t>Assessing the transition between school and university: Differences in assessment between A levels and university in English</w:t>
              </w:r>
            </w:hyperlink>
            <w:r w:rsidRPr="00076E76">
              <w:rPr>
                <w:rFonts w:ascii="Gill Sans" w:hAnsi="Gill Sans" w:cs="Gill Sans"/>
                <w:szCs w:val="22"/>
              </w:rPr>
              <w:t xml:space="preserve">, </w:t>
            </w:r>
            <w:r w:rsidRPr="00076E76">
              <w:rPr>
                <w:rFonts w:ascii="Gill Sans" w:hAnsi="Gill Sans" w:cs="Gill Sans"/>
                <w:i/>
                <w:szCs w:val="22"/>
              </w:rPr>
              <w:t xml:space="preserve">Arts &amp; Humanities in Higher Education, </w:t>
            </w:r>
            <w:r>
              <w:rPr>
                <w:rFonts w:ascii="Gill Sans" w:hAnsi="Gill Sans" w:cs="Gill Sans"/>
                <w:szCs w:val="22"/>
              </w:rPr>
              <w:t>16(2), 188–</w:t>
            </w:r>
            <w:r w:rsidRPr="00076E76">
              <w:rPr>
                <w:rFonts w:ascii="Gill Sans" w:hAnsi="Gill Sans" w:cs="Gill Sans"/>
                <w:szCs w:val="22"/>
              </w:rPr>
              <w:t>208.</w:t>
            </w:r>
          </w:p>
          <w:p w14:paraId="7A1277A7" w14:textId="77777777" w:rsidR="00F934ED" w:rsidRPr="00076E76" w:rsidRDefault="00F934ED" w:rsidP="00F934ED">
            <w:pPr>
              <w:rPr>
                <w:rFonts w:ascii="Gill Sans" w:hAnsi="Gill Sans" w:cs="Gill Sans"/>
                <w:szCs w:val="22"/>
              </w:rPr>
            </w:pPr>
          </w:p>
          <w:p w14:paraId="4995680E" w14:textId="77777777" w:rsidR="00F934ED" w:rsidRDefault="00F934ED" w:rsidP="00F934ED">
            <w:pPr>
              <w:rPr>
                <w:rFonts w:ascii="Gill Sans" w:hAnsi="Gill Sans" w:cs="Gill Sans"/>
                <w:szCs w:val="22"/>
              </w:rPr>
            </w:pPr>
            <w:r w:rsidRPr="00076E76">
              <w:rPr>
                <w:rFonts w:ascii="Gill Sans" w:hAnsi="Gill Sans" w:cs="Gill Sans"/>
                <w:szCs w:val="22"/>
              </w:rPr>
              <w:lastRenderedPageBreak/>
              <w:t>UK</w:t>
            </w:r>
          </w:p>
          <w:p w14:paraId="4C153F9C"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03C5CBDD" w14:textId="77777777" w:rsidR="00F934ED" w:rsidRDefault="00F934ED" w:rsidP="00F934ED">
            <w:pPr>
              <w:rPr>
                <w:rFonts w:ascii="Gill Sans" w:hAnsi="Gill Sans" w:cs="Gill Sans"/>
                <w:szCs w:val="22"/>
              </w:rPr>
            </w:pPr>
          </w:p>
          <w:p w14:paraId="0C75A353" w14:textId="3032D8C3" w:rsidR="00F934ED" w:rsidRPr="00076E76" w:rsidRDefault="00F934ED" w:rsidP="00F934ED">
            <w:pPr>
              <w:rPr>
                <w:rFonts w:ascii="Gill Sans" w:hAnsi="Gill Sans" w:cs="Gill Sans"/>
                <w:szCs w:val="22"/>
              </w:rPr>
            </w:pPr>
            <w:r>
              <w:rPr>
                <w:rFonts w:ascii="Gill Sans" w:hAnsi="Gill Sans" w:cs="Gill Sans"/>
                <w:szCs w:val="22"/>
              </w:rPr>
              <w:t xml:space="preserve">Keywords: </w:t>
            </w:r>
            <w:r w:rsidRPr="0000510A">
              <w:rPr>
                <w:rFonts w:ascii="Gill Sans" w:hAnsi="Gill Sans" w:cs="Gill Sans"/>
                <w:i/>
                <w:szCs w:val="22"/>
              </w:rPr>
              <w:t>Assessment, English literature, higher education, secondary education, transition</w:t>
            </w:r>
          </w:p>
        </w:tc>
        <w:tc>
          <w:tcPr>
            <w:tcW w:w="10064" w:type="dxa"/>
          </w:tcPr>
          <w:p w14:paraId="6BAC984F" w14:textId="0C98DF2C" w:rsidR="00F934ED" w:rsidRPr="0000510A"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lastRenderedPageBreak/>
              <w:t xml:space="preserve">Context: </w:t>
            </w:r>
            <w:r>
              <w:rPr>
                <w:rFonts w:ascii="Gill Sans" w:hAnsi="Gill Sans" w:cs="Gill Sans"/>
                <w:color w:val="000000"/>
                <w:szCs w:val="22"/>
                <w:lang w:val="en-AU"/>
              </w:rPr>
              <w:t xml:space="preserve">Differences between assessments in A-levels and undergraduate courses in the UK because of concerns about students’ preparedness for university study and high stakes assessments at the end of secondary schooling. At the time of writing, A-levels were undergoing reform. Authors review the structural differences between school and university (assessment types/ diversity of assessments; requirement of independent learning). Authors also consider the guidance and instructions given on assessment tasks, with </w:t>
            </w:r>
            <w:r>
              <w:rPr>
                <w:rFonts w:ascii="Gill Sans" w:hAnsi="Gill Sans" w:cs="Gill Sans"/>
                <w:color w:val="000000"/>
                <w:szCs w:val="22"/>
                <w:lang w:val="en-AU"/>
              </w:rPr>
              <w:lastRenderedPageBreak/>
              <w:t>the literature strongly suggesting that students are given more detail and guidance in A-level tasks</w:t>
            </w:r>
          </w:p>
          <w:p w14:paraId="575BEDDB" w14:textId="3E1DB408" w:rsidR="00F934ED" w:rsidRPr="001C1900"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Pr>
                <w:rFonts w:ascii="Gill Sans" w:hAnsi="Gill Sans" w:cs="Gill Sans"/>
                <w:color w:val="000000"/>
                <w:szCs w:val="22"/>
                <w:lang w:val="en-AU"/>
              </w:rPr>
              <w:t>To “</w:t>
            </w:r>
            <w:r w:rsidRPr="001C1900">
              <w:rPr>
                <w:rFonts w:ascii="Gill Sans" w:hAnsi="Gill Sans" w:cs="Gill Sans"/>
                <w:color w:val="000000"/>
                <w:szCs w:val="22"/>
              </w:rPr>
              <w:t>compare the assessment of English literature at upper</w:t>
            </w:r>
            <w:r>
              <w:rPr>
                <w:rFonts w:ascii="Gill Sans" w:hAnsi="Gill Sans" w:cs="Gill Sans"/>
                <w:color w:val="000000"/>
                <w:szCs w:val="22"/>
              </w:rPr>
              <w:t xml:space="preserve"> </w:t>
            </w:r>
            <w:r w:rsidRPr="001C1900">
              <w:rPr>
                <w:rFonts w:ascii="Gill Sans" w:hAnsi="Gill Sans" w:cs="Gill Sans"/>
                <w:color w:val="000000"/>
                <w:szCs w:val="22"/>
              </w:rPr>
              <w:t>secondary level and the first year of university in England, focusing on the type</w:t>
            </w:r>
            <w:r>
              <w:rPr>
                <w:rFonts w:ascii="Gill Sans" w:hAnsi="Gill Sans" w:cs="Gill Sans"/>
                <w:color w:val="000000"/>
                <w:szCs w:val="22"/>
              </w:rPr>
              <w:t xml:space="preserve"> </w:t>
            </w:r>
            <w:r w:rsidRPr="001C1900">
              <w:rPr>
                <w:rFonts w:ascii="Gill Sans" w:hAnsi="Gill Sans" w:cs="Gill Sans"/>
                <w:color w:val="000000"/>
                <w:szCs w:val="22"/>
              </w:rPr>
              <w:t>of assessment used and the level of written guidance provided with the assessments</w:t>
            </w:r>
            <w:r>
              <w:rPr>
                <w:rFonts w:ascii="Gill Sans" w:hAnsi="Gill Sans" w:cs="Gill Sans"/>
                <w:color w:val="000000"/>
                <w:szCs w:val="22"/>
              </w:rPr>
              <w:t>” (p.189)</w:t>
            </w:r>
          </w:p>
          <w:p w14:paraId="0E2F2135" w14:textId="28815DE0" w:rsidR="00F934ED" w:rsidRPr="002A2B7A"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Pr>
                <w:rFonts w:ascii="Gill Sans" w:hAnsi="Gill Sans" w:cs="Gill Sans"/>
                <w:color w:val="000000"/>
                <w:szCs w:val="22"/>
                <w:lang w:val="en-AU"/>
              </w:rPr>
              <w:t>Document analysis: comparison between six A level English literature syllabuses and assessment materials typical for first year English literature from a range of universities (n=9). Description of coding framework on p.195–199.</w:t>
            </w:r>
          </w:p>
          <w:p w14:paraId="54379435" w14:textId="77777777" w:rsidR="00F934ED"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Findings: </w:t>
            </w:r>
            <w:r>
              <w:rPr>
                <w:rFonts w:ascii="Gill Sans" w:hAnsi="Gill Sans" w:cs="Gill Sans"/>
                <w:color w:val="000000"/>
                <w:szCs w:val="22"/>
                <w:lang w:val="en-AU"/>
              </w:rPr>
              <w:t>A-level assignments = closed book examinations, coursework (extended writing, creative writing, comparison writing). Reforms to A-levels = more assessment but similar variety as the previous system. University writing = more diverse, but closed book examination = similarly dominant.</w:t>
            </w:r>
          </w:p>
          <w:p w14:paraId="1807523D" w14:textId="164D4724" w:rsidR="00F934ED" w:rsidRPr="00800FEB" w:rsidRDefault="00F934ED" w:rsidP="00F934ED">
            <w:pPr>
              <w:rPr>
                <w:rFonts w:ascii="Gill Sans" w:hAnsi="Gill Sans" w:cs="Gill Sans"/>
                <w:color w:val="000000"/>
                <w:szCs w:val="22"/>
                <w:lang w:val="en-AU"/>
              </w:rPr>
            </w:pPr>
            <w:r>
              <w:rPr>
                <w:rFonts w:ascii="Gill Sans" w:hAnsi="Gill Sans" w:cs="Gill Sans"/>
                <w:color w:val="000000"/>
                <w:szCs w:val="22"/>
                <w:lang w:val="en-AU"/>
              </w:rPr>
              <w:t>Only one assessment task for A-levels included structured questions, while these were more plentiful in the university courses. Types of guidance were different – A-levels = fewer than at university, and with less detail (e.g. ‘half this essay should include’ in university assignment brief)</w:t>
            </w:r>
            <w:r w:rsidRPr="00076E76">
              <w:rPr>
                <w:rFonts w:ascii="Gill Sans" w:hAnsi="Gill Sans" w:cs="Gill Sans"/>
                <w:b/>
                <w:color w:val="000000"/>
                <w:szCs w:val="22"/>
                <w:lang w:val="en-AU"/>
              </w:rPr>
              <w:br/>
              <w:t>Core argument:</w:t>
            </w:r>
            <w:r>
              <w:rPr>
                <w:rFonts w:ascii="Gill Sans" w:hAnsi="Gill Sans" w:cs="Gill Sans"/>
                <w:b/>
                <w:color w:val="000000"/>
                <w:szCs w:val="22"/>
                <w:lang w:val="en-AU"/>
              </w:rPr>
              <w:t xml:space="preserve"> </w:t>
            </w:r>
            <w:r>
              <w:rPr>
                <w:rFonts w:ascii="Gill Sans" w:hAnsi="Gill Sans" w:cs="Gill Sans"/>
                <w:color w:val="000000"/>
                <w:szCs w:val="22"/>
                <w:lang w:val="en-AU"/>
              </w:rPr>
              <w:t xml:space="preserve">Differences in the kinds of assessments used, the structure and guidance, and mark schemes contribute to transitional challenges that students experience </w:t>
            </w:r>
            <w:r>
              <w:rPr>
                <w:rFonts w:cs="Gill Sans"/>
                <w:color w:val="000000"/>
                <w:szCs w:val="22"/>
                <w:lang w:val="en-AU"/>
              </w:rPr>
              <w:t>—</w:t>
            </w:r>
            <w:r>
              <w:rPr>
                <w:rFonts w:ascii="Gill Sans" w:hAnsi="Gill Sans" w:cs="Gill Sans"/>
                <w:color w:val="000000"/>
                <w:szCs w:val="22"/>
                <w:lang w:val="en-AU"/>
              </w:rPr>
              <w:t xml:space="preserve"> although the authors note that the summative assessments of A-levels are not necessarily representative of the whole experience. University course designers, particularly with regard to predicting how students will interpret guidance and assessment tasks.</w:t>
            </w:r>
          </w:p>
        </w:tc>
      </w:tr>
      <w:tr w:rsidR="00F934ED" w:rsidRPr="00076E76" w14:paraId="42589C32" w14:textId="77777777" w:rsidTr="002E557C">
        <w:tc>
          <w:tcPr>
            <w:tcW w:w="5529" w:type="dxa"/>
          </w:tcPr>
          <w:p w14:paraId="3D003641" w14:textId="28C481A3" w:rsidR="00F934ED" w:rsidRPr="00076E76" w:rsidRDefault="00F934ED" w:rsidP="00F934ED">
            <w:pPr>
              <w:rPr>
                <w:rFonts w:ascii="Gill Sans" w:hAnsi="Gill Sans" w:cs="Gill Sans"/>
                <w:szCs w:val="22"/>
              </w:rPr>
            </w:pPr>
            <w:r w:rsidRPr="00076E76">
              <w:rPr>
                <w:rFonts w:ascii="Gill Sans" w:hAnsi="Gill Sans" w:cs="Gill Sans"/>
                <w:szCs w:val="22"/>
              </w:rPr>
              <w:lastRenderedPageBreak/>
              <w:t xml:space="preserve">Wingate, U. (2007). </w:t>
            </w:r>
            <w:hyperlink r:id="rId140" w:history="1">
              <w:r w:rsidRPr="000D64DB">
                <w:rPr>
                  <w:rStyle w:val="Hyperlink"/>
                  <w:rFonts w:ascii="Gill Sans" w:hAnsi="Gill Sans" w:cs="Gill Sans"/>
                  <w:szCs w:val="22"/>
                </w:rPr>
                <w:t xml:space="preserve">A Framework for Transition: </w:t>
              </w:r>
              <w:proofErr w:type="gramStart"/>
              <w:r w:rsidRPr="000D64DB">
                <w:rPr>
                  <w:rStyle w:val="Hyperlink"/>
                  <w:rFonts w:ascii="Gill Sans" w:hAnsi="Gill Sans" w:cs="Gill Sans"/>
                  <w:szCs w:val="22"/>
                </w:rPr>
                <w:t>Supporting  ‘</w:t>
              </w:r>
              <w:proofErr w:type="gramEnd"/>
              <w:r w:rsidRPr="000D64DB">
                <w:rPr>
                  <w:rStyle w:val="Hyperlink"/>
                  <w:rFonts w:ascii="Gill Sans" w:hAnsi="Gill Sans" w:cs="Gill Sans"/>
                  <w:szCs w:val="22"/>
                </w:rPr>
                <w:t>Learning to Learn’ in Higher Education</w:t>
              </w:r>
            </w:hyperlink>
            <w:r w:rsidRPr="00076E76">
              <w:rPr>
                <w:rFonts w:ascii="Gill Sans" w:hAnsi="Gill Sans" w:cs="Gill Sans"/>
                <w:szCs w:val="22"/>
              </w:rPr>
              <w:t xml:space="preserve">, </w:t>
            </w:r>
            <w:r w:rsidRPr="00076E76">
              <w:rPr>
                <w:rFonts w:ascii="Gill Sans" w:hAnsi="Gill Sans" w:cs="Gill Sans"/>
                <w:i/>
                <w:szCs w:val="22"/>
              </w:rPr>
              <w:t xml:space="preserve">Higher Education Quarterly, </w:t>
            </w:r>
            <w:r>
              <w:rPr>
                <w:rFonts w:ascii="Gill Sans" w:hAnsi="Gill Sans" w:cs="Gill Sans"/>
                <w:szCs w:val="22"/>
              </w:rPr>
              <w:t>61(3): 391–</w:t>
            </w:r>
            <w:r w:rsidRPr="00076E76">
              <w:rPr>
                <w:rFonts w:ascii="Gill Sans" w:hAnsi="Gill Sans" w:cs="Gill Sans"/>
                <w:szCs w:val="22"/>
              </w:rPr>
              <w:t>405.</w:t>
            </w:r>
          </w:p>
          <w:p w14:paraId="23949703" w14:textId="77777777" w:rsidR="00F934ED" w:rsidRPr="00076E76" w:rsidRDefault="00F934ED" w:rsidP="00F934ED">
            <w:pPr>
              <w:rPr>
                <w:rFonts w:ascii="Gill Sans" w:hAnsi="Gill Sans" w:cs="Gill Sans"/>
                <w:szCs w:val="22"/>
              </w:rPr>
            </w:pPr>
          </w:p>
          <w:p w14:paraId="66362E85" w14:textId="77777777" w:rsidR="00F934ED" w:rsidRDefault="00F934ED" w:rsidP="00F934ED">
            <w:pPr>
              <w:rPr>
                <w:rFonts w:ascii="Gill Sans" w:hAnsi="Gill Sans" w:cs="Gill Sans"/>
                <w:szCs w:val="22"/>
              </w:rPr>
            </w:pPr>
            <w:r w:rsidRPr="00076E76">
              <w:rPr>
                <w:rFonts w:ascii="Gill Sans" w:hAnsi="Gill Sans" w:cs="Gill Sans"/>
                <w:szCs w:val="22"/>
              </w:rPr>
              <w:t>UK</w:t>
            </w:r>
          </w:p>
          <w:p w14:paraId="47A37EE8"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1EDE83A4" w14:textId="167220D0" w:rsidR="00F934ED" w:rsidRPr="00076E76" w:rsidRDefault="00F934ED" w:rsidP="00F934ED">
            <w:pPr>
              <w:rPr>
                <w:rFonts w:ascii="Gill Sans" w:hAnsi="Gill Sans" w:cs="Gill Sans"/>
                <w:szCs w:val="22"/>
              </w:rPr>
            </w:pPr>
          </w:p>
        </w:tc>
        <w:tc>
          <w:tcPr>
            <w:tcW w:w="10064" w:type="dxa"/>
          </w:tcPr>
          <w:p w14:paraId="3361936B" w14:textId="024A6FAA" w:rsidR="00F934ED" w:rsidRPr="004A4973"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Pr>
                <w:rFonts w:ascii="Gill Sans" w:hAnsi="Gill Sans" w:cs="Gill Sans"/>
                <w:color w:val="000000"/>
                <w:szCs w:val="22"/>
                <w:lang w:val="en-AU"/>
              </w:rPr>
              <w:t>Focus on learning to learn for first year transition to higher education/ dominance of remedial, study skills approaches to supporting students/ critique of ‘skills’ approaches.</w:t>
            </w:r>
          </w:p>
          <w:p w14:paraId="41615121" w14:textId="09A91AFC" w:rsidR="00F934ED" w:rsidRPr="004A4973"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Pr>
                <w:rFonts w:ascii="Gill Sans" w:hAnsi="Gill Sans" w:cs="Gill Sans"/>
                <w:color w:val="000000"/>
                <w:szCs w:val="22"/>
                <w:lang w:val="en-AU"/>
              </w:rPr>
              <w:t>To propose a ‘comprehensive framework’ for supporting students to develop metacognitive practices to help with their transitions into university study</w:t>
            </w:r>
          </w:p>
          <w:p w14:paraId="4D722FFC" w14:textId="159316ED" w:rsidR="00F934ED" w:rsidRPr="00A931F7"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Theoretical frame:</w:t>
            </w:r>
            <w:r>
              <w:rPr>
                <w:rFonts w:ascii="Gill Sans" w:hAnsi="Gill Sans" w:cs="Gill Sans"/>
                <w:b/>
                <w:color w:val="000000"/>
                <w:szCs w:val="22"/>
                <w:lang w:val="en-AU"/>
              </w:rPr>
              <w:t xml:space="preserve"> </w:t>
            </w:r>
            <w:r>
              <w:rPr>
                <w:rFonts w:ascii="Gill Sans" w:hAnsi="Gill Sans" w:cs="Gill Sans"/>
                <w:color w:val="000000"/>
                <w:szCs w:val="22"/>
                <w:lang w:val="en-AU"/>
              </w:rPr>
              <w:t>Holistic view of higher education</w:t>
            </w:r>
          </w:p>
          <w:p w14:paraId="30A7BDF3" w14:textId="46E3381F" w:rsidR="00F934ED" w:rsidRPr="00A931F7"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Pr>
                <w:rFonts w:ascii="Gill Sans" w:hAnsi="Gill Sans" w:cs="Gill Sans"/>
                <w:color w:val="000000"/>
                <w:szCs w:val="22"/>
                <w:lang w:val="en-AU"/>
              </w:rPr>
              <w:t>Essay</w:t>
            </w:r>
          </w:p>
          <w:p w14:paraId="2B2E57D2" w14:textId="77777777" w:rsidR="00F934ED" w:rsidRDefault="00F934ED" w:rsidP="00F934ED">
            <w:pPr>
              <w:rPr>
                <w:rFonts w:ascii="Gill Sans" w:hAnsi="Gill Sans" w:cs="Gill Sans"/>
                <w:color w:val="000000"/>
                <w:szCs w:val="22"/>
              </w:rPr>
            </w:pPr>
            <w:r>
              <w:rPr>
                <w:rFonts w:ascii="Gill Sans" w:hAnsi="Gill Sans" w:cs="Gill Sans"/>
                <w:b/>
                <w:color w:val="000000"/>
                <w:szCs w:val="22"/>
                <w:lang w:val="en-AU"/>
              </w:rPr>
              <w:t xml:space="preserve">Discussion: </w:t>
            </w:r>
            <w:r>
              <w:rPr>
                <w:rFonts w:ascii="Gill Sans" w:hAnsi="Gill Sans" w:cs="Gill Sans"/>
                <w:color w:val="000000"/>
                <w:szCs w:val="22"/>
                <w:lang w:val="en-AU"/>
              </w:rPr>
              <w:t>Framework</w:t>
            </w:r>
            <w:r>
              <w:rPr>
                <w:rFonts w:ascii="Gill Sans" w:hAnsi="Gill Sans" w:cs="Gill Sans"/>
                <w:b/>
                <w:color w:val="000000"/>
                <w:szCs w:val="22"/>
                <w:lang w:val="en-AU"/>
              </w:rPr>
              <w:t xml:space="preserve"> </w:t>
            </w:r>
            <w:r>
              <w:rPr>
                <w:rFonts w:ascii="Gill Sans" w:hAnsi="Gill Sans" w:cs="Gill Sans"/>
                <w:color w:val="000000"/>
                <w:szCs w:val="22"/>
                <w:lang w:val="en-AU"/>
              </w:rPr>
              <w:t>developed on basis of two components of learning to learn so as “</w:t>
            </w:r>
            <w:r w:rsidRPr="00AB14B0">
              <w:rPr>
                <w:rFonts w:ascii="Gill Sans" w:hAnsi="Gill Sans" w:cs="Gill Sans"/>
                <w:color w:val="000000"/>
                <w:szCs w:val="22"/>
              </w:rPr>
              <w:t>to raise students’ awareness</w:t>
            </w:r>
            <w:r>
              <w:rPr>
                <w:rFonts w:ascii="Gill Sans" w:hAnsi="Gill Sans" w:cs="Gill Sans"/>
                <w:color w:val="000000"/>
                <w:szCs w:val="22"/>
              </w:rPr>
              <w:t xml:space="preserve"> </w:t>
            </w:r>
            <w:r w:rsidRPr="00AB14B0">
              <w:rPr>
                <w:rFonts w:ascii="Gill Sans" w:hAnsi="Gill Sans" w:cs="Gill Sans"/>
                <w:color w:val="000000"/>
                <w:szCs w:val="22"/>
              </w:rPr>
              <w:t>of conceptions of learning and knowledge, and of the expectations</w:t>
            </w:r>
            <w:r>
              <w:rPr>
                <w:rFonts w:ascii="Gill Sans" w:hAnsi="Gill Sans" w:cs="Gill Sans"/>
                <w:color w:val="000000"/>
                <w:szCs w:val="22"/>
              </w:rPr>
              <w:t xml:space="preserve"> </w:t>
            </w:r>
            <w:r w:rsidRPr="00AB14B0">
              <w:rPr>
                <w:rFonts w:ascii="Gill Sans" w:hAnsi="Gill Sans" w:cs="Gill Sans"/>
                <w:color w:val="000000"/>
                <w:szCs w:val="22"/>
              </w:rPr>
              <w:t>placed on them that are different from their previous educational</w:t>
            </w:r>
            <w:r>
              <w:rPr>
                <w:rFonts w:ascii="Gill Sans" w:hAnsi="Gill Sans" w:cs="Gill Sans"/>
                <w:color w:val="000000"/>
                <w:szCs w:val="22"/>
              </w:rPr>
              <w:t xml:space="preserve"> </w:t>
            </w:r>
            <w:r w:rsidRPr="00AB14B0">
              <w:rPr>
                <w:rFonts w:ascii="Gill Sans" w:hAnsi="Gill Sans" w:cs="Gill Sans"/>
                <w:color w:val="000000"/>
                <w:szCs w:val="22"/>
              </w:rPr>
              <w:t>experiences</w:t>
            </w:r>
            <w:r>
              <w:rPr>
                <w:rFonts w:ascii="Gill Sans" w:hAnsi="Gill Sans" w:cs="Gill Sans"/>
                <w:color w:val="000000"/>
                <w:szCs w:val="22"/>
              </w:rPr>
              <w:t>”: 1) personal development/ understanding the student’s experience/ reflective practice; 2) class time and lecturer input.</w:t>
            </w:r>
          </w:p>
          <w:p w14:paraId="596CE9F7" w14:textId="01F490DE" w:rsidR="00F934ED" w:rsidRPr="0025741D" w:rsidRDefault="00F934ED" w:rsidP="00F934ED">
            <w:pPr>
              <w:rPr>
                <w:rFonts w:ascii="Gill Sans" w:hAnsi="Gill Sans" w:cs="Gill Sans"/>
                <w:color w:val="000000"/>
                <w:szCs w:val="22"/>
                <w:lang w:val="en-AU"/>
              </w:rPr>
            </w:pPr>
            <w:r>
              <w:rPr>
                <w:rFonts w:ascii="Gill Sans" w:hAnsi="Gill Sans" w:cs="Gill Sans"/>
                <w:color w:val="000000"/>
                <w:szCs w:val="22"/>
              </w:rPr>
              <w:t>Author proposes four contexts where the framework can be applied: pre-induction, induction, personal tutorials, classrooms. The framework should be subject/discipline-specific. Detail of framework on p.401–402.</w:t>
            </w:r>
            <w:r w:rsidRPr="00076E76">
              <w:rPr>
                <w:rFonts w:ascii="Gill Sans" w:hAnsi="Gill Sans" w:cs="Gill Sans"/>
                <w:b/>
                <w:color w:val="000000"/>
                <w:szCs w:val="22"/>
                <w:lang w:val="en-AU"/>
              </w:rPr>
              <w:br/>
              <w:t>Core argument:</w:t>
            </w:r>
            <w:r>
              <w:rPr>
                <w:rFonts w:ascii="Gill Sans" w:hAnsi="Gill Sans" w:cs="Gill Sans"/>
                <w:b/>
                <w:color w:val="000000"/>
                <w:szCs w:val="22"/>
                <w:lang w:val="en-AU"/>
              </w:rPr>
              <w:t xml:space="preserve"> </w:t>
            </w:r>
            <w:r>
              <w:rPr>
                <w:rFonts w:ascii="Gill Sans" w:hAnsi="Gill Sans" w:cs="Gill Sans"/>
                <w:color w:val="000000"/>
                <w:szCs w:val="22"/>
                <w:lang w:val="en-AU"/>
              </w:rPr>
              <w:t>Learning to learn = “</w:t>
            </w:r>
            <w:r w:rsidRPr="0025741D">
              <w:rPr>
                <w:rFonts w:ascii="Gill Sans" w:hAnsi="Gill Sans" w:cs="Gill Sans"/>
                <w:color w:val="000000"/>
                <w:szCs w:val="22"/>
              </w:rPr>
              <w:t>giving</w:t>
            </w:r>
            <w:r>
              <w:rPr>
                <w:rFonts w:ascii="Gill Sans" w:hAnsi="Gill Sans" w:cs="Gill Sans"/>
                <w:color w:val="000000"/>
                <w:szCs w:val="22"/>
              </w:rPr>
              <w:t xml:space="preserve"> </w:t>
            </w:r>
            <w:r w:rsidRPr="0025741D">
              <w:rPr>
                <w:rFonts w:ascii="Gill Sans" w:hAnsi="Gill Sans" w:cs="Gill Sans"/>
                <w:color w:val="000000"/>
                <w:szCs w:val="22"/>
              </w:rPr>
              <w:t>students epistemological access, making them independent learners and</w:t>
            </w:r>
            <w:r>
              <w:rPr>
                <w:rFonts w:ascii="Gill Sans" w:hAnsi="Gill Sans" w:cs="Gill Sans"/>
                <w:color w:val="000000"/>
                <w:szCs w:val="22"/>
              </w:rPr>
              <w:t xml:space="preserve"> </w:t>
            </w:r>
            <w:r w:rsidRPr="0025741D">
              <w:rPr>
                <w:rFonts w:ascii="Gill Sans" w:hAnsi="Gill Sans" w:cs="Gill Sans"/>
                <w:color w:val="000000"/>
                <w:szCs w:val="22"/>
              </w:rPr>
              <w:t>making them competent in constructing knowledge in their discipline</w:t>
            </w:r>
            <w:r>
              <w:rPr>
                <w:rFonts w:ascii="Gill Sans" w:hAnsi="Gill Sans" w:cs="Gill Sans"/>
                <w:color w:val="000000"/>
                <w:szCs w:val="22"/>
              </w:rPr>
              <w:t>” (p.403)</w:t>
            </w:r>
          </w:p>
        </w:tc>
      </w:tr>
      <w:tr w:rsidR="00F934ED" w:rsidRPr="00076E76" w14:paraId="65B42DA3" w14:textId="77777777" w:rsidTr="00090CFF">
        <w:trPr>
          <w:trHeight w:val="983"/>
        </w:trPr>
        <w:tc>
          <w:tcPr>
            <w:tcW w:w="5529" w:type="dxa"/>
          </w:tcPr>
          <w:p w14:paraId="0E4AA432" w14:textId="4331EE62" w:rsidR="00F934ED" w:rsidRPr="00076E76" w:rsidRDefault="00F934ED" w:rsidP="00F934ED">
            <w:pPr>
              <w:rPr>
                <w:rFonts w:ascii="Gill Sans" w:hAnsi="Gill Sans" w:cs="Gill Sans"/>
                <w:szCs w:val="22"/>
              </w:rPr>
            </w:pPr>
            <w:proofErr w:type="spellStart"/>
            <w:r w:rsidRPr="00076E76">
              <w:rPr>
                <w:rFonts w:ascii="Gill Sans" w:hAnsi="Gill Sans" w:cs="Gill Sans"/>
                <w:szCs w:val="22"/>
              </w:rPr>
              <w:lastRenderedPageBreak/>
              <w:t>Wisker</w:t>
            </w:r>
            <w:proofErr w:type="spellEnd"/>
            <w:r w:rsidRPr="00076E76">
              <w:rPr>
                <w:rFonts w:ascii="Gill Sans" w:hAnsi="Gill Sans" w:cs="Gill Sans"/>
                <w:szCs w:val="22"/>
              </w:rPr>
              <w:t xml:space="preserve">, G. &amp; </w:t>
            </w:r>
            <w:proofErr w:type="spellStart"/>
            <w:r w:rsidRPr="00076E76">
              <w:rPr>
                <w:rFonts w:ascii="Gill Sans" w:hAnsi="Gill Sans" w:cs="Gill Sans"/>
                <w:szCs w:val="22"/>
              </w:rPr>
              <w:t>Savin</w:t>
            </w:r>
            <w:proofErr w:type="spellEnd"/>
            <w:r w:rsidRPr="00076E76">
              <w:rPr>
                <w:rFonts w:ascii="Gill Sans" w:hAnsi="Gill Sans" w:cs="Gill Sans"/>
                <w:szCs w:val="22"/>
              </w:rPr>
              <w:t xml:space="preserve">-Baden, M. (2009). </w:t>
            </w:r>
            <w:hyperlink r:id="rId141" w:history="1">
              <w:r w:rsidRPr="000D64DB">
                <w:rPr>
                  <w:rStyle w:val="Hyperlink"/>
                  <w:rFonts w:ascii="Gill Sans" w:hAnsi="Gill Sans" w:cs="Gill Sans"/>
                  <w:szCs w:val="22"/>
                </w:rPr>
                <w:t>Priceless conceptual thresholds: beyond the ‘stuck place’ in writing</w:t>
              </w:r>
            </w:hyperlink>
            <w:r w:rsidRPr="00076E76">
              <w:rPr>
                <w:rFonts w:ascii="Gill Sans" w:hAnsi="Gill Sans" w:cs="Gill Sans"/>
                <w:szCs w:val="22"/>
              </w:rPr>
              <w:t xml:space="preserve">, </w:t>
            </w:r>
            <w:r w:rsidRPr="00076E76">
              <w:rPr>
                <w:rFonts w:ascii="Gill Sans" w:hAnsi="Gill Sans" w:cs="Gill Sans"/>
                <w:i/>
                <w:szCs w:val="22"/>
              </w:rPr>
              <w:t>London Review of Education</w:t>
            </w:r>
            <w:r>
              <w:rPr>
                <w:rFonts w:ascii="Gill Sans" w:hAnsi="Gill Sans" w:cs="Gill Sans"/>
                <w:szCs w:val="22"/>
              </w:rPr>
              <w:t>, 7(3), 235–</w:t>
            </w:r>
            <w:r w:rsidRPr="00076E76">
              <w:rPr>
                <w:rFonts w:ascii="Gill Sans" w:hAnsi="Gill Sans" w:cs="Gill Sans"/>
                <w:szCs w:val="22"/>
              </w:rPr>
              <w:t>247.</w:t>
            </w:r>
          </w:p>
          <w:p w14:paraId="211C6E7E" w14:textId="77777777" w:rsidR="00F934ED" w:rsidRPr="00076E76" w:rsidRDefault="00F934ED" w:rsidP="00F934ED">
            <w:pPr>
              <w:rPr>
                <w:rFonts w:ascii="Gill Sans" w:hAnsi="Gill Sans" w:cs="Gill Sans"/>
                <w:szCs w:val="22"/>
              </w:rPr>
            </w:pPr>
          </w:p>
          <w:p w14:paraId="6600BAB5" w14:textId="45079DF4" w:rsidR="00F934ED" w:rsidRPr="00076E76" w:rsidRDefault="00F934ED" w:rsidP="00F934ED">
            <w:pPr>
              <w:rPr>
                <w:rFonts w:ascii="Gill Sans" w:hAnsi="Gill Sans" w:cs="Gill Sans"/>
                <w:szCs w:val="22"/>
              </w:rPr>
            </w:pPr>
            <w:r w:rsidRPr="00076E76">
              <w:rPr>
                <w:rFonts w:ascii="Gill Sans" w:hAnsi="Gill Sans" w:cs="Gill Sans"/>
                <w:szCs w:val="22"/>
              </w:rPr>
              <w:t>UK</w:t>
            </w:r>
          </w:p>
          <w:p w14:paraId="4F4DFCE2"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01A304ED" w14:textId="77777777" w:rsidR="00F934ED" w:rsidRPr="00076E76" w:rsidRDefault="00F934ED" w:rsidP="00F934ED">
            <w:pPr>
              <w:rPr>
                <w:rFonts w:ascii="Gill Sans" w:hAnsi="Gill Sans" w:cs="Gill Sans"/>
                <w:szCs w:val="22"/>
              </w:rPr>
            </w:pPr>
          </w:p>
          <w:p w14:paraId="0E7AC95D" w14:textId="134E138F" w:rsidR="00F934ED" w:rsidRPr="00076E76" w:rsidRDefault="00F934ED" w:rsidP="00F934ED">
            <w:pPr>
              <w:rPr>
                <w:rFonts w:ascii="Gill Sans" w:hAnsi="Gill Sans" w:cs="Gill Sans"/>
                <w:szCs w:val="22"/>
              </w:rPr>
            </w:pPr>
            <w:r w:rsidRPr="00076E76">
              <w:rPr>
                <w:rFonts w:ascii="Gill Sans" w:hAnsi="Gill Sans" w:cs="Gill Sans"/>
                <w:szCs w:val="22"/>
              </w:rPr>
              <w:t xml:space="preserve">Keywords: </w:t>
            </w:r>
            <w:r w:rsidRPr="00076E76">
              <w:rPr>
                <w:rFonts w:ascii="Gill Sans" w:hAnsi="Gill Sans" w:cs="Gill Sans"/>
                <w:i/>
                <w:szCs w:val="22"/>
              </w:rPr>
              <w:t>academic writing; conceptual thresholds; development</w:t>
            </w:r>
          </w:p>
        </w:tc>
        <w:tc>
          <w:tcPr>
            <w:tcW w:w="10064" w:type="dxa"/>
          </w:tcPr>
          <w:p w14:paraId="6109DEAA" w14:textId="63F86D76"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sidRPr="00076E76">
              <w:rPr>
                <w:rFonts w:ascii="Gill Sans" w:hAnsi="Gill Sans" w:cs="Gill Sans"/>
                <w:color w:val="000000"/>
                <w:szCs w:val="22"/>
                <w:lang w:val="en-AU"/>
              </w:rPr>
              <w:t>Examines notion of threshold crossing = “</w:t>
            </w:r>
            <w:r w:rsidRPr="00076E76">
              <w:rPr>
                <w:rFonts w:ascii="Gill Sans" w:hAnsi="Gill Sans" w:cs="Gill Sans"/>
                <w:color w:val="000000"/>
                <w:szCs w:val="22"/>
              </w:rPr>
              <w:t>moments of moving through and beyond the ‘stuck’ places, through liminal spaces of change and development” (p.235)</w:t>
            </w:r>
            <w:r w:rsidRPr="00076E76">
              <w:rPr>
                <w:rFonts w:ascii="Gill Sans" w:hAnsi="Gill Sans" w:cs="Gill Sans"/>
                <w:color w:val="000000"/>
                <w:szCs w:val="22"/>
                <w:lang w:val="en-AU"/>
              </w:rPr>
              <w:t xml:space="preserve"> in context of doctoral writing, and ‘stuck moments’ (Lather, 1998) or </w:t>
            </w:r>
            <w:proofErr w:type="spellStart"/>
            <w:r w:rsidRPr="00076E76">
              <w:rPr>
                <w:rFonts w:ascii="Gill Sans" w:hAnsi="Gill Sans" w:cs="Gill Sans"/>
                <w:color w:val="000000"/>
                <w:szCs w:val="22"/>
                <w:lang w:val="en-AU"/>
              </w:rPr>
              <w:t>preliminarity</w:t>
            </w:r>
            <w:proofErr w:type="spellEnd"/>
            <w:r w:rsidRPr="00076E76">
              <w:rPr>
                <w:rFonts w:ascii="Gill Sans" w:hAnsi="Gill Sans" w:cs="Gill Sans"/>
                <w:color w:val="000000"/>
                <w:szCs w:val="22"/>
                <w:lang w:val="en-AU"/>
              </w:rPr>
              <w:t xml:space="preserve"> before transformation into embodied, articulated writing.</w:t>
            </w:r>
          </w:p>
          <w:p w14:paraId="52B014B8" w14:textId="77777777"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sidRPr="00076E76">
              <w:rPr>
                <w:rFonts w:ascii="Gill Sans" w:hAnsi="Gill Sans" w:cs="Gill Sans"/>
                <w:color w:val="000000"/>
                <w:szCs w:val="22"/>
                <w:lang w:val="en-AU"/>
              </w:rPr>
              <w:t>To answer these RQs:</w:t>
            </w:r>
          </w:p>
          <w:p w14:paraId="180B1722" w14:textId="6D3620B8"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rPr>
              <w:t>(1) Identify significant factors \ of the processes and practices that could facilitate (1) the management and overcoming of barriers to writing; (2) overcoming and getting through ‘stuck’ places towards the achievement of the writers’ own voices; and (3) successfully articulating through writing.</w:t>
            </w:r>
          </w:p>
          <w:p w14:paraId="56E83BCE" w14:textId="50923059"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rPr>
              <w:t>(2) Isolate factors that contribute towards ‘</w:t>
            </w:r>
            <w:proofErr w:type="spellStart"/>
            <w:r w:rsidRPr="00076E76">
              <w:rPr>
                <w:rFonts w:ascii="Gill Sans" w:hAnsi="Gill Sans" w:cs="Gill Sans"/>
                <w:color w:val="000000"/>
                <w:szCs w:val="22"/>
              </w:rPr>
              <w:t>stuckness</w:t>
            </w:r>
            <w:proofErr w:type="spellEnd"/>
            <w:r w:rsidRPr="00076E76">
              <w:rPr>
                <w:rFonts w:ascii="Gill Sans" w:hAnsi="Gill Sans" w:cs="Gill Sans"/>
                <w:color w:val="000000"/>
                <w:szCs w:val="22"/>
              </w:rPr>
              <w:t xml:space="preserve">’: </w:t>
            </w:r>
          </w:p>
          <w:p w14:paraId="2E297368" w14:textId="1355A9C4"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rPr>
              <w:t>(3) Locate and identify strategies for overcoming ‘</w:t>
            </w:r>
            <w:proofErr w:type="spellStart"/>
            <w:r w:rsidRPr="00076E76">
              <w:rPr>
                <w:rFonts w:ascii="Gill Sans" w:hAnsi="Gill Sans" w:cs="Gill Sans"/>
                <w:color w:val="000000"/>
                <w:szCs w:val="22"/>
              </w:rPr>
              <w:t>stuckness</w:t>
            </w:r>
            <w:proofErr w:type="spellEnd"/>
            <w:r w:rsidRPr="00076E76">
              <w:rPr>
                <w:rFonts w:ascii="Gill Sans" w:hAnsi="Gill Sans" w:cs="Gill Sans"/>
                <w:color w:val="000000"/>
                <w:szCs w:val="22"/>
              </w:rPr>
              <w:t>’ and for developing confidence in articulation through writing</w:t>
            </w:r>
          </w:p>
          <w:p w14:paraId="109F9333" w14:textId="0ABBAF88"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rPr>
              <w:t>(4) Identify the kinds of strategies that are re-employed if and when ‘</w:t>
            </w:r>
            <w:proofErr w:type="spellStart"/>
            <w:r w:rsidRPr="00076E76">
              <w:rPr>
                <w:rFonts w:ascii="Gill Sans" w:hAnsi="Gill Sans" w:cs="Gill Sans"/>
                <w:color w:val="000000"/>
                <w:szCs w:val="22"/>
              </w:rPr>
              <w:t>stuckness</w:t>
            </w:r>
            <w:proofErr w:type="spellEnd"/>
            <w:r w:rsidRPr="00076E76">
              <w:rPr>
                <w:rFonts w:ascii="Gill Sans" w:hAnsi="Gill Sans" w:cs="Gill Sans"/>
                <w:color w:val="000000"/>
                <w:szCs w:val="22"/>
              </w:rPr>
              <w:t xml:space="preserve">’ occurs again, and what new strategies are developed. </w:t>
            </w:r>
          </w:p>
          <w:p w14:paraId="4817C570" w14:textId="3859442A"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Theoretical frame: </w:t>
            </w:r>
            <w:r w:rsidRPr="00076E76">
              <w:rPr>
                <w:rFonts w:ascii="Gill Sans" w:hAnsi="Gill Sans" w:cs="Gill Sans"/>
                <w:color w:val="000000"/>
                <w:szCs w:val="22"/>
                <w:lang w:val="en-AU"/>
              </w:rPr>
              <w:t>Writing process (cites Lea, 1999 and Ivanic, 1998) – writing through and finishing; threshold concepts (Land &amp; Meyer, 2006)</w:t>
            </w:r>
          </w:p>
          <w:p w14:paraId="52FE376C" w14:textId="5667D66A"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Narrative inquiry: semi-structured interviews (40 staff, 20 students)</w:t>
            </w:r>
          </w:p>
          <w:p w14:paraId="3945326D" w14:textId="77777777" w:rsidR="00F934ED" w:rsidRPr="00076E76" w:rsidRDefault="00F934ED" w:rsidP="00F934ED">
            <w:pPr>
              <w:rPr>
                <w:rFonts w:ascii="Gill Sans" w:hAnsi="Gill Sans" w:cs="Gill Sans"/>
                <w:color w:val="000000"/>
                <w:szCs w:val="22"/>
              </w:rPr>
            </w:pPr>
            <w:r w:rsidRPr="00076E76">
              <w:rPr>
                <w:rFonts w:ascii="Gill Sans" w:hAnsi="Gill Sans" w:cs="Gill Sans"/>
                <w:b/>
                <w:color w:val="000000"/>
                <w:szCs w:val="22"/>
                <w:lang w:val="en-AU"/>
              </w:rPr>
              <w:t xml:space="preserve">Findings: </w:t>
            </w:r>
            <w:r w:rsidRPr="00076E76">
              <w:rPr>
                <w:rFonts w:ascii="Gill Sans" w:hAnsi="Gill Sans" w:cs="Gill Sans"/>
                <w:color w:val="000000"/>
                <w:szCs w:val="22"/>
                <w:lang w:val="en-AU"/>
              </w:rPr>
              <w:t>Perception of participants that ‘stuck places’ = necessary and sometimes helpful stages of writing process. Two classifications: 1) ontological insecurity; 2) “</w:t>
            </w:r>
            <w:r w:rsidRPr="00076E76">
              <w:rPr>
                <w:rFonts w:ascii="Gill Sans" w:hAnsi="Gill Sans" w:cs="Gill Sans"/>
                <w:color w:val="000000"/>
                <w:szCs w:val="22"/>
              </w:rPr>
              <w:t xml:space="preserve">Levers through the conceptual threshold: (a) patchwriting; (b) valuing </w:t>
            </w:r>
            <w:proofErr w:type="spellStart"/>
            <w:r w:rsidRPr="00076E76">
              <w:rPr>
                <w:rFonts w:ascii="Gill Sans" w:hAnsi="Gill Sans" w:cs="Gill Sans"/>
                <w:color w:val="000000"/>
                <w:szCs w:val="22"/>
              </w:rPr>
              <w:t>preliminality</w:t>
            </w:r>
            <w:proofErr w:type="spellEnd"/>
            <w:r w:rsidRPr="00076E76">
              <w:rPr>
                <w:rFonts w:ascii="Gill Sans" w:hAnsi="Gill Sans" w:cs="Gill Sans"/>
                <w:color w:val="000000"/>
                <w:szCs w:val="22"/>
              </w:rPr>
              <w:t>; (c) the vision of a possible movement through a portal” (p.241).</w:t>
            </w:r>
          </w:p>
          <w:p w14:paraId="3C3F4921" w14:textId="7777777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rPr>
              <w:t>Ontological insecurity = questioning relationship between self to real world (related to identity and security): “feeling troubled and insecure in one’s sense of being in the world” (p.241) – about being recognized and self-recognition as a writer [similar to imposter syndrome?]</w:t>
            </w:r>
          </w:p>
          <w:p w14:paraId="5C5B1CFC" w14:textId="77777777" w:rsidR="00F934ED" w:rsidRPr="00076E76" w:rsidRDefault="00F934ED" w:rsidP="00F934ED">
            <w:pPr>
              <w:rPr>
                <w:rFonts w:ascii="Gill Sans" w:hAnsi="Gill Sans" w:cs="Gill Sans"/>
                <w:color w:val="000000"/>
                <w:szCs w:val="22"/>
              </w:rPr>
            </w:pPr>
            <w:r w:rsidRPr="00076E76">
              <w:rPr>
                <w:rFonts w:ascii="Gill Sans" w:hAnsi="Gill Sans" w:cs="Gill Sans"/>
                <w:color w:val="000000"/>
                <w:szCs w:val="22"/>
              </w:rPr>
              <w:t xml:space="preserve">Strategies/ levers = patchwriting (see p.242-3); valuing </w:t>
            </w:r>
            <w:proofErr w:type="spellStart"/>
            <w:r w:rsidRPr="00076E76">
              <w:rPr>
                <w:rFonts w:ascii="Gill Sans" w:hAnsi="Gill Sans" w:cs="Gill Sans"/>
                <w:color w:val="000000"/>
                <w:szCs w:val="22"/>
              </w:rPr>
              <w:t>preliminarity</w:t>
            </w:r>
            <w:proofErr w:type="spellEnd"/>
            <w:r w:rsidRPr="00076E76">
              <w:rPr>
                <w:rFonts w:ascii="Gill Sans" w:hAnsi="Gill Sans" w:cs="Gill Sans"/>
                <w:color w:val="000000"/>
                <w:szCs w:val="22"/>
              </w:rPr>
              <w:t xml:space="preserve"> (normal part of process, space for reflection).</w:t>
            </w:r>
          </w:p>
          <w:p w14:paraId="178BB53A" w14:textId="36F15D0C"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rPr>
              <w:t>Discussion of writer’s block (p.244-5)</w:t>
            </w:r>
          </w:p>
        </w:tc>
      </w:tr>
      <w:tr w:rsidR="00F934ED" w:rsidRPr="00076E76" w14:paraId="15CAD952" w14:textId="77777777" w:rsidTr="00243CBC">
        <w:trPr>
          <w:trHeight w:val="557"/>
        </w:trPr>
        <w:tc>
          <w:tcPr>
            <w:tcW w:w="5529" w:type="dxa"/>
          </w:tcPr>
          <w:p w14:paraId="2B5D348D" w14:textId="18AAD8D6" w:rsidR="00F934ED" w:rsidRDefault="00F934ED" w:rsidP="00F934ED">
            <w:pPr>
              <w:autoSpaceDE w:val="0"/>
              <w:autoSpaceDN w:val="0"/>
              <w:adjustRightInd w:val="0"/>
              <w:rPr>
                <w:rFonts w:ascii="Gill Sans" w:hAnsi="Gill Sans" w:cs="Gill Sans"/>
                <w:lang w:val="en-GB"/>
              </w:rPr>
            </w:pPr>
            <w:r>
              <w:rPr>
                <w:rFonts w:ascii="Gill Sans" w:hAnsi="Gill Sans" w:cs="Gill Sans"/>
                <w:lang w:val="en-GB"/>
              </w:rPr>
              <w:t xml:space="preserve">Wong, B. (2018). </w:t>
            </w:r>
            <w:hyperlink r:id="rId142" w:history="1">
              <w:r w:rsidRPr="000D64DB">
                <w:rPr>
                  <w:rStyle w:val="Hyperlink"/>
                  <w:rFonts w:ascii="Gill Sans" w:hAnsi="Gill Sans" w:cs="Gill Sans"/>
                  <w:lang w:val="en-GB"/>
                </w:rPr>
                <w:t xml:space="preserve">By Chance or by </w:t>
              </w:r>
              <w:proofErr w:type="gramStart"/>
              <w:r w:rsidRPr="000D64DB">
                <w:rPr>
                  <w:rStyle w:val="Hyperlink"/>
                  <w:rFonts w:ascii="Gill Sans" w:hAnsi="Gill Sans" w:cs="Gill Sans"/>
                  <w:lang w:val="en-GB"/>
                </w:rPr>
                <w:t>Plan?:</w:t>
              </w:r>
              <w:proofErr w:type="gramEnd"/>
              <w:r w:rsidRPr="000D64DB">
                <w:rPr>
                  <w:rStyle w:val="Hyperlink"/>
                  <w:rFonts w:ascii="Gill Sans" w:hAnsi="Gill Sans" w:cs="Gill Sans"/>
                  <w:lang w:val="en-GB"/>
                </w:rPr>
                <w:t xml:space="preserve"> The Academic Success of </w:t>
              </w:r>
              <w:proofErr w:type="spellStart"/>
              <w:r w:rsidRPr="000D64DB">
                <w:rPr>
                  <w:rStyle w:val="Hyperlink"/>
                  <w:rFonts w:ascii="Gill Sans" w:hAnsi="Gill Sans" w:cs="Gill Sans"/>
                  <w:lang w:val="en-GB"/>
                </w:rPr>
                <w:t>Nontraditional</w:t>
              </w:r>
              <w:proofErr w:type="spellEnd"/>
              <w:r w:rsidRPr="000D64DB">
                <w:rPr>
                  <w:rStyle w:val="Hyperlink"/>
                  <w:rFonts w:ascii="Gill Sans" w:hAnsi="Gill Sans" w:cs="Gill Sans"/>
                  <w:lang w:val="en-GB"/>
                </w:rPr>
                <w:t xml:space="preserve"> Students in Higher Education</w:t>
              </w:r>
            </w:hyperlink>
            <w:r>
              <w:rPr>
                <w:rFonts w:ascii="Gill Sans" w:hAnsi="Gill Sans" w:cs="Gill Sans"/>
                <w:lang w:val="en-GB"/>
              </w:rPr>
              <w:t xml:space="preserve">, </w:t>
            </w:r>
            <w:r w:rsidRPr="00454EC3">
              <w:rPr>
                <w:rFonts w:ascii="Gill Sans" w:hAnsi="Gill Sans" w:cs="Gill Sans"/>
                <w:i/>
                <w:lang w:val="en-GB"/>
              </w:rPr>
              <w:t>AERA Open</w:t>
            </w:r>
            <w:r>
              <w:rPr>
                <w:rFonts w:ascii="Gill Sans" w:hAnsi="Gill Sans" w:cs="Gill Sans"/>
                <w:lang w:val="en-GB"/>
              </w:rPr>
              <w:t>, 4(2), 1–14.</w:t>
            </w:r>
          </w:p>
          <w:p w14:paraId="31B5BED8" w14:textId="77777777" w:rsidR="00F934ED" w:rsidRDefault="00F934ED" w:rsidP="00F934ED">
            <w:pPr>
              <w:autoSpaceDE w:val="0"/>
              <w:autoSpaceDN w:val="0"/>
              <w:adjustRightInd w:val="0"/>
              <w:rPr>
                <w:rFonts w:ascii="Gill Sans" w:hAnsi="Gill Sans" w:cs="Gill Sans"/>
                <w:lang w:val="en-GB"/>
              </w:rPr>
            </w:pPr>
          </w:p>
          <w:p w14:paraId="24673219" w14:textId="77777777" w:rsidR="00F934ED" w:rsidRDefault="00F934ED" w:rsidP="00F934ED">
            <w:pPr>
              <w:autoSpaceDE w:val="0"/>
              <w:autoSpaceDN w:val="0"/>
              <w:adjustRightInd w:val="0"/>
              <w:rPr>
                <w:rFonts w:ascii="Gill Sans" w:hAnsi="Gill Sans" w:cs="Gill Sans"/>
                <w:lang w:val="en-GB"/>
              </w:rPr>
            </w:pPr>
            <w:r>
              <w:rPr>
                <w:rFonts w:ascii="Gill Sans" w:hAnsi="Gill Sans" w:cs="Gill Sans"/>
                <w:lang w:val="en-GB"/>
              </w:rPr>
              <w:t>UK</w:t>
            </w:r>
          </w:p>
          <w:p w14:paraId="25F9A374" w14:textId="77777777" w:rsidR="00F934ED" w:rsidRDefault="00F934ED" w:rsidP="00F934ED">
            <w:pPr>
              <w:autoSpaceDE w:val="0"/>
              <w:autoSpaceDN w:val="0"/>
              <w:adjustRightInd w:val="0"/>
              <w:rPr>
                <w:rFonts w:ascii="Gill Sans" w:hAnsi="Gill Sans" w:cs="Gill Sans"/>
                <w:lang w:val="en-GB"/>
              </w:rPr>
            </w:pPr>
            <w:r>
              <w:rPr>
                <w:rFonts w:ascii="Gill Sans" w:hAnsi="Gill Sans" w:cs="Gill Sans"/>
                <w:lang w:val="en-GB"/>
              </w:rPr>
              <w:t>Annotation written by Sally Baker</w:t>
            </w:r>
          </w:p>
          <w:p w14:paraId="75005FB8" w14:textId="77777777" w:rsidR="00F934ED" w:rsidRDefault="00F934ED" w:rsidP="00F934ED">
            <w:pPr>
              <w:autoSpaceDE w:val="0"/>
              <w:autoSpaceDN w:val="0"/>
              <w:adjustRightInd w:val="0"/>
              <w:rPr>
                <w:rFonts w:ascii="Gill Sans" w:hAnsi="Gill Sans" w:cs="Gill Sans"/>
                <w:lang w:val="en-GB"/>
              </w:rPr>
            </w:pPr>
          </w:p>
          <w:p w14:paraId="243EC24D" w14:textId="2A651A18" w:rsidR="00F934ED" w:rsidRPr="00076E76" w:rsidRDefault="00F934ED" w:rsidP="00F934ED">
            <w:pPr>
              <w:rPr>
                <w:rFonts w:ascii="Gill Sans" w:hAnsi="Gill Sans" w:cs="Gill Sans"/>
                <w:szCs w:val="22"/>
              </w:rPr>
            </w:pPr>
            <w:r>
              <w:rPr>
                <w:rFonts w:ascii="Gill Sans" w:hAnsi="Gill Sans" w:cs="Gill Sans"/>
                <w:lang w:val="en-GB"/>
              </w:rPr>
              <w:t xml:space="preserve">Keywords: </w:t>
            </w:r>
            <w:r w:rsidRPr="00454EC3">
              <w:rPr>
                <w:rFonts w:ascii="Gill Sans" w:hAnsi="Gill Sans" w:cs="Gill Sans"/>
                <w:i/>
              </w:rPr>
              <w:t xml:space="preserve">high achiever, nontraditional student, educational </w:t>
            </w:r>
            <w:r w:rsidRPr="00454EC3">
              <w:rPr>
                <w:rFonts w:ascii="Gill Sans" w:hAnsi="Gill Sans" w:cs="Gill Sans"/>
                <w:i/>
              </w:rPr>
              <w:lastRenderedPageBreak/>
              <w:t>capital, happenstance</w:t>
            </w:r>
          </w:p>
        </w:tc>
        <w:tc>
          <w:tcPr>
            <w:tcW w:w="10064" w:type="dxa"/>
          </w:tcPr>
          <w:p w14:paraId="03A6D520" w14:textId="77777777" w:rsidR="00F934ED" w:rsidRPr="004E32E5" w:rsidRDefault="00F934ED" w:rsidP="00F934ED">
            <w:pPr>
              <w:rPr>
                <w:rFonts w:ascii="Gill Sans" w:hAnsi="Gill Sans" w:cs="Gill Sans"/>
                <w:color w:val="000000"/>
              </w:rPr>
            </w:pPr>
            <w:r>
              <w:rPr>
                <w:rFonts w:ascii="Gill Sans" w:hAnsi="Gill Sans" w:cs="Gill Sans"/>
                <w:b/>
                <w:color w:val="000000"/>
              </w:rPr>
              <w:lastRenderedPageBreak/>
              <w:t xml:space="preserve">Context: </w:t>
            </w:r>
            <w:r>
              <w:rPr>
                <w:rFonts w:ascii="Gill Sans" w:hAnsi="Gill Sans" w:cs="Gill Sans"/>
                <w:color w:val="000000"/>
              </w:rPr>
              <w:t>Higher class students are more likely to get a first-class degree in the UK than ‘non-traditional’ students (</w:t>
            </w:r>
            <w:r w:rsidRPr="00387BEE">
              <w:rPr>
                <w:rFonts w:ascii="Gill Sans" w:hAnsi="Gill Sans" w:cs="Gill Sans"/>
                <w:color w:val="000000"/>
              </w:rPr>
              <w:t>working-class, minority ethnic,</w:t>
            </w:r>
            <w:r>
              <w:rPr>
                <w:rFonts w:ascii="Gill Sans" w:hAnsi="Gill Sans" w:cs="Gill Sans"/>
                <w:color w:val="000000"/>
              </w:rPr>
              <w:t xml:space="preserve"> and/or mature students)</w:t>
            </w:r>
          </w:p>
          <w:p w14:paraId="324AEE43" w14:textId="77777777" w:rsidR="00F934ED" w:rsidRPr="004E32E5" w:rsidRDefault="00F934ED" w:rsidP="00F934ED">
            <w:pPr>
              <w:rPr>
                <w:rFonts w:ascii="Gill Sans" w:hAnsi="Gill Sans" w:cs="Gill Sans"/>
                <w:color w:val="000000"/>
              </w:rPr>
            </w:pPr>
            <w:r>
              <w:rPr>
                <w:rFonts w:ascii="Gill Sans" w:hAnsi="Gill Sans" w:cs="Gill Sans"/>
                <w:b/>
                <w:color w:val="000000"/>
              </w:rPr>
              <w:t xml:space="preserve">Aim: </w:t>
            </w:r>
            <w:r>
              <w:rPr>
                <w:rFonts w:ascii="Gill Sans" w:hAnsi="Gill Sans" w:cs="Gill Sans"/>
                <w:color w:val="000000"/>
              </w:rPr>
              <w:t>To explore the experiences and trajectories of ‘high achieving non-traditional students’ (HANTS) so as to “</w:t>
            </w:r>
            <w:r w:rsidRPr="00B71058">
              <w:rPr>
                <w:rFonts w:ascii="Gill Sans" w:hAnsi="Gill Sans" w:cs="Gill Sans"/>
                <w:color w:val="000000"/>
              </w:rPr>
              <w:t>potentially amplify the collective experiences that have contributed</w:t>
            </w:r>
            <w:r>
              <w:rPr>
                <w:rFonts w:ascii="Gill Sans" w:hAnsi="Gill Sans" w:cs="Gill Sans"/>
                <w:color w:val="000000"/>
              </w:rPr>
              <w:t xml:space="preserve"> </w:t>
            </w:r>
            <w:r w:rsidRPr="00B71058">
              <w:rPr>
                <w:rFonts w:ascii="Gill Sans" w:hAnsi="Gill Sans" w:cs="Gill Sans"/>
                <w:color w:val="000000"/>
              </w:rPr>
              <w:t>to their educational achievements for a wider range</w:t>
            </w:r>
            <w:r>
              <w:rPr>
                <w:rFonts w:ascii="Gill Sans" w:hAnsi="Gill Sans" w:cs="Gill Sans"/>
                <w:color w:val="000000"/>
              </w:rPr>
              <w:t xml:space="preserve"> </w:t>
            </w:r>
            <w:r w:rsidRPr="00B71058">
              <w:rPr>
                <w:rFonts w:ascii="Gill Sans" w:hAnsi="Gill Sans" w:cs="Gill Sans"/>
                <w:color w:val="000000"/>
              </w:rPr>
              <w:t>of students</w:t>
            </w:r>
            <w:r>
              <w:rPr>
                <w:rFonts w:ascii="Gill Sans" w:hAnsi="Gill Sans" w:cs="Gill Sans"/>
                <w:color w:val="000000"/>
              </w:rPr>
              <w:t>” (p.1).</w:t>
            </w:r>
          </w:p>
          <w:p w14:paraId="7FA35EAC" w14:textId="77777777" w:rsidR="00F934ED" w:rsidRPr="004E32E5" w:rsidRDefault="00F934ED" w:rsidP="00F934ED">
            <w:pPr>
              <w:rPr>
                <w:rFonts w:ascii="Gill Sans" w:hAnsi="Gill Sans" w:cs="Gill Sans"/>
                <w:color w:val="000000"/>
              </w:rPr>
            </w:pPr>
            <w:r>
              <w:rPr>
                <w:rFonts w:ascii="Gill Sans" w:hAnsi="Gill Sans" w:cs="Gill Sans"/>
                <w:b/>
                <w:color w:val="000000"/>
              </w:rPr>
              <w:t xml:space="preserve">Theoretical frame: </w:t>
            </w:r>
            <w:r>
              <w:rPr>
                <w:rFonts w:ascii="Gill Sans" w:hAnsi="Gill Sans" w:cs="Gill Sans"/>
                <w:color w:val="000000"/>
              </w:rPr>
              <w:t>Bourdieu: field, habitus and capital</w:t>
            </w:r>
          </w:p>
          <w:p w14:paraId="3973E0A0" w14:textId="77777777" w:rsidR="00F934ED" w:rsidRPr="007D49F0" w:rsidRDefault="00F934ED" w:rsidP="00F934ED">
            <w:pPr>
              <w:rPr>
                <w:rFonts w:ascii="Gill Sans" w:hAnsi="Gill Sans" w:cs="Gill Sans"/>
                <w:color w:val="000000"/>
              </w:rPr>
            </w:pPr>
            <w:r>
              <w:rPr>
                <w:rFonts w:ascii="Gill Sans" w:hAnsi="Gill Sans" w:cs="Gill Sans"/>
                <w:b/>
                <w:color w:val="000000"/>
              </w:rPr>
              <w:t xml:space="preserve">Methodology: </w:t>
            </w:r>
            <w:r>
              <w:rPr>
                <w:rFonts w:ascii="Gill Sans" w:hAnsi="Gill Sans" w:cs="Gill Sans"/>
                <w:color w:val="000000"/>
              </w:rPr>
              <w:t xml:space="preserve">In-depth narrative case study with first-in-family HANTS (n=30); interviews explored educational biographies and lived experiences of higher education and pathways to academic success. </w:t>
            </w:r>
            <w:r>
              <w:rPr>
                <w:rFonts w:ascii="Gill Sans" w:hAnsi="Gill Sans" w:cs="Gill Sans"/>
                <w:color w:val="000000"/>
              </w:rPr>
              <w:lastRenderedPageBreak/>
              <w:t>Participants = in final year of study and on course to get a first class degree at two London-based post-92 universities. Details of participants on p.4</w:t>
            </w:r>
          </w:p>
          <w:p w14:paraId="2D7D2295" w14:textId="77777777" w:rsidR="00F934ED" w:rsidRDefault="00F934ED" w:rsidP="00F934ED">
            <w:pPr>
              <w:rPr>
                <w:rFonts w:ascii="Gill Sans" w:hAnsi="Gill Sans" w:cs="Gill Sans"/>
                <w:b/>
                <w:color w:val="000000"/>
              </w:rPr>
            </w:pPr>
            <w:r>
              <w:rPr>
                <w:rFonts w:ascii="Gill Sans" w:hAnsi="Gill Sans" w:cs="Gill Sans"/>
                <w:b/>
                <w:color w:val="000000"/>
              </w:rPr>
              <w:t>Findings:</w:t>
            </w:r>
          </w:p>
          <w:p w14:paraId="34A47A68" w14:textId="77777777" w:rsidR="00F934ED" w:rsidRDefault="00F934ED" w:rsidP="00F934ED">
            <w:pPr>
              <w:rPr>
                <w:rFonts w:ascii="Gill Sans" w:hAnsi="Gill Sans" w:cs="Gill Sans"/>
                <w:color w:val="000000"/>
              </w:rPr>
            </w:pPr>
            <w:r w:rsidRPr="005620C3">
              <w:rPr>
                <w:rFonts w:ascii="Gill Sans" w:hAnsi="Gill Sans" w:cs="Gill Sans"/>
                <w:i/>
                <w:color w:val="000000"/>
              </w:rPr>
              <w:t>Academic study skills</w:t>
            </w:r>
            <w:r>
              <w:rPr>
                <w:rFonts w:ascii="Gill Sans" w:hAnsi="Gill Sans" w:cs="Gill Sans"/>
                <w:color w:val="000000"/>
              </w:rPr>
              <w:t xml:space="preserve"> = students’ reading and/or previous educational experiences (e.g. via Access course) provided resources to help cope with transition to undergraduate study (with several students attributing their ‘success’ to an enjoyment of reading and ability to ‘write well’), leading the author to posit “</w:t>
            </w:r>
            <w:r w:rsidRPr="005620C3">
              <w:rPr>
                <w:rFonts w:ascii="Gill Sans" w:hAnsi="Gill Sans" w:cs="Gill Sans"/>
                <w:color w:val="000000"/>
              </w:rPr>
              <w:t>it is conceivable that regular</w:t>
            </w:r>
            <w:r>
              <w:rPr>
                <w:rFonts w:ascii="Gill Sans" w:hAnsi="Gill Sans" w:cs="Gill Sans"/>
                <w:color w:val="000000"/>
              </w:rPr>
              <w:t xml:space="preserve"> </w:t>
            </w:r>
            <w:r w:rsidRPr="005620C3">
              <w:rPr>
                <w:rFonts w:ascii="Gill Sans" w:hAnsi="Gill Sans" w:cs="Gill Sans"/>
                <w:color w:val="000000"/>
              </w:rPr>
              <w:t>reading, even as a hobby, can benefit students in their</w:t>
            </w:r>
            <w:r>
              <w:rPr>
                <w:rFonts w:ascii="Gill Sans" w:hAnsi="Gill Sans" w:cs="Gill Sans"/>
                <w:color w:val="000000"/>
              </w:rPr>
              <w:t xml:space="preserve"> </w:t>
            </w:r>
            <w:r w:rsidRPr="005620C3">
              <w:rPr>
                <w:rFonts w:ascii="Gill Sans" w:hAnsi="Gill Sans" w:cs="Gill Sans"/>
                <w:color w:val="000000"/>
              </w:rPr>
              <w:t>degrees, especially in the social scien</w:t>
            </w:r>
            <w:r>
              <w:rPr>
                <w:rFonts w:ascii="Gill Sans" w:hAnsi="Gill Sans" w:cs="Gill Sans"/>
                <w:color w:val="000000"/>
              </w:rPr>
              <w:t>ces” (p.5).</w:t>
            </w:r>
          </w:p>
          <w:p w14:paraId="24F8BE2D" w14:textId="77777777" w:rsidR="00F934ED" w:rsidRDefault="00F934ED" w:rsidP="00F934ED">
            <w:pPr>
              <w:rPr>
                <w:rFonts w:ascii="Gill Sans" w:hAnsi="Gill Sans" w:cs="Gill Sans"/>
                <w:color w:val="000000"/>
              </w:rPr>
            </w:pPr>
            <w:r>
              <w:rPr>
                <w:rFonts w:ascii="Gill Sans" w:hAnsi="Gill Sans" w:cs="Gill Sans"/>
                <w:i/>
                <w:color w:val="000000"/>
              </w:rPr>
              <w:t>Proving themselves =</w:t>
            </w:r>
            <w:r>
              <w:rPr>
                <w:rFonts w:ascii="Gill Sans" w:hAnsi="Gill Sans" w:cs="Gill Sans"/>
                <w:color w:val="000000"/>
              </w:rPr>
              <w:t xml:space="preserve"> students generally not academically successful at school. Common uniting experience among participants is a desire to prove themselves and to others that they could do it, or “</w:t>
            </w:r>
            <w:r w:rsidRPr="008B077E">
              <w:rPr>
                <w:rFonts w:ascii="Gill Sans" w:hAnsi="Gill Sans" w:cs="Gill Sans"/>
                <w:color w:val="000000"/>
              </w:rPr>
              <w:t>a strong desire to respond and reclaim their</w:t>
            </w:r>
            <w:r>
              <w:rPr>
                <w:rFonts w:ascii="Gill Sans" w:hAnsi="Gill Sans" w:cs="Gill Sans"/>
                <w:color w:val="000000"/>
              </w:rPr>
              <w:t xml:space="preserve"> </w:t>
            </w:r>
            <w:r w:rsidRPr="008B077E">
              <w:rPr>
                <w:rFonts w:ascii="Gill Sans" w:hAnsi="Gill Sans" w:cs="Gill Sans"/>
                <w:color w:val="000000"/>
              </w:rPr>
              <w:t>worth and dignity through education, namely, a good degree</w:t>
            </w:r>
            <w:r>
              <w:rPr>
                <w:rFonts w:ascii="Gill Sans" w:hAnsi="Gill Sans" w:cs="Gill Sans"/>
                <w:color w:val="000000"/>
              </w:rPr>
              <w:t>” (p.6). Students also aware of credential creep. The idea of second chances = often greeted with additional motivation/ desire to succeed.</w:t>
            </w:r>
          </w:p>
          <w:p w14:paraId="16B0C038" w14:textId="75A48861" w:rsidR="00F934ED" w:rsidRPr="00076E76" w:rsidRDefault="00F934ED" w:rsidP="00F934ED">
            <w:pPr>
              <w:rPr>
                <w:rFonts w:ascii="Gill Sans" w:hAnsi="Gill Sans" w:cs="Gill Sans"/>
                <w:b/>
                <w:color w:val="000000"/>
                <w:szCs w:val="22"/>
                <w:lang w:val="en-AU"/>
              </w:rPr>
            </w:pPr>
            <w:r w:rsidRPr="00E42EB1">
              <w:rPr>
                <w:rFonts w:ascii="Gill Sans" w:hAnsi="Gill Sans" w:cs="Gill Sans"/>
                <w:i/>
                <w:color w:val="000000"/>
              </w:rPr>
              <w:t>Supportive people</w:t>
            </w:r>
            <w:r>
              <w:rPr>
                <w:rFonts w:ascii="Gill Sans" w:hAnsi="Gill Sans" w:cs="Gill Sans"/>
                <w:color w:val="000000"/>
              </w:rPr>
              <w:t>: cited as important (see p.7) – includes family, friends, peers, mentors</w:t>
            </w:r>
          </w:p>
        </w:tc>
      </w:tr>
      <w:tr w:rsidR="00F934ED" w:rsidRPr="00076E76" w14:paraId="3933126C" w14:textId="77777777" w:rsidTr="00496F08">
        <w:trPr>
          <w:trHeight w:val="1787"/>
        </w:trPr>
        <w:tc>
          <w:tcPr>
            <w:tcW w:w="5529" w:type="dxa"/>
          </w:tcPr>
          <w:p w14:paraId="1DC0174F" w14:textId="15FC572A" w:rsidR="00F934ED" w:rsidRPr="00076E76" w:rsidRDefault="00F934ED" w:rsidP="00F934ED">
            <w:pPr>
              <w:rPr>
                <w:rFonts w:ascii="Gill Sans" w:hAnsi="Gill Sans" w:cs="Gill Sans"/>
                <w:szCs w:val="22"/>
              </w:rPr>
            </w:pPr>
            <w:r w:rsidRPr="00076E76">
              <w:rPr>
                <w:rFonts w:ascii="Gill Sans" w:hAnsi="Gill Sans" w:cs="Gill Sans"/>
                <w:szCs w:val="22"/>
              </w:rPr>
              <w:lastRenderedPageBreak/>
              <w:t xml:space="preserve">Wrench, A.; Garrett, R. &amp; King, S. (2013). </w:t>
            </w:r>
            <w:hyperlink r:id="rId143" w:history="1">
              <w:r w:rsidRPr="00EB0263">
                <w:rPr>
                  <w:rStyle w:val="Hyperlink"/>
                  <w:rFonts w:ascii="Gill Sans" w:hAnsi="Gill Sans" w:cs="Gill Sans"/>
                  <w:szCs w:val="22"/>
                </w:rPr>
                <w:t>Guessing where the goal posts are: managing health and well-being during the transition to university studies</w:t>
              </w:r>
            </w:hyperlink>
            <w:r w:rsidRPr="00076E76">
              <w:rPr>
                <w:rFonts w:ascii="Gill Sans" w:hAnsi="Gill Sans" w:cs="Gill Sans"/>
                <w:szCs w:val="22"/>
              </w:rPr>
              <w:t xml:space="preserve">, </w:t>
            </w:r>
            <w:r w:rsidRPr="00076E76">
              <w:rPr>
                <w:rFonts w:ascii="Gill Sans" w:hAnsi="Gill Sans" w:cs="Gill Sans"/>
                <w:i/>
                <w:szCs w:val="22"/>
              </w:rPr>
              <w:t xml:space="preserve">Journal of Youth Studies, </w:t>
            </w:r>
            <w:r>
              <w:rPr>
                <w:rFonts w:ascii="Gill Sans" w:hAnsi="Gill Sans" w:cs="Gill Sans"/>
                <w:szCs w:val="22"/>
              </w:rPr>
              <w:t>16(6), 730–</w:t>
            </w:r>
            <w:r w:rsidRPr="00076E76">
              <w:rPr>
                <w:rFonts w:ascii="Gill Sans" w:hAnsi="Gill Sans" w:cs="Gill Sans"/>
                <w:szCs w:val="22"/>
              </w:rPr>
              <w:t>746.</w:t>
            </w:r>
          </w:p>
          <w:p w14:paraId="71D8AC62" w14:textId="77777777" w:rsidR="00F934ED" w:rsidRPr="00076E76" w:rsidRDefault="00F934ED" w:rsidP="00F934ED">
            <w:pPr>
              <w:rPr>
                <w:rFonts w:ascii="Gill Sans" w:hAnsi="Gill Sans" w:cs="Gill Sans"/>
                <w:szCs w:val="22"/>
              </w:rPr>
            </w:pPr>
          </w:p>
          <w:p w14:paraId="205A0FC8" w14:textId="77777777" w:rsidR="00F934ED" w:rsidRPr="00076E76" w:rsidRDefault="00F934ED" w:rsidP="00F934ED">
            <w:pPr>
              <w:rPr>
                <w:rFonts w:ascii="Gill Sans" w:hAnsi="Gill Sans" w:cs="Gill Sans"/>
                <w:szCs w:val="22"/>
              </w:rPr>
            </w:pPr>
            <w:r w:rsidRPr="00076E76">
              <w:rPr>
                <w:rFonts w:ascii="Gill Sans" w:hAnsi="Gill Sans" w:cs="Gill Sans"/>
                <w:szCs w:val="22"/>
              </w:rPr>
              <w:t>AUS</w:t>
            </w:r>
          </w:p>
          <w:p w14:paraId="7DEB510D" w14:textId="77777777" w:rsidR="00F934ED" w:rsidRPr="00076E76" w:rsidRDefault="00F934ED" w:rsidP="00F934ED">
            <w:pPr>
              <w:rPr>
                <w:rFonts w:ascii="Gill Sans" w:hAnsi="Gill Sans" w:cs="Gill Sans"/>
                <w:szCs w:val="22"/>
              </w:rPr>
            </w:pPr>
            <w:r w:rsidRPr="00076E76">
              <w:rPr>
                <w:rFonts w:ascii="Gill Sans" w:hAnsi="Gill Sans" w:cs="Gill Sans"/>
                <w:szCs w:val="22"/>
              </w:rPr>
              <w:t>Annotation by Sally Baker</w:t>
            </w:r>
          </w:p>
          <w:p w14:paraId="68CE3460" w14:textId="77777777" w:rsidR="00F934ED" w:rsidRPr="00076E76" w:rsidRDefault="00F934ED" w:rsidP="00F934ED">
            <w:pPr>
              <w:rPr>
                <w:rFonts w:ascii="Gill Sans" w:hAnsi="Gill Sans" w:cs="Gill Sans"/>
                <w:szCs w:val="22"/>
              </w:rPr>
            </w:pPr>
          </w:p>
          <w:p w14:paraId="2910A29C" w14:textId="7A543880" w:rsidR="00F934ED" w:rsidRPr="00076E76" w:rsidRDefault="00F934ED" w:rsidP="00F934ED">
            <w:pPr>
              <w:rPr>
                <w:rFonts w:ascii="Gill Sans" w:hAnsi="Gill Sans" w:cs="Gill Sans"/>
                <w:szCs w:val="22"/>
              </w:rPr>
            </w:pPr>
            <w:r w:rsidRPr="00076E76">
              <w:rPr>
                <w:rFonts w:ascii="Gill Sans" w:hAnsi="Gill Sans" w:cs="Gill Sans"/>
                <w:szCs w:val="22"/>
              </w:rPr>
              <w:t xml:space="preserve">Keywords: </w:t>
            </w:r>
            <w:r w:rsidRPr="00076E76">
              <w:rPr>
                <w:rFonts w:ascii="Gill Sans" w:hAnsi="Gill Sans" w:cs="Gill Sans"/>
                <w:i/>
                <w:szCs w:val="22"/>
              </w:rPr>
              <w:t>health, well-being, first year university students, governmental practices</w:t>
            </w:r>
          </w:p>
        </w:tc>
        <w:tc>
          <w:tcPr>
            <w:tcW w:w="10064" w:type="dxa"/>
          </w:tcPr>
          <w:p w14:paraId="342F90C0" w14:textId="094B59DC"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Context: </w:t>
            </w:r>
            <w:r w:rsidRPr="00076E76">
              <w:rPr>
                <w:rFonts w:ascii="Gill Sans" w:hAnsi="Gill Sans" w:cs="Gill Sans"/>
                <w:color w:val="000000"/>
                <w:szCs w:val="22"/>
                <w:lang w:val="en-AU"/>
              </w:rPr>
              <w:t>Examines impact of transition to HE on students well-being and health. Set in context of post-Bradley review Australian higher education system, located in critique of logic neoliberalism. Argues that little is known of students’ health and well-being in metrics collected on students’ transitions (attrition, retention, success data)</w:t>
            </w:r>
          </w:p>
          <w:p w14:paraId="1FD0EB3F" w14:textId="5E221956"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Aim: </w:t>
            </w:r>
            <w:r w:rsidRPr="00076E76">
              <w:rPr>
                <w:rFonts w:ascii="Gill Sans" w:hAnsi="Gill Sans" w:cs="Gill Sans"/>
                <w:color w:val="000000"/>
                <w:szCs w:val="22"/>
                <w:lang w:val="en-AU"/>
              </w:rPr>
              <w:t>To explore factors that impact on health and well-being of students transitioning into higher education studies (first year); to examine students’ perceptions of various dimensions of health and well-being and impact factors. Paper reports on students’ understandings. RQs:</w:t>
            </w:r>
          </w:p>
          <w:p w14:paraId="44A74AD7" w14:textId="19064B50" w:rsidR="00F934ED" w:rsidRPr="00076E76" w:rsidRDefault="00F934ED" w:rsidP="00F934ED">
            <w:pPr>
              <w:pStyle w:val="ListParagraph"/>
              <w:numPr>
                <w:ilvl w:val="0"/>
                <w:numId w:val="16"/>
              </w:numPr>
              <w:rPr>
                <w:rFonts w:ascii="Gill Sans" w:hAnsi="Gill Sans" w:cs="Gill Sans"/>
                <w:color w:val="000000"/>
                <w:szCs w:val="22"/>
                <w:lang w:val="en-AU"/>
              </w:rPr>
            </w:pPr>
            <w:r w:rsidRPr="00076E76">
              <w:rPr>
                <w:rFonts w:ascii="Gill Sans" w:hAnsi="Gill Sans" w:cs="Gill Sans"/>
                <w:color w:val="000000"/>
                <w:szCs w:val="22"/>
                <w:lang w:val="en-AU"/>
              </w:rPr>
              <w:t>what are the perceptions of health, healthy bodies and well-being for university students in their first year?</w:t>
            </w:r>
          </w:p>
          <w:p w14:paraId="4B9E0ABD" w14:textId="21200416" w:rsidR="00F934ED" w:rsidRPr="00076E76" w:rsidRDefault="00F934ED" w:rsidP="00F934ED">
            <w:pPr>
              <w:pStyle w:val="ListParagraph"/>
              <w:numPr>
                <w:ilvl w:val="0"/>
                <w:numId w:val="16"/>
              </w:numPr>
              <w:rPr>
                <w:rFonts w:ascii="Gill Sans" w:hAnsi="Gill Sans" w:cs="Gill Sans"/>
                <w:color w:val="000000"/>
                <w:szCs w:val="22"/>
                <w:lang w:val="en-AU"/>
              </w:rPr>
            </w:pPr>
            <w:r w:rsidRPr="00076E76">
              <w:rPr>
                <w:rFonts w:ascii="Gill Sans" w:hAnsi="Gill Sans" w:cs="Gill Sans"/>
                <w:color w:val="000000"/>
                <w:szCs w:val="22"/>
                <w:lang w:val="en-AU"/>
              </w:rPr>
              <w:t>What are the factors that influence and impact on health and well-being as students transition into university studies? (p.733)</w:t>
            </w:r>
          </w:p>
          <w:p w14:paraId="2CDD8D08" w14:textId="62D29B93"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Theoretical frame: </w:t>
            </w:r>
            <w:r w:rsidRPr="00076E76">
              <w:rPr>
                <w:rFonts w:ascii="Gill Sans" w:hAnsi="Gill Sans" w:cs="Gill Sans"/>
                <w:color w:val="000000"/>
                <w:szCs w:val="22"/>
                <w:lang w:val="en-AU"/>
              </w:rPr>
              <w:t>Governmental practices (draws on Foucault, 1982); situates alongside well-being + risk discourses (Wyn, 2009; Rose, 1999) – neoliberal logics = “reconfiguration of societal institutions, such as universities, as responsible for producing students whom can protect themselves from ‘risk’ (p.732)</w:t>
            </w:r>
          </w:p>
          <w:p w14:paraId="4A7827C6" w14:textId="06FC06BD" w:rsidR="00F934ED" w:rsidRPr="00076E76" w:rsidRDefault="00F934ED" w:rsidP="00F934ED">
            <w:pPr>
              <w:rPr>
                <w:rFonts w:ascii="Gill Sans" w:hAnsi="Gill Sans" w:cs="Gill Sans"/>
                <w:color w:val="000000"/>
                <w:szCs w:val="22"/>
                <w:lang w:val="en-AU"/>
              </w:rPr>
            </w:pPr>
            <w:r w:rsidRPr="00076E76">
              <w:rPr>
                <w:rFonts w:ascii="Gill Sans" w:hAnsi="Gill Sans" w:cs="Gill Sans"/>
                <w:b/>
                <w:color w:val="000000"/>
                <w:szCs w:val="22"/>
                <w:lang w:val="en-AU"/>
              </w:rPr>
              <w:t xml:space="preserve">Methodology: </w:t>
            </w:r>
            <w:r w:rsidRPr="00076E76">
              <w:rPr>
                <w:rFonts w:ascii="Gill Sans" w:hAnsi="Gill Sans" w:cs="Gill Sans"/>
                <w:color w:val="000000"/>
                <w:szCs w:val="22"/>
                <w:lang w:val="en-AU"/>
              </w:rPr>
              <w:t>Qualitative: online questionnaire (n=132; 23% of cohort) with closed and open question. Students = Year 1, semester 2 Health Sciences. Analysis = interpretive lens; individual researcher coding = cross-check – ‘common organisational themes’. Second reading = ‘governmentality’.</w:t>
            </w:r>
          </w:p>
          <w:p w14:paraId="32C769AF" w14:textId="77777777" w:rsidR="00F934ED" w:rsidRPr="00076E76" w:rsidRDefault="00F934ED" w:rsidP="00F934ED">
            <w:pPr>
              <w:rPr>
                <w:rFonts w:ascii="Gill Sans" w:hAnsi="Gill Sans" w:cs="Gill Sans"/>
                <w:b/>
                <w:color w:val="000000"/>
                <w:szCs w:val="22"/>
                <w:lang w:val="en-AU"/>
              </w:rPr>
            </w:pPr>
            <w:r w:rsidRPr="00076E76">
              <w:rPr>
                <w:rFonts w:ascii="Gill Sans" w:hAnsi="Gill Sans" w:cs="Gill Sans"/>
                <w:b/>
                <w:color w:val="000000"/>
                <w:szCs w:val="22"/>
                <w:lang w:val="en-AU"/>
              </w:rPr>
              <w:t xml:space="preserve">Findings: </w:t>
            </w:r>
          </w:p>
          <w:p w14:paraId="7E3B04C6" w14:textId="11EF98EC" w:rsidR="00F934ED" w:rsidRPr="00076E76" w:rsidRDefault="00F934ED" w:rsidP="00F934ED">
            <w:pPr>
              <w:rPr>
                <w:rFonts w:ascii="Gill Sans" w:hAnsi="Gill Sans" w:cs="Gill Sans"/>
                <w:color w:val="000000"/>
                <w:szCs w:val="22"/>
                <w:lang w:val="en-AU"/>
              </w:rPr>
            </w:pPr>
            <w:r w:rsidRPr="00076E76">
              <w:rPr>
                <w:rFonts w:ascii="Gill Sans" w:hAnsi="Gill Sans" w:cs="Gill Sans"/>
                <w:color w:val="000000"/>
                <w:szCs w:val="22"/>
                <w:lang w:val="en-AU"/>
              </w:rPr>
              <w:lastRenderedPageBreak/>
              <w:t>Complexity of university learning = impacted on well-being, particularly due to expectations/ realities of moving from school to university (not feeling ‘fully prepared’; expressions of confusion, frustration and stress). Recognition and care from lecturers also important for positive impact. Students appeared to be unprepared for disconnection with lecturers/ tutors [as opposed to familiarity with teachers?] Insufficient feedback on assignments = had limiting effect on students’ understandings of expectations. Data suggests students rely on each other rather than asking lecturers for assistance (draws on hot/cold, Ball &amp; Vincent 1998). Sense of community = important. Self-management and well-being = participants found it difficult to manage workload, competing demands and maintain health/well-being = impact on physical activity/ diet (particularly increase in poor eating habits)/ sleep, managing stressful events, managing mental health.</w:t>
            </w:r>
            <w:r w:rsidRPr="00076E76">
              <w:rPr>
                <w:rFonts w:ascii="Gill Sans" w:hAnsi="Gill Sans" w:cs="Gill Sans"/>
                <w:b/>
                <w:color w:val="000000"/>
                <w:szCs w:val="22"/>
                <w:lang w:val="en-AU"/>
              </w:rPr>
              <w:br/>
              <w:t xml:space="preserve">Core argument: </w:t>
            </w:r>
            <w:r w:rsidRPr="00076E76">
              <w:rPr>
                <w:rFonts w:ascii="Gill Sans" w:hAnsi="Gill Sans" w:cs="Gill Sans"/>
                <w:color w:val="000000"/>
                <w:szCs w:val="22"/>
                <w:lang w:val="en-AU"/>
              </w:rPr>
              <w:t>Participants “gave evidence of the relentless future orientation of their lives” (p.742); participants developed not-so-healthy responses to pressures and social changes related to transitions. Message for universities: develop programs that promote social networks and supportive peer relationships.</w:t>
            </w:r>
          </w:p>
        </w:tc>
      </w:tr>
    </w:tbl>
    <w:p w14:paraId="559CA190" w14:textId="090ED4CC" w:rsidR="00E74C84" w:rsidRPr="00076E76" w:rsidRDefault="00E74C84">
      <w:pPr>
        <w:rPr>
          <w:rFonts w:ascii="Gill Sans" w:hAnsi="Gill Sans" w:cs="Gill Sans"/>
        </w:rPr>
      </w:pPr>
    </w:p>
    <w:sectPr w:rsidR="00E74C84" w:rsidRPr="00076E76" w:rsidSect="00880727">
      <w:pgSz w:w="16840" w:h="1190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A10C91" w14:textId="77777777" w:rsidR="00C8757D" w:rsidRDefault="00C8757D" w:rsidP="0080386D">
      <w:r>
        <w:separator/>
      </w:r>
    </w:p>
  </w:endnote>
  <w:endnote w:type="continuationSeparator" w:id="0">
    <w:p w14:paraId="44241984" w14:textId="77777777" w:rsidR="00C8757D" w:rsidRDefault="00C8757D" w:rsidP="00803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Gill Sans">
    <w:panose1 w:val="020B0502020104020203"/>
    <w:charset w:val="B1"/>
    <w:family w:val="swiss"/>
    <w:pitch w:val="variable"/>
    <w:sig w:usb0="80000A67" w:usb1="00000000" w:usb2="00000000" w:usb3="00000000" w:csb0="000001F7" w:csb1="00000000"/>
  </w:font>
  <w:font w:name="Gill Sans MT">
    <w:panose1 w:val="020B0502020104020203"/>
    <w:charset w:val="4D"/>
    <w:family w:val="swiss"/>
    <w:pitch w:val="variable"/>
    <w:sig w:usb0="00000003" w:usb1="00000000" w:usb2="00000000" w:usb3="00000000" w:csb0="00000003" w:csb1="00000000"/>
  </w:font>
  <w:font w:name="AdvOT5fcf1b24">
    <w:altName w:val="Cambria"/>
    <w:panose1 w:val="020B0604020202020204"/>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15BB0" w14:textId="3A15BB55" w:rsidR="00C60612" w:rsidRDefault="00C60612">
    <w:pPr>
      <w:pStyle w:val="Footer"/>
    </w:pPr>
    <w:r>
      <w:t>sally.baker@unsw.edu.au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F7B153" w14:textId="77777777" w:rsidR="00C8757D" w:rsidRDefault="00C8757D" w:rsidP="0080386D">
      <w:r>
        <w:separator/>
      </w:r>
    </w:p>
  </w:footnote>
  <w:footnote w:type="continuationSeparator" w:id="0">
    <w:p w14:paraId="2349BD10" w14:textId="77777777" w:rsidR="00C8757D" w:rsidRDefault="00C8757D" w:rsidP="008038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40CA5"/>
    <w:multiLevelType w:val="hybridMultilevel"/>
    <w:tmpl w:val="7ED2B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5C0554"/>
    <w:multiLevelType w:val="hybridMultilevel"/>
    <w:tmpl w:val="15860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086A3E"/>
    <w:multiLevelType w:val="hybridMultilevel"/>
    <w:tmpl w:val="3AB6E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2B12EA"/>
    <w:multiLevelType w:val="hybridMultilevel"/>
    <w:tmpl w:val="8C9E16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6543C4"/>
    <w:multiLevelType w:val="hybridMultilevel"/>
    <w:tmpl w:val="D3FAA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634593"/>
    <w:multiLevelType w:val="hybridMultilevel"/>
    <w:tmpl w:val="CAF24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397D24"/>
    <w:multiLevelType w:val="hybridMultilevel"/>
    <w:tmpl w:val="300EE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F357E8"/>
    <w:multiLevelType w:val="hybridMultilevel"/>
    <w:tmpl w:val="183E6F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007B42"/>
    <w:multiLevelType w:val="hybridMultilevel"/>
    <w:tmpl w:val="AC6A0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835D54"/>
    <w:multiLevelType w:val="hybridMultilevel"/>
    <w:tmpl w:val="82B616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D803C2"/>
    <w:multiLevelType w:val="hybridMultilevel"/>
    <w:tmpl w:val="99D29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B016EA"/>
    <w:multiLevelType w:val="hybridMultilevel"/>
    <w:tmpl w:val="92568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6E6A66"/>
    <w:multiLevelType w:val="hybridMultilevel"/>
    <w:tmpl w:val="4C526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027436"/>
    <w:multiLevelType w:val="hybridMultilevel"/>
    <w:tmpl w:val="34E48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F8598F"/>
    <w:multiLevelType w:val="hybridMultilevel"/>
    <w:tmpl w:val="1E66A6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E1089C"/>
    <w:multiLevelType w:val="hybridMultilevel"/>
    <w:tmpl w:val="A9BAE6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1B23F6"/>
    <w:multiLevelType w:val="hybridMultilevel"/>
    <w:tmpl w:val="BDE6B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5E334D"/>
    <w:multiLevelType w:val="hybridMultilevel"/>
    <w:tmpl w:val="56FC6A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001EA0"/>
    <w:multiLevelType w:val="hybridMultilevel"/>
    <w:tmpl w:val="AD96C6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2B7829"/>
    <w:multiLevelType w:val="hybridMultilevel"/>
    <w:tmpl w:val="3C2014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8C0675"/>
    <w:multiLevelType w:val="hybridMultilevel"/>
    <w:tmpl w:val="2256B0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F856DC"/>
    <w:multiLevelType w:val="hybridMultilevel"/>
    <w:tmpl w:val="DDE4F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5D034D"/>
    <w:multiLevelType w:val="hybridMultilevel"/>
    <w:tmpl w:val="9FA8850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ADF0A0B"/>
    <w:multiLevelType w:val="multilevel"/>
    <w:tmpl w:val="150E0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C343440"/>
    <w:multiLevelType w:val="multilevel"/>
    <w:tmpl w:val="7FEE3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CF7763C"/>
    <w:multiLevelType w:val="hybridMultilevel"/>
    <w:tmpl w:val="BDE478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D874CE"/>
    <w:multiLevelType w:val="hybridMultilevel"/>
    <w:tmpl w:val="729422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005C46"/>
    <w:multiLevelType w:val="hybridMultilevel"/>
    <w:tmpl w:val="5922F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1F133A"/>
    <w:multiLevelType w:val="hybridMultilevel"/>
    <w:tmpl w:val="6A383E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643E56"/>
    <w:multiLevelType w:val="hybridMultilevel"/>
    <w:tmpl w:val="31445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E331F1"/>
    <w:multiLevelType w:val="hybridMultilevel"/>
    <w:tmpl w:val="969C53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047E8F"/>
    <w:multiLevelType w:val="hybridMultilevel"/>
    <w:tmpl w:val="8342F4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A42D50"/>
    <w:multiLevelType w:val="hybridMultilevel"/>
    <w:tmpl w:val="45C2A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E44D4F"/>
    <w:multiLevelType w:val="hybridMultilevel"/>
    <w:tmpl w:val="4FD04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517427"/>
    <w:multiLevelType w:val="multilevel"/>
    <w:tmpl w:val="A9687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6BB6391"/>
    <w:multiLevelType w:val="hybridMultilevel"/>
    <w:tmpl w:val="5C6ACE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144146"/>
    <w:multiLevelType w:val="hybridMultilevel"/>
    <w:tmpl w:val="A8B6B7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E538F0"/>
    <w:multiLevelType w:val="hybridMultilevel"/>
    <w:tmpl w:val="308CB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5D2239"/>
    <w:multiLevelType w:val="hybridMultilevel"/>
    <w:tmpl w:val="5426C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88513D"/>
    <w:multiLevelType w:val="multilevel"/>
    <w:tmpl w:val="FD6CAAF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15:restartNumberingAfterBreak="0">
    <w:nsid w:val="769E4C5D"/>
    <w:multiLevelType w:val="hybridMultilevel"/>
    <w:tmpl w:val="BE2AE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9204A4"/>
    <w:multiLevelType w:val="hybridMultilevel"/>
    <w:tmpl w:val="6FF2F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2"/>
  </w:num>
  <w:num w:numId="3">
    <w:abstractNumId w:val="33"/>
  </w:num>
  <w:num w:numId="4">
    <w:abstractNumId w:val="40"/>
  </w:num>
  <w:num w:numId="5">
    <w:abstractNumId w:val="16"/>
  </w:num>
  <w:num w:numId="6">
    <w:abstractNumId w:val="12"/>
  </w:num>
  <w:num w:numId="7">
    <w:abstractNumId w:val="30"/>
  </w:num>
  <w:num w:numId="8">
    <w:abstractNumId w:val="42"/>
  </w:num>
  <w:num w:numId="9">
    <w:abstractNumId w:val="5"/>
  </w:num>
  <w:num w:numId="10">
    <w:abstractNumId w:val="8"/>
  </w:num>
  <w:num w:numId="11">
    <w:abstractNumId w:val="26"/>
  </w:num>
  <w:num w:numId="12">
    <w:abstractNumId w:val="31"/>
  </w:num>
  <w:num w:numId="13">
    <w:abstractNumId w:val="19"/>
  </w:num>
  <w:num w:numId="14">
    <w:abstractNumId w:val="37"/>
  </w:num>
  <w:num w:numId="15">
    <w:abstractNumId w:val="27"/>
  </w:num>
  <w:num w:numId="16">
    <w:abstractNumId w:val="10"/>
  </w:num>
  <w:num w:numId="17">
    <w:abstractNumId w:val="21"/>
  </w:num>
  <w:num w:numId="18">
    <w:abstractNumId w:val="29"/>
  </w:num>
  <w:num w:numId="19">
    <w:abstractNumId w:val="41"/>
  </w:num>
  <w:num w:numId="20">
    <w:abstractNumId w:val="3"/>
  </w:num>
  <w:num w:numId="21">
    <w:abstractNumId w:val="17"/>
  </w:num>
  <w:num w:numId="22">
    <w:abstractNumId w:val="1"/>
  </w:num>
  <w:num w:numId="23">
    <w:abstractNumId w:val="39"/>
  </w:num>
  <w:num w:numId="24">
    <w:abstractNumId w:val="38"/>
  </w:num>
  <w:num w:numId="25">
    <w:abstractNumId w:val="14"/>
  </w:num>
  <w:num w:numId="26">
    <w:abstractNumId w:val="9"/>
  </w:num>
  <w:num w:numId="27">
    <w:abstractNumId w:val="15"/>
  </w:num>
  <w:num w:numId="28">
    <w:abstractNumId w:val="36"/>
  </w:num>
  <w:num w:numId="29">
    <w:abstractNumId w:val="4"/>
  </w:num>
  <w:num w:numId="30">
    <w:abstractNumId w:val="32"/>
  </w:num>
  <w:num w:numId="31">
    <w:abstractNumId w:val="7"/>
  </w:num>
  <w:num w:numId="32">
    <w:abstractNumId w:val="2"/>
  </w:num>
  <w:num w:numId="33">
    <w:abstractNumId w:val="11"/>
  </w:num>
  <w:num w:numId="34">
    <w:abstractNumId w:val="25"/>
  </w:num>
  <w:num w:numId="35">
    <w:abstractNumId w:val="28"/>
  </w:num>
  <w:num w:numId="36">
    <w:abstractNumId w:val="34"/>
  </w:num>
  <w:num w:numId="37">
    <w:abstractNumId w:val="13"/>
  </w:num>
  <w:num w:numId="38">
    <w:abstractNumId w:val="6"/>
  </w:num>
  <w:num w:numId="39">
    <w:abstractNumId w:val="0"/>
  </w:num>
  <w:num w:numId="40">
    <w:abstractNumId w:val="18"/>
  </w:num>
  <w:num w:numId="41">
    <w:abstractNumId w:val="24"/>
  </w:num>
  <w:num w:numId="42">
    <w:abstractNumId w:val="23"/>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0727"/>
    <w:rsid w:val="000005E4"/>
    <w:rsid w:val="00001D6D"/>
    <w:rsid w:val="00001EFB"/>
    <w:rsid w:val="000024D7"/>
    <w:rsid w:val="0000469F"/>
    <w:rsid w:val="00004FB1"/>
    <w:rsid w:val="0000510A"/>
    <w:rsid w:val="00005803"/>
    <w:rsid w:val="00005DBF"/>
    <w:rsid w:val="0000647D"/>
    <w:rsid w:val="00010ADA"/>
    <w:rsid w:val="0001405F"/>
    <w:rsid w:val="000147B3"/>
    <w:rsid w:val="000149B1"/>
    <w:rsid w:val="0001543B"/>
    <w:rsid w:val="000157A8"/>
    <w:rsid w:val="0001614C"/>
    <w:rsid w:val="000165CD"/>
    <w:rsid w:val="00017C43"/>
    <w:rsid w:val="00020F1D"/>
    <w:rsid w:val="00021843"/>
    <w:rsid w:val="00021EC4"/>
    <w:rsid w:val="000223C6"/>
    <w:rsid w:val="00023CB9"/>
    <w:rsid w:val="0002554A"/>
    <w:rsid w:val="00025639"/>
    <w:rsid w:val="00027D44"/>
    <w:rsid w:val="000302C6"/>
    <w:rsid w:val="00033757"/>
    <w:rsid w:val="00033B97"/>
    <w:rsid w:val="00034FFD"/>
    <w:rsid w:val="0004041A"/>
    <w:rsid w:val="00040B56"/>
    <w:rsid w:val="0004101A"/>
    <w:rsid w:val="00041FB2"/>
    <w:rsid w:val="0004343D"/>
    <w:rsid w:val="00043A90"/>
    <w:rsid w:val="00043C5F"/>
    <w:rsid w:val="00044B1F"/>
    <w:rsid w:val="00045AED"/>
    <w:rsid w:val="00045F31"/>
    <w:rsid w:val="00047034"/>
    <w:rsid w:val="000473A4"/>
    <w:rsid w:val="0005123D"/>
    <w:rsid w:val="00052FB0"/>
    <w:rsid w:val="00053B07"/>
    <w:rsid w:val="0005487C"/>
    <w:rsid w:val="000568E9"/>
    <w:rsid w:val="00056E64"/>
    <w:rsid w:val="000570AA"/>
    <w:rsid w:val="000576AF"/>
    <w:rsid w:val="000579A5"/>
    <w:rsid w:val="00061179"/>
    <w:rsid w:val="00061259"/>
    <w:rsid w:val="00062130"/>
    <w:rsid w:val="00063CA9"/>
    <w:rsid w:val="00064827"/>
    <w:rsid w:val="00066381"/>
    <w:rsid w:val="00066B5B"/>
    <w:rsid w:val="00067DB4"/>
    <w:rsid w:val="00070225"/>
    <w:rsid w:val="000705DD"/>
    <w:rsid w:val="000710B5"/>
    <w:rsid w:val="00071FDB"/>
    <w:rsid w:val="0007689F"/>
    <w:rsid w:val="00076E76"/>
    <w:rsid w:val="00077352"/>
    <w:rsid w:val="000809C2"/>
    <w:rsid w:val="00080E2C"/>
    <w:rsid w:val="000814A1"/>
    <w:rsid w:val="000834DD"/>
    <w:rsid w:val="000838A3"/>
    <w:rsid w:val="00084F51"/>
    <w:rsid w:val="00085862"/>
    <w:rsid w:val="00086FB5"/>
    <w:rsid w:val="0009052E"/>
    <w:rsid w:val="00090CFF"/>
    <w:rsid w:val="00091011"/>
    <w:rsid w:val="00092181"/>
    <w:rsid w:val="0009315E"/>
    <w:rsid w:val="00093F16"/>
    <w:rsid w:val="00095417"/>
    <w:rsid w:val="000954EF"/>
    <w:rsid w:val="00095656"/>
    <w:rsid w:val="000963A1"/>
    <w:rsid w:val="00096BC7"/>
    <w:rsid w:val="00097ACA"/>
    <w:rsid w:val="00097CE2"/>
    <w:rsid w:val="00097F61"/>
    <w:rsid w:val="000A3EB4"/>
    <w:rsid w:val="000A5168"/>
    <w:rsid w:val="000A52C6"/>
    <w:rsid w:val="000A6C83"/>
    <w:rsid w:val="000A7ABD"/>
    <w:rsid w:val="000A7CCA"/>
    <w:rsid w:val="000A7E8A"/>
    <w:rsid w:val="000B2F9F"/>
    <w:rsid w:val="000B6DB2"/>
    <w:rsid w:val="000B7644"/>
    <w:rsid w:val="000C3E09"/>
    <w:rsid w:val="000C69C7"/>
    <w:rsid w:val="000D146B"/>
    <w:rsid w:val="000D2382"/>
    <w:rsid w:val="000D375A"/>
    <w:rsid w:val="000D457D"/>
    <w:rsid w:val="000D465C"/>
    <w:rsid w:val="000D64DB"/>
    <w:rsid w:val="000D66BC"/>
    <w:rsid w:val="000D75A0"/>
    <w:rsid w:val="000E0358"/>
    <w:rsid w:val="000E1544"/>
    <w:rsid w:val="000E21B2"/>
    <w:rsid w:val="000E2583"/>
    <w:rsid w:val="000E3292"/>
    <w:rsid w:val="000E383B"/>
    <w:rsid w:val="000E3B3A"/>
    <w:rsid w:val="000E412E"/>
    <w:rsid w:val="000E4964"/>
    <w:rsid w:val="000E4E28"/>
    <w:rsid w:val="000E6F25"/>
    <w:rsid w:val="000E7407"/>
    <w:rsid w:val="000E744D"/>
    <w:rsid w:val="000F27E3"/>
    <w:rsid w:val="000F3998"/>
    <w:rsid w:val="000F4679"/>
    <w:rsid w:val="000F5E6C"/>
    <w:rsid w:val="000F60CF"/>
    <w:rsid w:val="000F67E6"/>
    <w:rsid w:val="001000EB"/>
    <w:rsid w:val="001022F0"/>
    <w:rsid w:val="001037B1"/>
    <w:rsid w:val="00103F25"/>
    <w:rsid w:val="001047D9"/>
    <w:rsid w:val="00105A3E"/>
    <w:rsid w:val="00110E85"/>
    <w:rsid w:val="00110F33"/>
    <w:rsid w:val="00112614"/>
    <w:rsid w:val="00113CEB"/>
    <w:rsid w:val="00115015"/>
    <w:rsid w:val="001156A0"/>
    <w:rsid w:val="001172E8"/>
    <w:rsid w:val="001175D3"/>
    <w:rsid w:val="0012209D"/>
    <w:rsid w:val="00124252"/>
    <w:rsid w:val="00130625"/>
    <w:rsid w:val="00130DE7"/>
    <w:rsid w:val="00134499"/>
    <w:rsid w:val="0013628F"/>
    <w:rsid w:val="001375B5"/>
    <w:rsid w:val="00140AE2"/>
    <w:rsid w:val="00142F1E"/>
    <w:rsid w:val="001439E0"/>
    <w:rsid w:val="00146134"/>
    <w:rsid w:val="00146B6A"/>
    <w:rsid w:val="00147CFD"/>
    <w:rsid w:val="00150230"/>
    <w:rsid w:val="001504E8"/>
    <w:rsid w:val="0015070E"/>
    <w:rsid w:val="0015092A"/>
    <w:rsid w:val="00151D7D"/>
    <w:rsid w:val="0015225D"/>
    <w:rsid w:val="00152C6A"/>
    <w:rsid w:val="0015317A"/>
    <w:rsid w:val="001539B1"/>
    <w:rsid w:val="0015442B"/>
    <w:rsid w:val="0015752C"/>
    <w:rsid w:val="001615A0"/>
    <w:rsid w:val="00162C11"/>
    <w:rsid w:val="00163029"/>
    <w:rsid w:val="0016371F"/>
    <w:rsid w:val="001642B2"/>
    <w:rsid w:val="001660B6"/>
    <w:rsid w:val="00167BF9"/>
    <w:rsid w:val="001729B4"/>
    <w:rsid w:val="001779F8"/>
    <w:rsid w:val="00177CE4"/>
    <w:rsid w:val="00180605"/>
    <w:rsid w:val="00180EEB"/>
    <w:rsid w:val="0018653D"/>
    <w:rsid w:val="00190932"/>
    <w:rsid w:val="00191FE0"/>
    <w:rsid w:val="00193BEA"/>
    <w:rsid w:val="00195ED9"/>
    <w:rsid w:val="001960AC"/>
    <w:rsid w:val="00196970"/>
    <w:rsid w:val="001A130E"/>
    <w:rsid w:val="001A1588"/>
    <w:rsid w:val="001A1F0C"/>
    <w:rsid w:val="001A2564"/>
    <w:rsid w:val="001A3485"/>
    <w:rsid w:val="001A445E"/>
    <w:rsid w:val="001A4937"/>
    <w:rsid w:val="001A5AEA"/>
    <w:rsid w:val="001B0B98"/>
    <w:rsid w:val="001B0E6F"/>
    <w:rsid w:val="001B14EB"/>
    <w:rsid w:val="001B1593"/>
    <w:rsid w:val="001B1874"/>
    <w:rsid w:val="001B28D6"/>
    <w:rsid w:val="001B52CF"/>
    <w:rsid w:val="001C156F"/>
    <w:rsid w:val="001C1900"/>
    <w:rsid w:val="001C3008"/>
    <w:rsid w:val="001C479E"/>
    <w:rsid w:val="001C5880"/>
    <w:rsid w:val="001C5D25"/>
    <w:rsid w:val="001C66BF"/>
    <w:rsid w:val="001C76C3"/>
    <w:rsid w:val="001D4BCD"/>
    <w:rsid w:val="001D54BC"/>
    <w:rsid w:val="001D5CDD"/>
    <w:rsid w:val="001D6779"/>
    <w:rsid w:val="001D6B53"/>
    <w:rsid w:val="001D6C97"/>
    <w:rsid w:val="001E1EEC"/>
    <w:rsid w:val="001E6D30"/>
    <w:rsid w:val="001E6F95"/>
    <w:rsid w:val="001F214F"/>
    <w:rsid w:val="001F3CF1"/>
    <w:rsid w:val="001F74B0"/>
    <w:rsid w:val="00200542"/>
    <w:rsid w:val="002009C4"/>
    <w:rsid w:val="00201604"/>
    <w:rsid w:val="002028DB"/>
    <w:rsid w:val="00203899"/>
    <w:rsid w:val="00204297"/>
    <w:rsid w:val="00204AF4"/>
    <w:rsid w:val="0020541A"/>
    <w:rsid w:val="00205A48"/>
    <w:rsid w:val="00206E5F"/>
    <w:rsid w:val="002102A3"/>
    <w:rsid w:val="00211260"/>
    <w:rsid w:val="00211C4E"/>
    <w:rsid w:val="00212498"/>
    <w:rsid w:val="002135B3"/>
    <w:rsid w:val="00213FD6"/>
    <w:rsid w:val="0021443C"/>
    <w:rsid w:val="00214485"/>
    <w:rsid w:val="0021750D"/>
    <w:rsid w:val="0022344F"/>
    <w:rsid w:val="0022389C"/>
    <w:rsid w:val="00223D83"/>
    <w:rsid w:val="00223DA7"/>
    <w:rsid w:val="002242FC"/>
    <w:rsid w:val="00224790"/>
    <w:rsid w:val="0022683E"/>
    <w:rsid w:val="0022685A"/>
    <w:rsid w:val="00226DAB"/>
    <w:rsid w:val="00227B8A"/>
    <w:rsid w:val="002302BC"/>
    <w:rsid w:val="0023159B"/>
    <w:rsid w:val="00231F41"/>
    <w:rsid w:val="00232839"/>
    <w:rsid w:val="00232997"/>
    <w:rsid w:val="00234335"/>
    <w:rsid w:val="00234696"/>
    <w:rsid w:val="00234789"/>
    <w:rsid w:val="002355D3"/>
    <w:rsid w:val="0023582B"/>
    <w:rsid w:val="0023730B"/>
    <w:rsid w:val="0024015F"/>
    <w:rsid w:val="00241CFF"/>
    <w:rsid w:val="00243353"/>
    <w:rsid w:val="0024389E"/>
    <w:rsid w:val="00243AB0"/>
    <w:rsid w:val="00243CBC"/>
    <w:rsid w:val="00244741"/>
    <w:rsid w:val="00245315"/>
    <w:rsid w:val="0024662F"/>
    <w:rsid w:val="00247726"/>
    <w:rsid w:val="002478C2"/>
    <w:rsid w:val="002479D8"/>
    <w:rsid w:val="00250775"/>
    <w:rsid w:val="00250B03"/>
    <w:rsid w:val="002531BB"/>
    <w:rsid w:val="00255765"/>
    <w:rsid w:val="00256557"/>
    <w:rsid w:val="0025741D"/>
    <w:rsid w:val="0025746A"/>
    <w:rsid w:val="00257970"/>
    <w:rsid w:val="00261EEE"/>
    <w:rsid w:val="002633FB"/>
    <w:rsid w:val="002634AC"/>
    <w:rsid w:val="0026394A"/>
    <w:rsid w:val="0026583C"/>
    <w:rsid w:val="00270850"/>
    <w:rsid w:val="00270A09"/>
    <w:rsid w:val="002715EB"/>
    <w:rsid w:val="00272382"/>
    <w:rsid w:val="0027277C"/>
    <w:rsid w:val="00273E8D"/>
    <w:rsid w:val="00274315"/>
    <w:rsid w:val="00274366"/>
    <w:rsid w:val="00274631"/>
    <w:rsid w:val="002750D9"/>
    <w:rsid w:val="002755D1"/>
    <w:rsid w:val="00280D2D"/>
    <w:rsid w:val="00280E3F"/>
    <w:rsid w:val="00281821"/>
    <w:rsid w:val="00283BBB"/>
    <w:rsid w:val="00283E31"/>
    <w:rsid w:val="00284BAF"/>
    <w:rsid w:val="00286EE2"/>
    <w:rsid w:val="00287BFF"/>
    <w:rsid w:val="002906E2"/>
    <w:rsid w:val="002910CC"/>
    <w:rsid w:val="002915F4"/>
    <w:rsid w:val="00292645"/>
    <w:rsid w:val="00294E4A"/>
    <w:rsid w:val="0029526A"/>
    <w:rsid w:val="002952C3"/>
    <w:rsid w:val="00295609"/>
    <w:rsid w:val="002960D3"/>
    <w:rsid w:val="0029745C"/>
    <w:rsid w:val="00297B4C"/>
    <w:rsid w:val="002A0800"/>
    <w:rsid w:val="002A2B7A"/>
    <w:rsid w:val="002A4642"/>
    <w:rsid w:val="002A5DA5"/>
    <w:rsid w:val="002A6F14"/>
    <w:rsid w:val="002A7909"/>
    <w:rsid w:val="002B02BD"/>
    <w:rsid w:val="002B4A11"/>
    <w:rsid w:val="002B578B"/>
    <w:rsid w:val="002B65AB"/>
    <w:rsid w:val="002B7C6C"/>
    <w:rsid w:val="002C003E"/>
    <w:rsid w:val="002C178E"/>
    <w:rsid w:val="002C1A16"/>
    <w:rsid w:val="002C3129"/>
    <w:rsid w:val="002C3D23"/>
    <w:rsid w:val="002C4B87"/>
    <w:rsid w:val="002C7513"/>
    <w:rsid w:val="002D0955"/>
    <w:rsid w:val="002D0E70"/>
    <w:rsid w:val="002D19F9"/>
    <w:rsid w:val="002D1F08"/>
    <w:rsid w:val="002D42AC"/>
    <w:rsid w:val="002E0393"/>
    <w:rsid w:val="002E1BB8"/>
    <w:rsid w:val="002E20D0"/>
    <w:rsid w:val="002E356E"/>
    <w:rsid w:val="002E4F9A"/>
    <w:rsid w:val="002E557C"/>
    <w:rsid w:val="002E79A5"/>
    <w:rsid w:val="002F0421"/>
    <w:rsid w:val="002F0999"/>
    <w:rsid w:val="002F5726"/>
    <w:rsid w:val="002F6C93"/>
    <w:rsid w:val="002F76F8"/>
    <w:rsid w:val="002F782E"/>
    <w:rsid w:val="002F7CF7"/>
    <w:rsid w:val="002F7E59"/>
    <w:rsid w:val="003006F1"/>
    <w:rsid w:val="00301F69"/>
    <w:rsid w:val="003020C5"/>
    <w:rsid w:val="00304308"/>
    <w:rsid w:val="00304D77"/>
    <w:rsid w:val="00306B8F"/>
    <w:rsid w:val="00310895"/>
    <w:rsid w:val="00313773"/>
    <w:rsid w:val="003163E8"/>
    <w:rsid w:val="00317A11"/>
    <w:rsid w:val="003209A8"/>
    <w:rsid w:val="00321B82"/>
    <w:rsid w:val="00321C34"/>
    <w:rsid w:val="00322AFE"/>
    <w:rsid w:val="00322F9A"/>
    <w:rsid w:val="00324C3C"/>
    <w:rsid w:val="00325558"/>
    <w:rsid w:val="00325C9E"/>
    <w:rsid w:val="003274E7"/>
    <w:rsid w:val="00330484"/>
    <w:rsid w:val="003305BB"/>
    <w:rsid w:val="00330A41"/>
    <w:rsid w:val="0033148C"/>
    <w:rsid w:val="003319A7"/>
    <w:rsid w:val="00331AB6"/>
    <w:rsid w:val="003344EA"/>
    <w:rsid w:val="00334E85"/>
    <w:rsid w:val="0033519F"/>
    <w:rsid w:val="0033610B"/>
    <w:rsid w:val="003368FD"/>
    <w:rsid w:val="00340037"/>
    <w:rsid w:val="003404CF"/>
    <w:rsid w:val="00341D13"/>
    <w:rsid w:val="0034212B"/>
    <w:rsid w:val="00342587"/>
    <w:rsid w:val="0034494E"/>
    <w:rsid w:val="00345694"/>
    <w:rsid w:val="003458B5"/>
    <w:rsid w:val="00345C66"/>
    <w:rsid w:val="00346C3A"/>
    <w:rsid w:val="00347CE0"/>
    <w:rsid w:val="00350015"/>
    <w:rsid w:val="00350324"/>
    <w:rsid w:val="0035224F"/>
    <w:rsid w:val="00352795"/>
    <w:rsid w:val="00353D70"/>
    <w:rsid w:val="0035421E"/>
    <w:rsid w:val="003559CB"/>
    <w:rsid w:val="00357396"/>
    <w:rsid w:val="003603AE"/>
    <w:rsid w:val="003625BB"/>
    <w:rsid w:val="0036630F"/>
    <w:rsid w:val="00367B2E"/>
    <w:rsid w:val="0037045D"/>
    <w:rsid w:val="003712FF"/>
    <w:rsid w:val="00371630"/>
    <w:rsid w:val="003729D0"/>
    <w:rsid w:val="00372A65"/>
    <w:rsid w:val="00375767"/>
    <w:rsid w:val="00375E50"/>
    <w:rsid w:val="00376D4B"/>
    <w:rsid w:val="00376E55"/>
    <w:rsid w:val="00377966"/>
    <w:rsid w:val="00377D01"/>
    <w:rsid w:val="00381FCD"/>
    <w:rsid w:val="0038236D"/>
    <w:rsid w:val="00382CDC"/>
    <w:rsid w:val="003846DA"/>
    <w:rsid w:val="0038527A"/>
    <w:rsid w:val="003866EA"/>
    <w:rsid w:val="00387203"/>
    <w:rsid w:val="003877FA"/>
    <w:rsid w:val="00391919"/>
    <w:rsid w:val="003926E0"/>
    <w:rsid w:val="003964A5"/>
    <w:rsid w:val="00397DBE"/>
    <w:rsid w:val="003A083A"/>
    <w:rsid w:val="003A0EA3"/>
    <w:rsid w:val="003A0FFC"/>
    <w:rsid w:val="003A1417"/>
    <w:rsid w:val="003A27C3"/>
    <w:rsid w:val="003A3994"/>
    <w:rsid w:val="003A4A66"/>
    <w:rsid w:val="003A4D72"/>
    <w:rsid w:val="003A51D4"/>
    <w:rsid w:val="003A5504"/>
    <w:rsid w:val="003A6236"/>
    <w:rsid w:val="003A74A2"/>
    <w:rsid w:val="003B10FD"/>
    <w:rsid w:val="003B1993"/>
    <w:rsid w:val="003B2436"/>
    <w:rsid w:val="003B49F0"/>
    <w:rsid w:val="003C07D9"/>
    <w:rsid w:val="003C0DE8"/>
    <w:rsid w:val="003C0E2B"/>
    <w:rsid w:val="003C140F"/>
    <w:rsid w:val="003C17DD"/>
    <w:rsid w:val="003C1C89"/>
    <w:rsid w:val="003C1D84"/>
    <w:rsid w:val="003C62C0"/>
    <w:rsid w:val="003C6E41"/>
    <w:rsid w:val="003C7579"/>
    <w:rsid w:val="003D1F22"/>
    <w:rsid w:val="003D321C"/>
    <w:rsid w:val="003D3268"/>
    <w:rsid w:val="003D47F5"/>
    <w:rsid w:val="003D4E13"/>
    <w:rsid w:val="003D5118"/>
    <w:rsid w:val="003D784B"/>
    <w:rsid w:val="003E07CD"/>
    <w:rsid w:val="003E0A3B"/>
    <w:rsid w:val="003E0F95"/>
    <w:rsid w:val="003E314F"/>
    <w:rsid w:val="003E3401"/>
    <w:rsid w:val="003E3E57"/>
    <w:rsid w:val="003E478E"/>
    <w:rsid w:val="003E50B8"/>
    <w:rsid w:val="003E50C1"/>
    <w:rsid w:val="003E64AB"/>
    <w:rsid w:val="003E65CD"/>
    <w:rsid w:val="003E6643"/>
    <w:rsid w:val="003E71DC"/>
    <w:rsid w:val="003E73BE"/>
    <w:rsid w:val="003E7DF7"/>
    <w:rsid w:val="003F036B"/>
    <w:rsid w:val="003F05A1"/>
    <w:rsid w:val="003F2673"/>
    <w:rsid w:val="003F3C07"/>
    <w:rsid w:val="003F437C"/>
    <w:rsid w:val="003F5085"/>
    <w:rsid w:val="003F529A"/>
    <w:rsid w:val="003F5B49"/>
    <w:rsid w:val="003F60F3"/>
    <w:rsid w:val="003F702E"/>
    <w:rsid w:val="00402E0A"/>
    <w:rsid w:val="00404214"/>
    <w:rsid w:val="00404D68"/>
    <w:rsid w:val="00405388"/>
    <w:rsid w:val="00405E23"/>
    <w:rsid w:val="00406FA0"/>
    <w:rsid w:val="00411594"/>
    <w:rsid w:val="0041186C"/>
    <w:rsid w:val="00412C3E"/>
    <w:rsid w:val="00414106"/>
    <w:rsid w:val="004146E9"/>
    <w:rsid w:val="0041536E"/>
    <w:rsid w:val="004169B1"/>
    <w:rsid w:val="00420542"/>
    <w:rsid w:val="0042260E"/>
    <w:rsid w:val="00422B74"/>
    <w:rsid w:val="00422B80"/>
    <w:rsid w:val="00423007"/>
    <w:rsid w:val="004241BC"/>
    <w:rsid w:val="004257A6"/>
    <w:rsid w:val="00425CE2"/>
    <w:rsid w:val="0042695D"/>
    <w:rsid w:val="004275B2"/>
    <w:rsid w:val="00430174"/>
    <w:rsid w:val="00430D1F"/>
    <w:rsid w:val="00430ECF"/>
    <w:rsid w:val="00431A26"/>
    <w:rsid w:val="0043356E"/>
    <w:rsid w:val="00433BD2"/>
    <w:rsid w:val="00433C4A"/>
    <w:rsid w:val="00433E54"/>
    <w:rsid w:val="00435631"/>
    <w:rsid w:val="00435C83"/>
    <w:rsid w:val="004405F8"/>
    <w:rsid w:val="00442714"/>
    <w:rsid w:val="004431CB"/>
    <w:rsid w:val="004439E6"/>
    <w:rsid w:val="00444644"/>
    <w:rsid w:val="00444DF2"/>
    <w:rsid w:val="0044692F"/>
    <w:rsid w:val="00447E0B"/>
    <w:rsid w:val="004505F7"/>
    <w:rsid w:val="00450B65"/>
    <w:rsid w:val="004513C2"/>
    <w:rsid w:val="00451D8F"/>
    <w:rsid w:val="004528D8"/>
    <w:rsid w:val="00452E89"/>
    <w:rsid w:val="00453A04"/>
    <w:rsid w:val="00454505"/>
    <w:rsid w:val="0045716A"/>
    <w:rsid w:val="00457E76"/>
    <w:rsid w:val="00457F50"/>
    <w:rsid w:val="0046037E"/>
    <w:rsid w:val="00460D60"/>
    <w:rsid w:val="00461383"/>
    <w:rsid w:val="00461CC2"/>
    <w:rsid w:val="00464771"/>
    <w:rsid w:val="004653EE"/>
    <w:rsid w:val="0046641B"/>
    <w:rsid w:val="00467190"/>
    <w:rsid w:val="00467EA7"/>
    <w:rsid w:val="00472F20"/>
    <w:rsid w:val="004730D8"/>
    <w:rsid w:val="0047392D"/>
    <w:rsid w:val="00474150"/>
    <w:rsid w:val="004748C3"/>
    <w:rsid w:val="004768EA"/>
    <w:rsid w:val="00476BE2"/>
    <w:rsid w:val="00477493"/>
    <w:rsid w:val="00482077"/>
    <w:rsid w:val="00482800"/>
    <w:rsid w:val="00483CE1"/>
    <w:rsid w:val="0048660B"/>
    <w:rsid w:val="00487018"/>
    <w:rsid w:val="004872DD"/>
    <w:rsid w:val="004903EA"/>
    <w:rsid w:val="00490B2A"/>
    <w:rsid w:val="0049199D"/>
    <w:rsid w:val="00491DF1"/>
    <w:rsid w:val="00492A48"/>
    <w:rsid w:val="0049411E"/>
    <w:rsid w:val="00494866"/>
    <w:rsid w:val="00496F08"/>
    <w:rsid w:val="0049782F"/>
    <w:rsid w:val="004A17C9"/>
    <w:rsid w:val="004A2401"/>
    <w:rsid w:val="004A42A4"/>
    <w:rsid w:val="004A4973"/>
    <w:rsid w:val="004A5A64"/>
    <w:rsid w:val="004A688A"/>
    <w:rsid w:val="004A6AFB"/>
    <w:rsid w:val="004B1F3E"/>
    <w:rsid w:val="004B28E9"/>
    <w:rsid w:val="004B3E08"/>
    <w:rsid w:val="004B71E3"/>
    <w:rsid w:val="004C1039"/>
    <w:rsid w:val="004C1C19"/>
    <w:rsid w:val="004C3175"/>
    <w:rsid w:val="004C3DF4"/>
    <w:rsid w:val="004C4D5A"/>
    <w:rsid w:val="004C6A91"/>
    <w:rsid w:val="004C7B83"/>
    <w:rsid w:val="004D12DD"/>
    <w:rsid w:val="004D195B"/>
    <w:rsid w:val="004D682A"/>
    <w:rsid w:val="004D6B3C"/>
    <w:rsid w:val="004D7F8E"/>
    <w:rsid w:val="004D7FA9"/>
    <w:rsid w:val="004E07BD"/>
    <w:rsid w:val="004E10BB"/>
    <w:rsid w:val="004E319E"/>
    <w:rsid w:val="004E3D07"/>
    <w:rsid w:val="004E507B"/>
    <w:rsid w:val="004E5ADE"/>
    <w:rsid w:val="004F68A9"/>
    <w:rsid w:val="004F6F9E"/>
    <w:rsid w:val="005002E3"/>
    <w:rsid w:val="00500B09"/>
    <w:rsid w:val="0050151C"/>
    <w:rsid w:val="00502B31"/>
    <w:rsid w:val="00502DA4"/>
    <w:rsid w:val="005032DB"/>
    <w:rsid w:val="005036AC"/>
    <w:rsid w:val="00503894"/>
    <w:rsid w:val="00503D71"/>
    <w:rsid w:val="00504133"/>
    <w:rsid w:val="005042D4"/>
    <w:rsid w:val="00506FA8"/>
    <w:rsid w:val="00511A9D"/>
    <w:rsid w:val="00511EA0"/>
    <w:rsid w:val="00511FC9"/>
    <w:rsid w:val="0051279B"/>
    <w:rsid w:val="00514A4B"/>
    <w:rsid w:val="00515A6D"/>
    <w:rsid w:val="00516A4D"/>
    <w:rsid w:val="00520491"/>
    <w:rsid w:val="00522265"/>
    <w:rsid w:val="005231CF"/>
    <w:rsid w:val="00525739"/>
    <w:rsid w:val="00525F00"/>
    <w:rsid w:val="00526BD9"/>
    <w:rsid w:val="00531228"/>
    <w:rsid w:val="005312AD"/>
    <w:rsid w:val="0053185E"/>
    <w:rsid w:val="005335F8"/>
    <w:rsid w:val="00533751"/>
    <w:rsid w:val="00535598"/>
    <w:rsid w:val="005379D0"/>
    <w:rsid w:val="00540244"/>
    <w:rsid w:val="005410D9"/>
    <w:rsid w:val="005424C4"/>
    <w:rsid w:val="00542EDD"/>
    <w:rsid w:val="00543567"/>
    <w:rsid w:val="00545B27"/>
    <w:rsid w:val="005463C5"/>
    <w:rsid w:val="005474FE"/>
    <w:rsid w:val="0054776A"/>
    <w:rsid w:val="0055203B"/>
    <w:rsid w:val="0055418A"/>
    <w:rsid w:val="005555B1"/>
    <w:rsid w:val="005560CA"/>
    <w:rsid w:val="00556F1C"/>
    <w:rsid w:val="0055719C"/>
    <w:rsid w:val="005573E6"/>
    <w:rsid w:val="00561EC9"/>
    <w:rsid w:val="005640DA"/>
    <w:rsid w:val="005645F6"/>
    <w:rsid w:val="00564FB8"/>
    <w:rsid w:val="00565306"/>
    <w:rsid w:val="00566852"/>
    <w:rsid w:val="00567851"/>
    <w:rsid w:val="00567A47"/>
    <w:rsid w:val="00570726"/>
    <w:rsid w:val="00572FDA"/>
    <w:rsid w:val="00574099"/>
    <w:rsid w:val="0057411B"/>
    <w:rsid w:val="00574173"/>
    <w:rsid w:val="005747F8"/>
    <w:rsid w:val="005766AA"/>
    <w:rsid w:val="00577BA8"/>
    <w:rsid w:val="00581B3A"/>
    <w:rsid w:val="005830C3"/>
    <w:rsid w:val="0058615D"/>
    <w:rsid w:val="00586CA1"/>
    <w:rsid w:val="0058763C"/>
    <w:rsid w:val="005878F1"/>
    <w:rsid w:val="00590C7A"/>
    <w:rsid w:val="00590CAC"/>
    <w:rsid w:val="0059348B"/>
    <w:rsid w:val="00594642"/>
    <w:rsid w:val="00596342"/>
    <w:rsid w:val="0059653E"/>
    <w:rsid w:val="00597EE1"/>
    <w:rsid w:val="00597F64"/>
    <w:rsid w:val="005A1010"/>
    <w:rsid w:val="005A1238"/>
    <w:rsid w:val="005A2414"/>
    <w:rsid w:val="005A36E7"/>
    <w:rsid w:val="005A41EF"/>
    <w:rsid w:val="005A4338"/>
    <w:rsid w:val="005A4456"/>
    <w:rsid w:val="005A457D"/>
    <w:rsid w:val="005A4FD9"/>
    <w:rsid w:val="005A6503"/>
    <w:rsid w:val="005A7BC8"/>
    <w:rsid w:val="005B04C9"/>
    <w:rsid w:val="005B1653"/>
    <w:rsid w:val="005B2A7D"/>
    <w:rsid w:val="005B2EFC"/>
    <w:rsid w:val="005B36C3"/>
    <w:rsid w:val="005B3826"/>
    <w:rsid w:val="005B5908"/>
    <w:rsid w:val="005B5BDD"/>
    <w:rsid w:val="005B63D9"/>
    <w:rsid w:val="005B6BDF"/>
    <w:rsid w:val="005C4994"/>
    <w:rsid w:val="005C4E65"/>
    <w:rsid w:val="005C500B"/>
    <w:rsid w:val="005C5A96"/>
    <w:rsid w:val="005C70AF"/>
    <w:rsid w:val="005D0A5D"/>
    <w:rsid w:val="005D0AB0"/>
    <w:rsid w:val="005D1C50"/>
    <w:rsid w:val="005D1F9D"/>
    <w:rsid w:val="005D2861"/>
    <w:rsid w:val="005D2EBB"/>
    <w:rsid w:val="005D40D3"/>
    <w:rsid w:val="005D5076"/>
    <w:rsid w:val="005D51DA"/>
    <w:rsid w:val="005D5EA9"/>
    <w:rsid w:val="005E126E"/>
    <w:rsid w:val="005E302D"/>
    <w:rsid w:val="005E3585"/>
    <w:rsid w:val="005E38EC"/>
    <w:rsid w:val="005E3DB7"/>
    <w:rsid w:val="005E43B6"/>
    <w:rsid w:val="005E5311"/>
    <w:rsid w:val="005E7E97"/>
    <w:rsid w:val="005F0F46"/>
    <w:rsid w:val="005F1092"/>
    <w:rsid w:val="005F150A"/>
    <w:rsid w:val="005F1E55"/>
    <w:rsid w:val="005F290B"/>
    <w:rsid w:val="005F3EEF"/>
    <w:rsid w:val="00600D87"/>
    <w:rsid w:val="00603724"/>
    <w:rsid w:val="006052D8"/>
    <w:rsid w:val="006057C6"/>
    <w:rsid w:val="00611C4B"/>
    <w:rsid w:val="00612631"/>
    <w:rsid w:val="00613CE6"/>
    <w:rsid w:val="00615328"/>
    <w:rsid w:val="00616ADE"/>
    <w:rsid w:val="006224C5"/>
    <w:rsid w:val="00622BB3"/>
    <w:rsid w:val="006231F6"/>
    <w:rsid w:val="00623BC1"/>
    <w:rsid w:val="00625D16"/>
    <w:rsid w:val="00625E37"/>
    <w:rsid w:val="0062624C"/>
    <w:rsid w:val="0062787C"/>
    <w:rsid w:val="0063244F"/>
    <w:rsid w:val="00635BC3"/>
    <w:rsid w:val="0063670A"/>
    <w:rsid w:val="00636C29"/>
    <w:rsid w:val="00636F03"/>
    <w:rsid w:val="00642DAB"/>
    <w:rsid w:val="00646D9D"/>
    <w:rsid w:val="00647A6C"/>
    <w:rsid w:val="006518ED"/>
    <w:rsid w:val="00651AE6"/>
    <w:rsid w:val="00652269"/>
    <w:rsid w:val="00652DC9"/>
    <w:rsid w:val="00652ED2"/>
    <w:rsid w:val="0065379D"/>
    <w:rsid w:val="00655CF6"/>
    <w:rsid w:val="006560E5"/>
    <w:rsid w:val="006561B8"/>
    <w:rsid w:val="00656D8F"/>
    <w:rsid w:val="0065791B"/>
    <w:rsid w:val="00657C56"/>
    <w:rsid w:val="0066138E"/>
    <w:rsid w:val="006615C8"/>
    <w:rsid w:val="00661B4D"/>
    <w:rsid w:val="0066266A"/>
    <w:rsid w:val="006627D8"/>
    <w:rsid w:val="00663907"/>
    <w:rsid w:val="00663B50"/>
    <w:rsid w:val="006646CC"/>
    <w:rsid w:val="00664B24"/>
    <w:rsid w:val="00664C26"/>
    <w:rsid w:val="0066638E"/>
    <w:rsid w:val="00666653"/>
    <w:rsid w:val="0066683D"/>
    <w:rsid w:val="00666BF5"/>
    <w:rsid w:val="006702AE"/>
    <w:rsid w:val="006705BE"/>
    <w:rsid w:val="00670660"/>
    <w:rsid w:val="00671706"/>
    <w:rsid w:val="00671CBB"/>
    <w:rsid w:val="00672A7C"/>
    <w:rsid w:val="0067433D"/>
    <w:rsid w:val="00675AE2"/>
    <w:rsid w:val="00675BC5"/>
    <w:rsid w:val="00677C15"/>
    <w:rsid w:val="006805CD"/>
    <w:rsid w:val="00681144"/>
    <w:rsid w:val="00681E65"/>
    <w:rsid w:val="00683391"/>
    <w:rsid w:val="0068436B"/>
    <w:rsid w:val="006848E4"/>
    <w:rsid w:val="00685309"/>
    <w:rsid w:val="00685A9D"/>
    <w:rsid w:val="006860F4"/>
    <w:rsid w:val="00692A13"/>
    <w:rsid w:val="00692AD4"/>
    <w:rsid w:val="006930F2"/>
    <w:rsid w:val="00693C94"/>
    <w:rsid w:val="006954CC"/>
    <w:rsid w:val="00695E1B"/>
    <w:rsid w:val="0069615D"/>
    <w:rsid w:val="006967A4"/>
    <w:rsid w:val="006979B8"/>
    <w:rsid w:val="006A0271"/>
    <w:rsid w:val="006A13CB"/>
    <w:rsid w:val="006A2FE8"/>
    <w:rsid w:val="006A3ADB"/>
    <w:rsid w:val="006A68AB"/>
    <w:rsid w:val="006A73A5"/>
    <w:rsid w:val="006B1964"/>
    <w:rsid w:val="006B1C21"/>
    <w:rsid w:val="006B2E32"/>
    <w:rsid w:val="006B32F6"/>
    <w:rsid w:val="006B5991"/>
    <w:rsid w:val="006B5B4E"/>
    <w:rsid w:val="006B5DC2"/>
    <w:rsid w:val="006B71CD"/>
    <w:rsid w:val="006C1FA2"/>
    <w:rsid w:val="006C3000"/>
    <w:rsid w:val="006C40AF"/>
    <w:rsid w:val="006C4628"/>
    <w:rsid w:val="006C471E"/>
    <w:rsid w:val="006C4BE5"/>
    <w:rsid w:val="006D08E2"/>
    <w:rsid w:val="006D0AB7"/>
    <w:rsid w:val="006D10DD"/>
    <w:rsid w:val="006D39BB"/>
    <w:rsid w:val="006D3AF4"/>
    <w:rsid w:val="006D6461"/>
    <w:rsid w:val="006E03BA"/>
    <w:rsid w:val="006E0E00"/>
    <w:rsid w:val="006E1883"/>
    <w:rsid w:val="006E1A35"/>
    <w:rsid w:val="006E2317"/>
    <w:rsid w:val="006E4893"/>
    <w:rsid w:val="006E4F6C"/>
    <w:rsid w:val="006E67AF"/>
    <w:rsid w:val="006E7870"/>
    <w:rsid w:val="006F060E"/>
    <w:rsid w:val="006F08FF"/>
    <w:rsid w:val="006F0CC9"/>
    <w:rsid w:val="006F1D2D"/>
    <w:rsid w:val="006F1F61"/>
    <w:rsid w:val="006F3E73"/>
    <w:rsid w:val="006F614C"/>
    <w:rsid w:val="006F61FA"/>
    <w:rsid w:val="006F72AD"/>
    <w:rsid w:val="006F734E"/>
    <w:rsid w:val="006F77D5"/>
    <w:rsid w:val="00700323"/>
    <w:rsid w:val="00703642"/>
    <w:rsid w:val="0070407D"/>
    <w:rsid w:val="00704F27"/>
    <w:rsid w:val="00706038"/>
    <w:rsid w:val="007068EE"/>
    <w:rsid w:val="00706D4E"/>
    <w:rsid w:val="00706F2A"/>
    <w:rsid w:val="0070747F"/>
    <w:rsid w:val="007118FD"/>
    <w:rsid w:val="00712970"/>
    <w:rsid w:val="00712ED0"/>
    <w:rsid w:val="00712F6E"/>
    <w:rsid w:val="00713931"/>
    <w:rsid w:val="007139CF"/>
    <w:rsid w:val="00713D56"/>
    <w:rsid w:val="00714088"/>
    <w:rsid w:val="00714238"/>
    <w:rsid w:val="0071576A"/>
    <w:rsid w:val="007173B2"/>
    <w:rsid w:val="00720B51"/>
    <w:rsid w:val="007238B0"/>
    <w:rsid w:val="00724C97"/>
    <w:rsid w:val="00724CA2"/>
    <w:rsid w:val="00726661"/>
    <w:rsid w:val="00730262"/>
    <w:rsid w:val="00730E63"/>
    <w:rsid w:val="00731A15"/>
    <w:rsid w:val="00732580"/>
    <w:rsid w:val="0073526C"/>
    <w:rsid w:val="00736582"/>
    <w:rsid w:val="00737A98"/>
    <w:rsid w:val="007410F5"/>
    <w:rsid w:val="00741300"/>
    <w:rsid w:val="00741795"/>
    <w:rsid w:val="00742872"/>
    <w:rsid w:val="00743C11"/>
    <w:rsid w:val="00747F2C"/>
    <w:rsid w:val="007503A8"/>
    <w:rsid w:val="007505EE"/>
    <w:rsid w:val="007523C7"/>
    <w:rsid w:val="00752989"/>
    <w:rsid w:val="00755B25"/>
    <w:rsid w:val="0075628A"/>
    <w:rsid w:val="007562EB"/>
    <w:rsid w:val="00766A56"/>
    <w:rsid w:val="00766F86"/>
    <w:rsid w:val="007675B3"/>
    <w:rsid w:val="00770027"/>
    <w:rsid w:val="007707DB"/>
    <w:rsid w:val="0077269B"/>
    <w:rsid w:val="00774CD1"/>
    <w:rsid w:val="007766DE"/>
    <w:rsid w:val="00776E29"/>
    <w:rsid w:val="00777055"/>
    <w:rsid w:val="00777DF3"/>
    <w:rsid w:val="00777F54"/>
    <w:rsid w:val="007801A4"/>
    <w:rsid w:val="00780F32"/>
    <w:rsid w:val="007820DC"/>
    <w:rsid w:val="00783901"/>
    <w:rsid w:val="007843B0"/>
    <w:rsid w:val="007848BB"/>
    <w:rsid w:val="007848EE"/>
    <w:rsid w:val="00784A77"/>
    <w:rsid w:val="00785355"/>
    <w:rsid w:val="00787831"/>
    <w:rsid w:val="007878D7"/>
    <w:rsid w:val="00790924"/>
    <w:rsid w:val="00790D80"/>
    <w:rsid w:val="00791339"/>
    <w:rsid w:val="00791E3A"/>
    <w:rsid w:val="0079200B"/>
    <w:rsid w:val="007920D6"/>
    <w:rsid w:val="00792CDF"/>
    <w:rsid w:val="00793B2D"/>
    <w:rsid w:val="00796FDC"/>
    <w:rsid w:val="007A109D"/>
    <w:rsid w:val="007A1A14"/>
    <w:rsid w:val="007A1F16"/>
    <w:rsid w:val="007A2083"/>
    <w:rsid w:val="007A3FC6"/>
    <w:rsid w:val="007A6776"/>
    <w:rsid w:val="007A6A23"/>
    <w:rsid w:val="007A6EF7"/>
    <w:rsid w:val="007A7859"/>
    <w:rsid w:val="007B0C36"/>
    <w:rsid w:val="007B1323"/>
    <w:rsid w:val="007B138E"/>
    <w:rsid w:val="007B1FAB"/>
    <w:rsid w:val="007B224F"/>
    <w:rsid w:val="007B2ED4"/>
    <w:rsid w:val="007B4032"/>
    <w:rsid w:val="007B5706"/>
    <w:rsid w:val="007B576D"/>
    <w:rsid w:val="007B5BB5"/>
    <w:rsid w:val="007B6734"/>
    <w:rsid w:val="007B75F0"/>
    <w:rsid w:val="007C0462"/>
    <w:rsid w:val="007C04CD"/>
    <w:rsid w:val="007C15CD"/>
    <w:rsid w:val="007C1A4B"/>
    <w:rsid w:val="007C23E0"/>
    <w:rsid w:val="007C4BD0"/>
    <w:rsid w:val="007C5E4C"/>
    <w:rsid w:val="007C70AF"/>
    <w:rsid w:val="007C78A8"/>
    <w:rsid w:val="007C7AE8"/>
    <w:rsid w:val="007C7C83"/>
    <w:rsid w:val="007D09FB"/>
    <w:rsid w:val="007D0AD6"/>
    <w:rsid w:val="007D0FE5"/>
    <w:rsid w:val="007D17C0"/>
    <w:rsid w:val="007D1BED"/>
    <w:rsid w:val="007D2AD4"/>
    <w:rsid w:val="007D3B56"/>
    <w:rsid w:val="007D47F7"/>
    <w:rsid w:val="007D498E"/>
    <w:rsid w:val="007D703C"/>
    <w:rsid w:val="007E0CE4"/>
    <w:rsid w:val="007E103A"/>
    <w:rsid w:val="007E113E"/>
    <w:rsid w:val="007E2B15"/>
    <w:rsid w:val="007E2F29"/>
    <w:rsid w:val="007E304C"/>
    <w:rsid w:val="007E52A5"/>
    <w:rsid w:val="007E538A"/>
    <w:rsid w:val="007E58A0"/>
    <w:rsid w:val="007E5C89"/>
    <w:rsid w:val="007E6923"/>
    <w:rsid w:val="007F0194"/>
    <w:rsid w:val="007F1FC3"/>
    <w:rsid w:val="007F2BD1"/>
    <w:rsid w:val="007F76F5"/>
    <w:rsid w:val="007F7C43"/>
    <w:rsid w:val="00800BB6"/>
    <w:rsid w:val="00800FEB"/>
    <w:rsid w:val="008013C7"/>
    <w:rsid w:val="00801AAA"/>
    <w:rsid w:val="0080287C"/>
    <w:rsid w:val="00802ADB"/>
    <w:rsid w:val="0080375B"/>
    <w:rsid w:val="0080386D"/>
    <w:rsid w:val="00803EB9"/>
    <w:rsid w:val="008043B4"/>
    <w:rsid w:val="00804CA1"/>
    <w:rsid w:val="008057F5"/>
    <w:rsid w:val="008060A9"/>
    <w:rsid w:val="0080617E"/>
    <w:rsid w:val="00806A79"/>
    <w:rsid w:val="00807B1B"/>
    <w:rsid w:val="00810D23"/>
    <w:rsid w:val="00811398"/>
    <w:rsid w:val="00813416"/>
    <w:rsid w:val="00813996"/>
    <w:rsid w:val="008155B2"/>
    <w:rsid w:val="00817804"/>
    <w:rsid w:val="00821B89"/>
    <w:rsid w:val="00822063"/>
    <w:rsid w:val="00822199"/>
    <w:rsid w:val="00823712"/>
    <w:rsid w:val="0082391F"/>
    <w:rsid w:val="008242D0"/>
    <w:rsid w:val="00824C4D"/>
    <w:rsid w:val="0083018F"/>
    <w:rsid w:val="00830652"/>
    <w:rsid w:val="0083070C"/>
    <w:rsid w:val="00831887"/>
    <w:rsid w:val="0083272D"/>
    <w:rsid w:val="00833BC8"/>
    <w:rsid w:val="0083584C"/>
    <w:rsid w:val="00835E27"/>
    <w:rsid w:val="0083791E"/>
    <w:rsid w:val="00837B88"/>
    <w:rsid w:val="00837C47"/>
    <w:rsid w:val="008408C4"/>
    <w:rsid w:val="00842804"/>
    <w:rsid w:val="00843D09"/>
    <w:rsid w:val="00844321"/>
    <w:rsid w:val="00844916"/>
    <w:rsid w:val="00845223"/>
    <w:rsid w:val="008452A9"/>
    <w:rsid w:val="008504DA"/>
    <w:rsid w:val="00850626"/>
    <w:rsid w:val="00851C38"/>
    <w:rsid w:val="00851DAD"/>
    <w:rsid w:val="00852522"/>
    <w:rsid w:val="00852812"/>
    <w:rsid w:val="008539CE"/>
    <w:rsid w:val="00855159"/>
    <w:rsid w:val="00855CA8"/>
    <w:rsid w:val="008567BC"/>
    <w:rsid w:val="008613DD"/>
    <w:rsid w:val="00861D71"/>
    <w:rsid w:val="008640B9"/>
    <w:rsid w:val="00865862"/>
    <w:rsid w:val="00866BE8"/>
    <w:rsid w:val="008701D9"/>
    <w:rsid w:val="00874431"/>
    <w:rsid w:val="00875AA8"/>
    <w:rsid w:val="00876B75"/>
    <w:rsid w:val="00880727"/>
    <w:rsid w:val="00880B37"/>
    <w:rsid w:val="0088474D"/>
    <w:rsid w:val="00884D29"/>
    <w:rsid w:val="00885576"/>
    <w:rsid w:val="00885669"/>
    <w:rsid w:val="008872DA"/>
    <w:rsid w:val="00890FFB"/>
    <w:rsid w:val="008970B3"/>
    <w:rsid w:val="008A07AF"/>
    <w:rsid w:val="008A11A1"/>
    <w:rsid w:val="008A16D2"/>
    <w:rsid w:val="008A2887"/>
    <w:rsid w:val="008A2CAB"/>
    <w:rsid w:val="008A2D83"/>
    <w:rsid w:val="008A2F34"/>
    <w:rsid w:val="008A3628"/>
    <w:rsid w:val="008A3769"/>
    <w:rsid w:val="008A5839"/>
    <w:rsid w:val="008B11AD"/>
    <w:rsid w:val="008B1A06"/>
    <w:rsid w:val="008B3C47"/>
    <w:rsid w:val="008B3EDF"/>
    <w:rsid w:val="008B46F6"/>
    <w:rsid w:val="008B5B39"/>
    <w:rsid w:val="008C0CB9"/>
    <w:rsid w:val="008C1603"/>
    <w:rsid w:val="008C22ED"/>
    <w:rsid w:val="008C5974"/>
    <w:rsid w:val="008C6A0D"/>
    <w:rsid w:val="008D06C6"/>
    <w:rsid w:val="008D18AF"/>
    <w:rsid w:val="008D1BCA"/>
    <w:rsid w:val="008D1E2E"/>
    <w:rsid w:val="008D2005"/>
    <w:rsid w:val="008D3024"/>
    <w:rsid w:val="008D48D1"/>
    <w:rsid w:val="008D4A5F"/>
    <w:rsid w:val="008D5BE6"/>
    <w:rsid w:val="008D5F1D"/>
    <w:rsid w:val="008D6CAE"/>
    <w:rsid w:val="008E019D"/>
    <w:rsid w:val="008E063A"/>
    <w:rsid w:val="008E1624"/>
    <w:rsid w:val="008E1B3A"/>
    <w:rsid w:val="008E2F60"/>
    <w:rsid w:val="008E3E0C"/>
    <w:rsid w:val="008E4198"/>
    <w:rsid w:val="008E627E"/>
    <w:rsid w:val="008E639E"/>
    <w:rsid w:val="008E6C7F"/>
    <w:rsid w:val="008F032B"/>
    <w:rsid w:val="008F0E7A"/>
    <w:rsid w:val="008F1957"/>
    <w:rsid w:val="008F1B88"/>
    <w:rsid w:val="008F4676"/>
    <w:rsid w:val="008F57E1"/>
    <w:rsid w:val="008F6B2F"/>
    <w:rsid w:val="00903D71"/>
    <w:rsid w:val="00904DA8"/>
    <w:rsid w:val="00904DAF"/>
    <w:rsid w:val="0091146C"/>
    <w:rsid w:val="00911658"/>
    <w:rsid w:val="00912F5D"/>
    <w:rsid w:val="00913205"/>
    <w:rsid w:val="00913703"/>
    <w:rsid w:val="00913907"/>
    <w:rsid w:val="00913920"/>
    <w:rsid w:val="009144A3"/>
    <w:rsid w:val="00915827"/>
    <w:rsid w:val="00917A2A"/>
    <w:rsid w:val="0092135C"/>
    <w:rsid w:val="00922FDA"/>
    <w:rsid w:val="00932C5C"/>
    <w:rsid w:val="0093301B"/>
    <w:rsid w:val="009400A1"/>
    <w:rsid w:val="00941A24"/>
    <w:rsid w:val="00941FD7"/>
    <w:rsid w:val="00943BE6"/>
    <w:rsid w:val="00943E81"/>
    <w:rsid w:val="00945DF3"/>
    <w:rsid w:val="009475DD"/>
    <w:rsid w:val="00947F09"/>
    <w:rsid w:val="009506DF"/>
    <w:rsid w:val="009510D5"/>
    <w:rsid w:val="009516B3"/>
    <w:rsid w:val="00952E79"/>
    <w:rsid w:val="00953953"/>
    <w:rsid w:val="00955F04"/>
    <w:rsid w:val="00957186"/>
    <w:rsid w:val="009572D0"/>
    <w:rsid w:val="00957416"/>
    <w:rsid w:val="0096140A"/>
    <w:rsid w:val="00961526"/>
    <w:rsid w:val="00961FFC"/>
    <w:rsid w:val="00964E8A"/>
    <w:rsid w:val="00967B25"/>
    <w:rsid w:val="0097035D"/>
    <w:rsid w:val="00970F86"/>
    <w:rsid w:val="00971605"/>
    <w:rsid w:val="00973B3A"/>
    <w:rsid w:val="00973ECC"/>
    <w:rsid w:val="009744A4"/>
    <w:rsid w:val="00980578"/>
    <w:rsid w:val="00981A5B"/>
    <w:rsid w:val="00982AFA"/>
    <w:rsid w:val="00982B4D"/>
    <w:rsid w:val="00982ED6"/>
    <w:rsid w:val="009832CB"/>
    <w:rsid w:val="009840C0"/>
    <w:rsid w:val="009869E1"/>
    <w:rsid w:val="0099015A"/>
    <w:rsid w:val="00993B53"/>
    <w:rsid w:val="00994726"/>
    <w:rsid w:val="00994A37"/>
    <w:rsid w:val="009972AE"/>
    <w:rsid w:val="009A296A"/>
    <w:rsid w:val="009A3652"/>
    <w:rsid w:val="009A52F0"/>
    <w:rsid w:val="009A55C9"/>
    <w:rsid w:val="009A5719"/>
    <w:rsid w:val="009A6085"/>
    <w:rsid w:val="009A6EF5"/>
    <w:rsid w:val="009A7048"/>
    <w:rsid w:val="009B027C"/>
    <w:rsid w:val="009B035A"/>
    <w:rsid w:val="009B1287"/>
    <w:rsid w:val="009B1738"/>
    <w:rsid w:val="009B1941"/>
    <w:rsid w:val="009B2702"/>
    <w:rsid w:val="009B57F9"/>
    <w:rsid w:val="009B5819"/>
    <w:rsid w:val="009B5E97"/>
    <w:rsid w:val="009B5F18"/>
    <w:rsid w:val="009B7965"/>
    <w:rsid w:val="009C0244"/>
    <w:rsid w:val="009C1AD7"/>
    <w:rsid w:val="009C1FD2"/>
    <w:rsid w:val="009C28F7"/>
    <w:rsid w:val="009C2CFE"/>
    <w:rsid w:val="009C3815"/>
    <w:rsid w:val="009C4608"/>
    <w:rsid w:val="009C4B37"/>
    <w:rsid w:val="009C5C72"/>
    <w:rsid w:val="009C76C8"/>
    <w:rsid w:val="009C7D5B"/>
    <w:rsid w:val="009D0014"/>
    <w:rsid w:val="009D0615"/>
    <w:rsid w:val="009D08CF"/>
    <w:rsid w:val="009D13D7"/>
    <w:rsid w:val="009D225B"/>
    <w:rsid w:val="009D2DB0"/>
    <w:rsid w:val="009D3A46"/>
    <w:rsid w:val="009D52DB"/>
    <w:rsid w:val="009D5399"/>
    <w:rsid w:val="009D57F7"/>
    <w:rsid w:val="009D7F61"/>
    <w:rsid w:val="009E01A6"/>
    <w:rsid w:val="009E0B55"/>
    <w:rsid w:val="009E2E0E"/>
    <w:rsid w:val="009E66B6"/>
    <w:rsid w:val="009E6CE3"/>
    <w:rsid w:val="009E7191"/>
    <w:rsid w:val="009F0485"/>
    <w:rsid w:val="009F2940"/>
    <w:rsid w:val="009F3A78"/>
    <w:rsid w:val="009F5429"/>
    <w:rsid w:val="009F57F8"/>
    <w:rsid w:val="009F70B2"/>
    <w:rsid w:val="009F7EA8"/>
    <w:rsid w:val="00A000BC"/>
    <w:rsid w:val="00A0041D"/>
    <w:rsid w:val="00A01585"/>
    <w:rsid w:val="00A01AB5"/>
    <w:rsid w:val="00A01B95"/>
    <w:rsid w:val="00A02D77"/>
    <w:rsid w:val="00A02DE2"/>
    <w:rsid w:val="00A0417E"/>
    <w:rsid w:val="00A04615"/>
    <w:rsid w:val="00A06E03"/>
    <w:rsid w:val="00A074C6"/>
    <w:rsid w:val="00A1018D"/>
    <w:rsid w:val="00A1566E"/>
    <w:rsid w:val="00A15F5C"/>
    <w:rsid w:val="00A162FE"/>
    <w:rsid w:val="00A16DCF"/>
    <w:rsid w:val="00A17928"/>
    <w:rsid w:val="00A17E51"/>
    <w:rsid w:val="00A2280F"/>
    <w:rsid w:val="00A22A62"/>
    <w:rsid w:val="00A22B05"/>
    <w:rsid w:val="00A241AD"/>
    <w:rsid w:val="00A24E84"/>
    <w:rsid w:val="00A26616"/>
    <w:rsid w:val="00A27D15"/>
    <w:rsid w:val="00A27EBE"/>
    <w:rsid w:val="00A31CC7"/>
    <w:rsid w:val="00A3359B"/>
    <w:rsid w:val="00A33B78"/>
    <w:rsid w:val="00A34327"/>
    <w:rsid w:val="00A346A6"/>
    <w:rsid w:val="00A35530"/>
    <w:rsid w:val="00A35BB4"/>
    <w:rsid w:val="00A35C9F"/>
    <w:rsid w:val="00A36B7B"/>
    <w:rsid w:val="00A37393"/>
    <w:rsid w:val="00A37A94"/>
    <w:rsid w:val="00A37BCE"/>
    <w:rsid w:val="00A40496"/>
    <w:rsid w:val="00A40A92"/>
    <w:rsid w:val="00A40D5F"/>
    <w:rsid w:val="00A41A58"/>
    <w:rsid w:val="00A42233"/>
    <w:rsid w:val="00A433F4"/>
    <w:rsid w:val="00A4379C"/>
    <w:rsid w:val="00A478CA"/>
    <w:rsid w:val="00A509A0"/>
    <w:rsid w:val="00A517CF"/>
    <w:rsid w:val="00A51FC3"/>
    <w:rsid w:val="00A5294C"/>
    <w:rsid w:val="00A53006"/>
    <w:rsid w:val="00A53B00"/>
    <w:rsid w:val="00A54370"/>
    <w:rsid w:val="00A54DB0"/>
    <w:rsid w:val="00A558A8"/>
    <w:rsid w:val="00A55980"/>
    <w:rsid w:val="00A563A4"/>
    <w:rsid w:val="00A56645"/>
    <w:rsid w:val="00A5748B"/>
    <w:rsid w:val="00A62FED"/>
    <w:rsid w:val="00A65888"/>
    <w:rsid w:val="00A65C9A"/>
    <w:rsid w:val="00A66AEA"/>
    <w:rsid w:val="00A670F9"/>
    <w:rsid w:val="00A70C34"/>
    <w:rsid w:val="00A73873"/>
    <w:rsid w:val="00A7704B"/>
    <w:rsid w:val="00A812BD"/>
    <w:rsid w:val="00A82D0E"/>
    <w:rsid w:val="00A83B03"/>
    <w:rsid w:val="00A83FCD"/>
    <w:rsid w:val="00A85164"/>
    <w:rsid w:val="00A85395"/>
    <w:rsid w:val="00A86A91"/>
    <w:rsid w:val="00A903A0"/>
    <w:rsid w:val="00A9075F"/>
    <w:rsid w:val="00A924B2"/>
    <w:rsid w:val="00A92ED0"/>
    <w:rsid w:val="00A931F7"/>
    <w:rsid w:val="00A93C56"/>
    <w:rsid w:val="00A94462"/>
    <w:rsid w:val="00A95AB3"/>
    <w:rsid w:val="00A96613"/>
    <w:rsid w:val="00A97967"/>
    <w:rsid w:val="00A97A46"/>
    <w:rsid w:val="00A97A51"/>
    <w:rsid w:val="00AA03FF"/>
    <w:rsid w:val="00AA20AD"/>
    <w:rsid w:val="00AA236E"/>
    <w:rsid w:val="00AA2783"/>
    <w:rsid w:val="00AA596F"/>
    <w:rsid w:val="00AA6E72"/>
    <w:rsid w:val="00AA7413"/>
    <w:rsid w:val="00AA7BDE"/>
    <w:rsid w:val="00AB14B0"/>
    <w:rsid w:val="00AB3AF3"/>
    <w:rsid w:val="00AB3B8F"/>
    <w:rsid w:val="00AB49E1"/>
    <w:rsid w:val="00AB4D96"/>
    <w:rsid w:val="00AB59A0"/>
    <w:rsid w:val="00AB5FFB"/>
    <w:rsid w:val="00AB6B23"/>
    <w:rsid w:val="00AC244D"/>
    <w:rsid w:val="00AC4860"/>
    <w:rsid w:val="00AC6181"/>
    <w:rsid w:val="00AC63F9"/>
    <w:rsid w:val="00AC659C"/>
    <w:rsid w:val="00AC660B"/>
    <w:rsid w:val="00AC7083"/>
    <w:rsid w:val="00AD0420"/>
    <w:rsid w:val="00AD0BB4"/>
    <w:rsid w:val="00AD3852"/>
    <w:rsid w:val="00AD5209"/>
    <w:rsid w:val="00AD57BB"/>
    <w:rsid w:val="00AD5996"/>
    <w:rsid w:val="00AD6557"/>
    <w:rsid w:val="00AD6C8F"/>
    <w:rsid w:val="00AD710D"/>
    <w:rsid w:val="00AD7895"/>
    <w:rsid w:val="00AD7945"/>
    <w:rsid w:val="00AD7ED0"/>
    <w:rsid w:val="00AE18A0"/>
    <w:rsid w:val="00AE41AF"/>
    <w:rsid w:val="00AE559D"/>
    <w:rsid w:val="00AE5748"/>
    <w:rsid w:val="00AE58B2"/>
    <w:rsid w:val="00AE6631"/>
    <w:rsid w:val="00AE7241"/>
    <w:rsid w:val="00AE7694"/>
    <w:rsid w:val="00AF1BA4"/>
    <w:rsid w:val="00AF1C9C"/>
    <w:rsid w:val="00AF320A"/>
    <w:rsid w:val="00AF4333"/>
    <w:rsid w:val="00B00AF7"/>
    <w:rsid w:val="00B02A21"/>
    <w:rsid w:val="00B02D05"/>
    <w:rsid w:val="00B0541E"/>
    <w:rsid w:val="00B07A4C"/>
    <w:rsid w:val="00B07D8E"/>
    <w:rsid w:val="00B119F5"/>
    <w:rsid w:val="00B13BAA"/>
    <w:rsid w:val="00B14330"/>
    <w:rsid w:val="00B2033A"/>
    <w:rsid w:val="00B21B84"/>
    <w:rsid w:val="00B2217C"/>
    <w:rsid w:val="00B22F1E"/>
    <w:rsid w:val="00B231F5"/>
    <w:rsid w:val="00B24668"/>
    <w:rsid w:val="00B2566C"/>
    <w:rsid w:val="00B26D0D"/>
    <w:rsid w:val="00B27395"/>
    <w:rsid w:val="00B2774B"/>
    <w:rsid w:val="00B27E62"/>
    <w:rsid w:val="00B27F70"/>
    <w:rsid w:val="00B304AB"/>
    <w:rsid w:val="00B34F54"/>
    <w:rsid w:val="00B353B8"/>
    <w:rsid w:val="00B36469"/>
    <w:rsid w:val="00B36F13"/>
    <w:rsid w:val="00B37B4D"/>
    <w:rsid w:val="00B37C92"/>
    <w:rsid w:val="00B501A8"/>
    <w:rsid w:val="00B5473D"/>
    <w:rsid w:val="00B5500F"/>
    <w:rsid w:val="00B56D5B"/>
    <w:rsid w:val="00B578AC"/>
    <w:rsid w:val="00B578D8"/>
    <w:rsid w:val="00B62AA6"/>
    <w:rsid w:val="00B62C91"/>
    <w:rsid w:val="00B6303B"/>
    <w:rsid w:val="00B63791"/>
    <w:rsid w:val="00B6446D"/>
    <w:rsid w:val="00B66085"/>
    <w:rsid w:val="00B673A0"/>
    <w:rsid w:val="00B6776C"/>
    <w:rsid w:val="00B701A1"/>
    <w:rsid w:val="00B7064A"/>
    <w:rsid w:val="00B70958"/>
    <w:rsid w:val="00B70B63"/>
    <w:rsid w:val="00B71140"/>
    <w:rsid w:val="00B735A2"/>
    <w:rsid w:val="00B7369A"/>
    <w:rsid w:val="00B73A9C"/>
    <w:rsid w:val="00B76B37"/>
    <w:rsid w:val="00B7765D"/>
    <w:rsid w:val="00B77F02"/>
    <w:rsid w:val="00B804FE"/>
    <w:rsid w:val="00B80ABD"/>
    <w:rsid w:val="00B81960"/>
    <w:rsid w:val="00B82A8C"/>
    <w:rsid w:val="00B847D7"/>
    <w:rsid w:val="00B85333"/>
    <w:rsid w:val="00B86145"/>
    <w:rsid w:val="00B872B9"/>
    <w:rsid w:val="00B87736"/>
    <w:rsid w:val="00B911D0"/>
    <w:rsid w:val="00B913C1"/>
    <w:rsid w:val="00B91F81"/>
    <w:rsid w:val="00B929DD"/>
    <w:rsid w:val="00B93509"/>
    <w:rsid w:val="00B94239"/>
    <w:rsid w:val="00B94980"/>
    <w:rsid w:val="00B953E6"/>
    <w:rsid w:val="00B9576D"/>
    <w:rsid w:val="00B95DB4"/>
    <w:rsid w:val="00B96368"/>
    <w:rsid w:val="00BA0C23"/>
    <w:rsid w:val="00BA22C6"/>
    <w:rsid w:val="00BA343E"/>
    <w:rsid w:val="00BA3530"/>
    <w:rsid w:val="00BA4A8D"/>
    <w:rsid w:val="00BA4B0B"/>
    <w:rsid w:val="00BA63CB"/>
    <w:rsid w:val="00BB0FF3"/>
    <w:rsid w:val="00BB40D5"/>
    <w:rsid w:val="00BB7DD2"/>
    <w:rsid w:val="00BC0264"/>
    <w:rsid w:val="00BC0B58"/>
    <w:rsid w:val="00BC6711"/>
    <w:rsid w:val="00BC68C5"/>
    <w:rsid w:val="00BC6AE2"/>
    <w:rsid w:val="00BC7975"/>
    <w:rsid w:val="00BD1221"/>
    <w:rsid w:val="00BD125D"/>
    <w:rsid w:val="00BD2AC0"/>
    <w:rsid w:val="00BD2F12"/>
    <w:rsid w:val="00BD3B7A"/>
    <w:rsid w:val="00BD42A7"/>
    <w:rsid w:val="00BD63A2"/>
    <w:rsid w:val="00BD6DB8"/>
    <w:rsid w:val="00BD7813"/>
    <w:rsid w:val="00BD7A8C"/>
    <w:rsid w:val="00BE05D4"/>
    <w:rsid w:val="00BE26C9"/>
    <w:rsid w:val="00BE28F4"/>
    <w:rsid w:val="00BE427B"/>
    <w:rsid w:val="00BE4DBC"/>
    <w:rsid w:val="00BE4FFB"/>
    <w:rsid w:val="00BE5317"/>
    <w:rsid w:val="00BE5B5D"/>
    <w:rsid w:val="00BE7216"/>
    <w:rsid w:val="00BF259C"/>
    <w:rsid w:val="00BF348C"/>
    <w:rsid w:val="00BF480F"/>
    <w:rsid w:val="00BF4B56"/>
    <w:rsid w:val="00BF5EA3"/>
    <w:rsid w:val="00C01270"/>
    <w:rsid w:val="00C01897"/>
    <w:rsid w:val="00C02403"/>
    <w:rsid w:val="00C02A25"/>
    <w:rsid w:val="00C0326A"/>
    <w:rsid w:val="00C11D04"/>
    <w:rsid w:val="00C124FC"/>
    <w:rsid w:val="00C131F9"/>
    <w:rsid w:val="00C13F65"/>
    <w:rsid w:val="00C159F0"/>
    <w:rsid w:val="00C15A83"/>
    <w:rsid w:val="00C1772D"/>
    <w:rsid w:val="00C210DA"/>
    <w:rsid w:val="00C21C8D"/>
    <w:rsid w:val="00C2272A"/>
    <w:rsid w:val="00C2396D"/>
    <w:rsid w:val="00C252AD"/>
    <w:rsid w:val="00C26FF2"/>
    <w:rsid w:val="00C2704F"/>
    <w:rsid w:val="00C30072"/>
    <w:rsid w:val="00C305D2"/>
    <w:rsid w:val="00C314FF"/>
    <w:rsid w:val="00C31BFC"/>
    <w:rsid w:val="00C32019"/>
    <w:rsid w:val="00C3266B"/>
    <w:rsid w:val="00C35B5F"/>
    <w:rsid w:val="00C36D42"/>
    <w:rsid w:val="00C36DD5"/>
    <w:rsid w:val="00C37B33"/>
    <w:rsid w:val="00C40A53"/>
    <w:rsid w:val="00C40CF5"/>
    <w:rsid w:val="00C4186F"/>
    <w:rsid w:val="00C440D6"/>
    <w:rsid w:val="00C44FF2"/>
    <w:rsid w:val="00C46194"/>
    <w:rsid w:val="00C463A2"/>
    <w:rsid w:val="00C46F1C"/>
    <w:rsid w:val="00C471BB"/>
    <w:rsid w:val="00C473D6"/>
    <w:rsid w:val="00C50145"/>
    <w:rsid w:val="00C50231"/>
    <w:rsid w:val="00C53657"/>
    <w:rsid w:val="00C54C0D"/>
    <w:rsid w:val="00C55529"/>
    <w:rsid w:val="00C60490"/>
    <w:rsid w:val="00C60612"/>
    <w:rsid w:val="00C6069B"/>
    <w:rsid w:val="00C61585"/>
    <w:rsid w:val="00C6179E"/>
    <w:rsid w:val="00C6197D"/>
    <w:rsid w:val="00C61ED2"/>
    <w:rsid w:val="00C63667"/>
    <w:rsid w:val="00C63E1B"/>
    <w:rsid w:val="00C666F7"/>
    <w:rsid w:val="00C67173"/>
    <w:rsid w:val="00C7037C"/>
    <w:rsid w:val="00C7055A"/>
    <w:rsid w:val="00C71375"/>
    <w:rsid w:val="00C715B7"/>
    <w:rsid w:val="00C71E15"/>
    <w:rsid w:val="00C724D6"/>
    <w:rsid w:val="00C728AF"/>
    <w:rsid w:val="00C7367E"/>
    <w:rsid w:val="00C74AAC"/>
    <w:rsid w:val="00C75AC0"/>
    <w:rsid w:val="00C76922"/>
    <w:rsid w:val="00C770DA"/>
    <w:rsid w:val="00C774D5"/>
    <w:rsid w:val="00C80A6D"/>
    <w:rsid w:val="00C80BE6"/>
    <w:rsid w:val="00C80BEC"/>
    <w:rsid w:val="00C81575"/>
    <w:rsid w:val="00C818BA"/>
    <w:rsid w:val="00C81CF9"/>
    <w:rsid w:val="00C82FB8"/>
    <w:rsid w:val="00C83C99"/>
    <w:rsid w:val="00C844DC"/>
    <w:rsid w:val="00C84578"/>
    <w:rsid w:val="00C861EA"/>
    <w:rsid w:val="00C863E6"/>
    <w:rsid w:val="00C8757D"/>
    <w:rsid w:val="00C90178"/>
    <w:rsid w:val="00C9033C"/>
    <w:rsid w:val="00C908C7"/>
    <w:rsid w:val="00C914F4"/>
    <w:rsid w:val="00C91587"/>
    <w:rsid w:val="00C9253A"/>
    <w:rsid w:val="00C95839"/>
    <w:rsid w:val="00C95CB4"/>
    <w:rsid w:val="00C966AE"/>
    <w:rsid w:val="00C9753B"/>
    <w:rsid w:val="00C97F28"/>
    <w:rsid w:val="00CA0CBF"/>
    <w:rsid w:val="00CA0E4A"/>
    <w:rsid w:val="00CA1559"/>
    <w:rsid w:val="00CA2B3F"/>
    <w:rsid w:val="00CA3359"/>
    <w:rsid w:val="00CA3645"/>
    <w:rsid w:val="00CA46BA"/>
    <w:rsid w:val="00CA51DC"/>
    <w:rsid w:val="00CA5703"/>
    <w:rsid w:val="00CA7739"/>
    <w:rsid w:val="00CA7C04"/>
    <w:rsid w:val="00CB015D"/>
    <w:rsid w:val="00CB0F57"/>
    <w:rsid w:val="00CB11BE"/>
    <w:rsid w:val="00CB3272"/>
    <w:rsid w:val="00CB3C1E"/>
    <w:rsid w:val="00CB5992"/>
    <w:rsid w:val="00CB68C4"/>
    <w:rsid w:val="00CB6B2A"/>
    <w:rsid w:val="00CB6C99"/>
    <w:rsid w:val="00CB6F35"/>
    <w:rsid w:val="00CB70FB"/>
    <w:rsid w:val="00CB74DA"/>
    <w:rsid w:val="00CC0B62"/>
    <w:rsid w:val="00CC0F10"/>
    <w:rsid w:val="00CC162B"/>
    <w:rsid w:val="00CC1C11"/>
    <w:rsid w:val="00CC369E"/>
    <w:rsid w:val="00CC3B0B"/>
    <w:rsid w:val="00CC739C"/>
    <w:rsid w:val="00CD0364"/>
    <w:rsid w:val="00CD0773"/>
    <w:rsid w:val="00CD095A"/>
    <w:rsid w:val="00CD645E"/>
    <w:rsid w:val="00CD68BB"/>
    <w:rsid w:val="00CD68D5"/>
    <w:rsid w:val="00CD6AF2"/>
    <w:rsid w:val="00CE0025"/>
    <w:rsid w:val="00CE099A"/>
    <w:rsid w:val="00CE2220"/>
    <w:rsid w:val="00CE3328"/>
    <w:rsid w:val="00CE3683"/>
    <w:rsid w:val="00CE3710"/>
    <w:rsid w:val="00CE3C4F"/>
    <w:rsid w:val="00CE4728"/>
    <w:rsid w:val="00CE491C"/>
    <w:rsid w:val="00CE4B63"/>
    <w:rsid w:val="00CE5740"/>
    <w:rsid w:val="00CE6A2B"/>
    <w:rsid w:val="00CE7076"/>
    <w:rsid w:val="00CE7C0B"/>
    <w:rsid w:val="00CF015F"/>
    <w:rsid w:val="00CF0ACD"/>
    <w:rsid w:val="00CF0E0B"/>
    <w:rsid w:val="00CF1CD1"/>
    <w:rsid w:val="00CF2124"/>
    <w:rsid w:val="00CF2135"/>
    <w:rsid w:val="00CF4A51"/>
    <w:rsid w:val="00CF5C40"/>
    <w:rsid w:val="00CF630B"/>
    <w:rsid w:val="00CF6A70"/>
    <w:rsid w:val="00CF75AA"/>
    <w:rsid w:val="00D001C2"/>
    <w:rsid w:val="00D0084B"/>
    <w:rsid w:val="00D00B98"/>
    <w:rsid w:val="00D035A3"/>
    <w:rsid w:val="00D03C53"/>
    <w:rsid w:val="00D03C78"/>
    <w:rsid w:val="00D048CE"/>
    <w:rsid w:val="00D05040"/>
    <w:rsid w:val="00D05557"/>
    <w:rsid w:val="00D05C14"/>
    <w:rsid w:val="00D0655A"/>
    <w:rsid w:val="00D06C02"/>
    <w:rsid w:val="00D06FD9"/>
    <w:rsid w:val="00D073CA"/>
    <w:rsid w:val="00D10FBA"/>
    <w:rsid w:val="00D125D7"/>
    <w:rsid w:val="00D14CE3"/>
    <w:rsid w:val="00D1617F"/>
    <w:rsid w:val="00D20619"/>
    <w:rsid w:val="00D21D85"/>
    <w:rsid w:val="00D21E6D"/>
    <w:rsid w:val="00D21EBA"/>
    <w:rsid w:val="00D23CAF"/>
    <w:rsid w:val="00D23FB0"/>
    <w:rsid w:val="00D259D7"/>
    <w:rsid w:val="00D27ED9"/>
    <w:rsid w:val="00D30BBA"/>
    <w:rsid w:val="00D31686"/>
    <w:rsid w:val="00D35574"/>
    <w:rsid w:val="00D3568D"/>
    <w:rsid w:val="00D37065"/>
    <w:rsid w:val="00D3737C"/>
    <w:rsid w:val="00D40596"/>
    <w:rsid w:val="00D4063F"/>
    <w:rsid w:val="00D40901"/>
    <w:rsid w:val="00D40999"/>
    <w:rsid w:val="00D4175D"/>
    <w:rsid w:val="00D41CC4"/>
    <w:rsid w:val="00D42001"/>
    <w:rsid w:val="00D423DB"/>
    <w:rsid w:val="00D45B56"/>
    <w:rsid w:val="00D47873"/>
    <w:rsid w:val="00D505AB"/>
    <w:rsid w:val="00D53FE2"/>
    <w:rsid w:val="00D545AB"/>
    <w:rsid w:val="00D606A7"/>
    <w:rsid w:val="00D62310"/>
    <w:rsid w:val="00D62C0F"/>
    <w:rsid w:val="00D64576"/>
    <w:rsid w:val="00D645DA"/>
    <w:rsid w:val="00D64BC3"/>
    <w:rsid w:val="00D6586B"/>
    <w:rsid w:val="00D66798"/>
    <w:rsid w:val="00D66FAD"/>
    <w:rsid w:val="00D673BF"/>
    <w:rsid w:val="00D67D6D"/>
    <w:rsid w:val="00D70658"/>
    <w:rsid w:val="00D70A82"/>
    <w:rsid w:val="00D71C23"/>
    <w:rsid w:val="00D7247D"/>
    <w:rsid w:val="00D74691"/>
    <w:rsid w:val="00D747A6"/>
    <w:rsid w:val="00D77DE4"/>
    <w:rsid w:val="00D81A99"/>
    <w:rsid w:val="00D82F9A"/>
    <w:rsid w:val="00D84A03"/>
    <w:rsid w:val="00D84A40"/>
    <w:rsid w:val="00D85F7C"/>
    <w:rsid w:val="00D86085"/>
    <w:rsid w:val="00D943F3"/>
    <w:rsid w:val="00D94B90"/>
    <w:rsid w:val="00D94D9F"/>
    <w:rsid w:val="00D951A4"/>
    <w:rsid w:val="00D9559F"/>
    <w:rsid w:val="00D95C81"/>
    <w:rsid w:val="00DA126C"/>
    <w:rsid w:val="00DA3138"/>
    <w:rsid w:val="00DA3EA1"/>
    <w:rsid w:val="00DA5740"/>
    <w:rsid w:val="00DA5C67"/>
    <w:rsid w:val="00DA69FD"/>
    <w:rsid w:val="00DA7447"/>
    <w:rsid w:val="00DA789F"/>
    <w:rsid w:val="00DB0DF7"/>
    <w:rsid w:val="00DB349A"/>
    <w:rsid w:val="00DB4A7A"/>
    <w:rsid w:val="00DB600F"/>
    <w:rsid w:val="00DB7078"/>
    <w:rsid w:val="00DC01D2"/>
    <w:rsid w:val="00DC06A7"/>
    <w:rsid w:val="00DC19FA"/>
    <w:rsid w:val="00DC219B"/>
    <w:rsid w:val="00DC2261"/>
    <w:rsid w:val="00DC366C"/>
    <w:rsid w:val="00DC50F9"/>
    <w:rsid w:val="00DC5E14"/>
    <w:rsid w:val="00DC6011"/>
    <w:rsid w:val="00DC7A5D"/>
    <w:rsid w:val="00DD0E13"/>
    <w:rsid w:val="00DD1328"/>
    <w:rsid w:val="00DD265D"/>
    <w:rsid w:val="00DD338D"/>
    <w:rsid w:val="00DD3F44"/>
    <w:rsid w:val="00DD626F"/>
    <w:rsid w:val="00DD7910"/>
    <w:rsid w:val="00DD7938"/>
    <w:rsid w:val="00DE0AAD"/>
    <w:rsid w:val="00DE126F"/>
    <w:rsid w:val="00DE26EB"/>
    <w:rsid w:val="00DE35C5"/>
    <w:rsid w:val="00DE3FC6"/>
    <w:rsid w:val="00DE4B10"/>
    <w:rsid w:val="00DE4B2F"/>
    <w:rsid w:val="00DE4C8B"/>
    <w:rsid w:val="00DE5993"/>
    <w:rsid w:val="00DE61C3"/>
    <w:rsid w:val="00DE724E"/>
    <w:rsid w:val="00DF00EC"/>
    <w:rsid w:val="00DF3A64"/>
    <w:rsid w:val="00DF3A7D"/>
    <w:rsid w:val="00DF4D1D"/>
    <w:rsid w:val="00DF63D4"/>
    <w:rsid w:val="00DF751C"/>
    <w:rsid w:val="00DF7DB4"/>
    <w:rsid w:val="00E039B8"/>
    <w:rsid w:val="00E0459D"/>
    <w:rsid w:val="00E062B4"/>
    <w:rsid w:val="00E072B8"/>
    <w:rsid w:val="00E07CAF"/>
    <w:rsid w:val="00E13633"/>
    <w:rsid w:val="00E137B7"/>
    <w:rsid w:val="00E15D5A"/>
    <w:rsid w:val="00E16997"/>
    <w:rsid w:val="00E16C70"/>
    <w:rsid w:val="00E208EC"/>
    <w:rsid w:val="00E21460"/>
    <w:rsid w:val="00E21886"/>
    <w:rsid w:val="00E22D80"/>
    <w:rsid w:val="00E237A4"/>
    <w:rsid w:val="00E23BE5"/>
    <w:rsid w:val="00E2473E"/>
    <w:rsid w:val="00E25534"/>
    <w:rsid w:val="00E2740C"/>
    <w:rsid w:val="00E27C55"/>
    <w:rsid w:val="00E31945"/>
    <w:rsid w:val="00E31F8B"/>
    <w:rsid w:val="00E32F7C"/>
    <w:rsid w:val="00E33392"/>
    <w:rsid w:val="00E34A80"/>
    <w:rsid w:val="00E3571E"/>
    <w:rsid w:val="00E35D18"/>
    <w:rsid w:val="00E40BB6"/>
    <w:rsid w:val="00E41FA1"/>
    <w:rsid w:val="00E443E4"/>
    <w:rsid w:val="00E450E9"/>
    <w:rsid w:val="00E45750"/>
    <w:rsid w:val="00E4585B"/>
    <w:rsid w:val="00E45C2C"/>
    <w:rsid w:val="00E46D47"/>
    <w:rsid w:val="00E47F2A"/>
    <w:rsid w:val="00E51160"/>
    <w:rsid w:val="00E516BD"/>
    <w:rsid w:val="00E518B2"/>
    <w:rsid w:val="00E519C7"/>
    <w:rsid w:val="00E52C5A"/>
    <w:rsid w:val="00E542C1"/>
    <w:rsid w:val="00E548AE"/>
    <w:rsid w:val="00E57823"/>
    <w:rsid w:val="00E608CF"/>
    <w:rsid w:val="00E6322C"/>
    <w:rsid w:val="00E639D3"/>
    <w:rsid w:val="00E647C1"/>
    <w:rsid w:val="00E6552C"/>
    <w:rsid w:val="00E66406"/>
    <w:rsid w:val="00E67073"/>
    <w:rsid w:val="00E70B87"/>
    <w:rsid w:val="00E72551"/>
    <w:rsid w:val="00E74262"/>
    <w:rsid w:val="00E74C84"/>
    <w:rsid w:val="00E7519F"/>
    <w:rsid w:val="00E75BB4"/>
    <w:rsid w:val="00E763CD"/>
    <w:rsid w:val="00E76AD3"/>
    <w:rsid w:val="00E80089"/>
    <w:rsid w:val="00E80D61"/>
    <w:rsid w:val="00E8121A"/>
    <w:rsid w:val="00E8148F"/>
    <w:rsid w:val="00E820CE"/>
    <w:rsid w:val="00E82E66"/>
    <w:rsid w:val="00E8357D"/>
    <w:rsid w:val="00E84834"/>
    <w:rsid w:val="00E85A67"/>
    <w:rsid w:val="00E9001E"/>
    <w:rsid w:val="00E90ED7"/>
    <w:rsid w:val="00E91542"/>
    <w:rsid w:val="00E92002"/>
    <w:rsid w:val="00E942E4"/>
    <w:rsid w:val="00E950CF"/>
    <w:rsid w:val="00E95159"/>
    <w:rsid w:val="00E96DF0"/>
    <w:rsid w:val="00EA009E"/>
    <w:rsid w:val="00EA0819"/>
    <w:rsid w:val="00EA2038"/>
    <w:rsid w:val="00EA23A7"/>
    <w:rsid w:val="00EA3781"/>
    <w:rsid w:val="00EA38EF"/>
    <w:rsid w:val="00EA3BAE"/>
    <w:rsid w:val="00EA459E"/>
    <w:rsid w:val="00EA4701"/>
    <w:rsid w:val="00EA51EA"/>
    <w:rsid w:val="00EB0263"/>
    <w:rsid w:val="00EB2AE2"/>
    <w:rsid w:val="00EB38A3"/>
    <w:rsid w:val="00EB440B"/>
    <w:rsid w:val="00EB5E33"/>
    <w:rsid w:val="00EB5F04"/>
    <w:rsid w:val="00EB6EF1"/>
    <w:rsid w:val="00EB7FED"/>
    <w:rsid w:val="00EC0E03"/>
    <w:rsid w:val="00EC0F68"/>
    <w:rsid w:val="00EC1842"/>
    <w:rsid w:val="00EC1E36"/>
    <w:rsid w:val="00EC35D9"/>
    <w:rsid w:val="00EC45EA"/>
    <w:rsid w:val="00EC5954"/>
    <w:rsid w:val="00EC6060"/>
    <w:rsid w:val="00EC655B"/>
    <w:rsid w:val="00EC753E"/>
    <w:rsid w:val="00ED15CB"/>
    <w:rsid w:val="00ED1BCF"/>
    <w:rsid w:val="00ED1DD9"/>
    <w:rsid w:val="00ED20F6"/>
    <w:rsid w:val="00ED2E28"/>
    <w:rsid w:val="00ED2F9F"/>
    <w:rsid w:val="00ED3B36"/>
    <w:rsid w:val="00ED3DCC"/>
    <w:rsid w:val="00ED4F8E"/>
    <w:rsid w:val="00ED76EF"/>
    <w:rsid w:val="00ED7F79"/>
    <w:rsid w:val="00EE0058"/>
    <w:rsid w:val="00EE0635"/>
    <w:rsid w:val="00EE3E45"/>
    <w:rsid w:val="00EE424E"/>
    <w:rsid w:val="00EE4322"/>
    <w:rsid w:val="00EE4F24"/>
    <w:rsid w:val="00EE5829"/>
    <w:rsid w:val="00EE625B"/>
    <w:rsid w:val="00EE64C8"/>
    <w:rsid w:val="00EE7090"/>
    <w:rsid w:val="00EE7155"/>
    <w:rsid w:val="00EE7EDA"/>
    <w:rsid w:val="00EF08F3"/>
    <w:rsid w:val="00EF0BB4"/>
    <w:rsid w:val="00EF0BB7"/>
    <w:rsid w:val="00EF14BF"/>
    <w:rsid w:val="00EF1D41"/>
    <w:rsid w:val="00EF2AFB"/>
    <w:rsid w:val="00EF3119"/>
    <w:rsid w:val="00EF395C"/>
    <w:rsid w:val="00EF3FF6"/>
    <w:rsid w:val="00EF678F"/>
    <w:rsid w:val="00EF6C2C"/>
    <w:rsid w:val="00EF71C2"/>
    <w:rsid w:val="00EF724B"/>
    <w:rsid w:val="00F02FBC"/>
    <w:rsid w:val="00F03C74"/>
    <w:rsid w:val="00F04158"/>
    <w:rsid w:val="00F048CD"/>
    <w:rsid w:val="00F1307B"/>
    <w:rsid w:val="00F13577"/>
    <w:rsid w:val="00F140DB"/>
    <w:rsid w:val="00F15B38"/>
    <w:rsid w:val="00F16B25"/>
    <w:rsid w:val="00F16B93"/>
    <w:rsid w:val="00F173C3"/>
    <w:rsid w:val="00F17B51"/>
    <w:rsid w:val="00F24039"/>
    <w:rsid w:val="00F25AEA"/>
    <w:rsid w:val="00F27634"/>
    <w:rsid w:val="00F27D01"/>
    <w:rsid w:val="00F30EF2"/>
    <w:rsid w:val="00F31B3F"/>
    <w:rsid w:val="00F3389A"/>
    <w:rsid w:val="00F34948"/>
    <w:rsid w:val="00F36599"/>
    <w:rsid w:val="00F366EB"/>
    <w:rsid w:val="00F36AF2"/>
    <w:rsid w:val="00F36FE5"/>
    <w:rsid w:val="00F37608"/>
    <w:rsid w:val="00F446D3"/>
    <w:rsid w:val="00F44C2D"/>
    <w:rsid w:val="00F469AB"/>
    <w:rsid w:val="00F4717C"/>
    <w:rsid w:val="00F4793E"/>
    <w:rsid w:val="00F47E4A"/>
    <w:rsid w:val="00F52E2C"/>
    <w:rsid w:val="00F535A3"/>
    <w:rsid w:val="00F53834"/>
    <w:rsid w:val="00F53863"/>
    <w:rsid w:val="00F54370"/>
    <w:rsid w:val="00F55113"/>
    <w:rsid w:val="00F556C2"/>
    <w:rsid w:val="00F5644C"/>
    <w:rsid w:val="00F56B68"/>
    <w:rsid w:val="00F6023D"/>
    <w:rsid w:val="00F60437"/>
    <w:rsid w:val="00F60710"/>
    <w:rsid w:val="00F61828"/>
    <w:rsid w:val="00F61DA4"/>
    <w:rsid w:val="00F6237E"/>
    <w:rsid w:val="00F63C70"/>
    <w:rsid w:val="00F64685"/>
    <w:rsid w:val="00F6473C"/>
    <w:rsid w:val="00F65CF6"/>
    <w:rsid w:val="00F66471"/>
    <w:rsid w:val="00F66575"/>
    <w:rsid w:val="00F67C20"/>
    <w:rsid w:val="00F723C2"/>
    <w:rsid w:val="00F73CC5"/>
    <w:rsid w:val="00F740B7"/>
    <w:rsid w:val="00F763DE"/>
    <w:rsid w:val="00F76EE7"/>
    <w:rsid w:val="00F7728D"/>
    <w:rsid w:val="00F8072D"/>
    <w:rsid w:val="00F8121F"/>
    <w:rsid w:val="00F813FF"/>
    <w:rsid w:val="00F81B0C"/>
    <w:rsid w:val="00F81E57"/>
    <w:rsid w:val="00F831B8"/>
    <w:rsid w:val="00F86130"/>
    <w:rsid w:val="00F90026"/>
    <w:rsid w:val="00F929F4"/>
    <w:rsid w:val="00F934ED"/>
    <w:rsid w:val="00F94414"/>
    <w:rsid w:val="00F9570F"/>
    <w:rsid w:val="00F97DBC"/>
    <w:rsid w:val="00FA0A8C"/>
    <w:rsid w:val="00FA1FAB"/>
    <w:rsid w:val="00FA2838"/>
    <w:rsid w:val="00FA2E2D"/>
    <w:rsid w:val="00FA514E"/>
    <w:rsid w:val="00FA5E10"/>
    <w:rsid w:val="00FA658D"/>
    <w:rsid w:val="00FA7F52"/>
    <w:rsid w:val="00FB0CA5"/>
    <w:rsid w:val="00FB1101"/>
    <w:rsid w:val="00FB300D"/>
    <w:rsid w:val="00FB3B57"/>
    <w:rsid w:val="00FB58FE"/>
    <w:rsid w:val="00FB6FFE"/>
    <w:rsid w:val="00FC157F"/>
    <w:rsid w:val="00FC178C"/>
    <w:rsid w:val="00FC3249"/>
    <w:rsid w:val="00FC363A"/>
    <w:rsid w:val="00FC39DE"/>
    <w:rsid w:val="00FC47CF"/>
    <w:rsid w:val="00FC565B"/>
    <w:rsid w:val="00FC5F1D"/>
    <w:rsid w:val="00FC6FCC"/>
    <w:rsid w:val="00FC7050"/>
    <w:rsid w:val="00FD0809"/>
    <w:rsid w:val="00FD0C7D"/>
    <w:rsid w:val="00FD0C94"/>
    <w:rsid w:val="00FD3540"/>
    <w:rsid w:val="00FD5267"/>
    <w:rsid w:val="00FD5DED"/>
    <w:rsid w:val="00FD6BB9"/>
    <w:rsid w:val="00FE0C14"/>
    <w:rsid w:val="00FE244D"/>
    <w:rsid w:val="00FE2711"/>
    <w:rsid w:val="00FE2835"/>
    <w:rsid w:val="00FE2909"/>
    <w:rsid w:val="00FE3842"/>
    <w:rsid w:val="00FE5350"/>
    <w:rsid w:val="00FE546D"/>
    <w:rsid w:val="00FE6AB4"/>
    <w:rsid w:val="00FE6B42"/>
    <w:rsid w:val="00FE7D34"/>
    <w:rsid w:val="00FF0005"/>
    <w:rsid w:val="00FF1AD1"/>
    <w:rsid w:val="00FF2B76"/>
    <w:rsid w:val="00FF39C8"/>
    <w:rsid w:val="00FF5545"/>
    <w:rsid w:val="00FF7318"/>
    <w:rsid w:val="00FF7D2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487D46"/>
  <w14:defaultImageDpi w14:val="300"/>
  <w15:docId w15:val="{D2F2D0CC-A803-6E42-B1A6-F6767B454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D0E"/>
    <w:rPr>
      <w:rFonts w:ascii="Calibri" w:hAnsi="Calibri"/>
      <w:sz w:val="22"/>
      <w:lang w:val="en-US"/>
    </w:rPr>
  </w:style>
  <w:style w:type="paragraph" w:styleId="Heading1">
    <w:name w:val="heading 1"/>
    <w:aliases w:val="SB Heading 1"/>
    <w:basedOn w:val="Normal"/>
    <w:next w:val="Normal"/>
    <w:link w:val="Heading1Char"/>
    <w:uiPriority w:val="9"/>
    <w:qFormat/>
    <w:rsid w:val="0048660B"/>
    <w:pPr>
      <w:keepNext/>
      <w:keepLines/>
      <w:numPr>
        <w:numId w:val="4"/>
      </w:numPr>
      <w:spacing w:before="480" w:line="360" w:lineRule="auto"/>
      <w:outlineLvl w:val="0"/>
    </w:pPr>
    <w:rPr>
      <w:rFonts w:asciiTheme="majorHAnsi" w:eastAsiaTheme="majorEastAsia" w:hAnsiTheme="majorHAnsi" w:cstheme="majorBidi"/>
      <w:b/>
      <w:bCs/>
      <w:sz w:val="28"/>
      <w:szCs w:val="32"/>
      <w:lang w:val="en-GB"/>
    </w:rPr>
  </w:style>
  <w:style w:type="paragraph" w:styleId="Heading2">
    <w:name w:val="heading 2"/>
    <w:aliases w:val="SB Thesis Heading 2"/>
    <w:basedOn w:val="Normal"/>
    <w:next w:val="Normal"/>
    <w:link w:val="Heading2Char"/>
    <w:uiPriority w:val="9"/>
    <w:unhideWhenUsed/>
    <w:qFormat/>
    <w:rsid w:val="0048660B"/>
    <w:pPr>
      <w:keepNext/>
      <w:keepLines/>
      <w:numPr>
        <w:ilvl w:val="1"/>
        <w:numId w:val="4"/>
      </w:numPr>
      <w:spacing w:before="200" w:line="360" w:lineRule="auto"/>
      <w:outlineLvl w:val="1"/>
    </w:pPr>
    <w:rPr>
      <w:rFonts w:asciiTheme="majorHAnsi" w:eastAsiaTheme="majorEastAsia" w:hAnsiTheme="majorHAnsi" w:cstheme="majorBidi"/>
      <w:b/>
      <w:bCs/>
      <w:sz w:val="24"/>
      <w:szCs w:val="26"/>
      <w:lang w:val="en-GB"/>
    </w:rPr>
  </w:style>
  <w:style w:type="paragraph" w:styleId="Heading3">
    <w:name w:val="heading 3"/>
    <w:aliases w:val="SB ThesisHeading 3"/>
    <w:basedOn w:val="Normal"/>
    <w:next w:val="Normal"/>
    <w:link w:val="Heading3Char"/>
    <w:uiPriority w:val="99"/>
    <w:unhideWhenUsed/>
    <w:qFormat/>
    <w:rsid w:val="0048660B"/>
    <w:pPr>
      <w:keepNext/>
      <w:keepLines/>
      <w:numPr>
        <w:ilvl w:val="2"/>
        <w:numId w:val="4"/>
      </w:numPr>
      <w:spacing w:before="200" w:line="360" w:lineRule="auto"/>
      <w:outlineLvl w:val="2"/>
    </w:pPr>
    <w:rPr>
      <w:rFonts w:asciiTheme="majorHAnsi" w:eastAsiaTheme="majorEastAsia" w:hAnsiTheme="majorHAnsi" w:cstheme="majorBidi"/>
      <w:b/>
      <w:bCs/>
      <w:lang w:val="en-GB"/>
    </w:rPr>
  </w:style>
  <w:style w:type="paragraph" w:styleId="Heading4">
    <w:name w:val="heading 4"/>
    <w:basedOn w:val="Normal"/>
    <w:next w:val="Normal"/>
    <w:link w:val="Heading4Char"/>
    <w:uiPriority w:val="9"/>
    <w:semiHidden/>
    <w:unhideWhenUsed/>
    <w:qFormat/>
    <w:rsid w:val="0048660B"/>
    <w:pPr>
      <w:keepNext/>
      <w:keepLines/>
      <w:numPr>
        <w:ilvl w:val="3"/>
        <w:numId w:val="4"/>
      </w:numPr>
      <w:spacing w:before="200" w:line="360" w:lineRule="auto"/>
      <w:outlineLvl w:val="3"/>
    </w:pPr>
    <w:rPr>
      <w:rFonts w:asciiTheme="majorHAnsi" w:eastAsiaTheme="majorEastAsia" w:hAnsiTheme="majorHAnsi" w:cstheme="majorBidi"/>
      <w:b/>
      <w:bCs/>
      <w:i/>
      <w:iCs/>
      <w:color w:val="4F81BD" w:themeColor="accent1"/>
      <w:lang w:val="en-GB"/>
    </w:rPr>
  </w:style>
  <w:style w:type="paragraph" w:styleId="Heading5">
    <w:name w:val="heading 5"/>
    <w:basedOn w:val="Normal"/>
    <w:next w:val="Normal"/>
    <w:link w:val="Heading5Char"/>
    <w:uiPriority w:val="9"/>
    <w:semiHidden/>
    <w:unhideWhenUsed/>
    <w:qFormat/>
    <w:rsid w:val="0048660B"/>
    <w:pPr>
      <w:keepNext/>
      <w:keepLines/>
      <w:numPr>
        <w:ilvl w:val="4"/>
        <w:numId w:val="4"/>
      </w:numPr>
      <w:spacing w:before="200" w:line="360" w:lineRule="auto"/>
      <w:outlineLvl w:val="4"/>
    </w:pPr>
    <w:rPr>
      <w:rFonts w:asciiTheme="majorHAnsi" w:eastAsiaTheme="majorEastAsia" w:hAnsiTheme="majorHAnsi" w:cstheme="majorBidi"/>
      <w:color w:val="243F60" w:themeColor="accent1" w:themeShade="7F"/>
      <w:lang w:val="en-GB"/>
    </w:rPr>
  </w:style>
  <w:style w:type="paragraph" w:styleId="Heading6">
    <w:name w:val="heading 6"/>
    <w:basedOn w:val="Normal"/>
    <w:next w:val="Normal"/>
    <w:link w:val="Heading6Char"/>
    <w:uiPriority w:val="9"/>
    <w:semiHidden/>
    <w:unhideWhenUsed/>
    <w:qFormat/>
    <w:rsid w:val="0048660B"/>
    <w:pPr>
      <w:keepNext/>
      <w:keepLines/>
      <w:numPr>
        <w:ilvl w:val="5"/>
        <w:numId w:val="4"/>
      </w:numPr>
      <w:spacing w:before="200" w:line="360" w:lineRule="auto"/>
      <w:outlineLvl w:val="5"/>
    </w:pPr>
    <w:rPr>
      <w:rFonts w:asciiTheme="majorHAnsi" w:eastAsiaTheme="majorEastAsia" w:hAnsiTheme="majorHAnsi" w:cstheme="majorBidi"/>
      <w:i/>
      <w:iCs/>
      <w:color w:val="243F60" w:themeColor="accent1" w:themeShade="7F"/>
      <w:lang w:val="en-GB"/>
    </w:rPr>
  </w:style>
  <w:style w:type="paragraph" w:styleId="Heading7">
    <w:name w:val="heading 7"/>
    <w:basedOn w:val="Normal"/>
    <w:next w:val="Normal"/>
    <w:link w:val="Heading7Char"/>
    <w:uiPriority w:val="9"/>
    <w:semiHidden/>
    <w:unhideWhenUsed/>
    <w:qFormat/>
    <w:rsid w:val="0048660B"/>
    <w:pPr>
      <w:keepNext/>
      <w:keepLines/>
      <w:numPr>
        <w:ilvl w:val="6"/>
        <w:numId w:val="4"/>
      </w:numPr>
      <w:spacing w:before="200" w:line="360" w:lineRule="auto"/>
      <w:outlineLvl w:val="6"/>
    </w:pPr>
    <w:rPr>
      <w:rFonts w:asciiTheme="majorHAnsi" w:eastAsiaTheme="majorEastAsia" w:hAnsiTheme="majorHAnsi" w:cstheme="majorBidi"/>
      <w:i/>
      <w:iCs/>
      <w:color w:val="404040" w:themeColor="text1" w:themeTint="BF"/>
      <w:lang w:val="en-GB"/>
    </w:rPr>
  </w:style>
  <w:style w:type="paragraph" w:styleId="Heading8">
    <w:name w:val="heading 8"/>
    <w:basedOn w:val="Normal"/>
    <w:next w:val="Normal"/>
    <w:link w:val="Heading8Char"/>
    <w:uiPriority w:val="9"/>
    <w:semiHidden/>
    <w:unhideWhenUsed/>
    <w:qFormat/>
    <w:rsid w:val="0048660B"/>
    <w:pPr>
      <w:keepNext/>
      <w:keepLines/>
      <w:numPr>
        <w:ilvl w:val="7"/>
        <w:numId w:val="4"/>
      </w:numPr>
      <w:spacing w:before="200" w:line="360" w:lineRule="auto"/>
      <w:outlineLvl w:val="7"/>
    </w:pPr>
    <w:rPr>
      <w:rFonts w:asciiTheme="majorHAnsi" w:eastAsiaTheme="majorEastAsia" w:hAnsiTheme="majorHAnsi" w:cstheme="majorBidi"/>
      <w:color w:val="404040" w:themeColor="text1" w:themeTint="BF"/>
      <w:sz w:val="20"/>
      <w:szCs w:val="20"/>
      <w:lang w:val="en-GB"/>
    </w:rPr>
  </w:style>
  <w:style w:type="paragraph" w:styleId="Heading9">
    <w:name w:val="heading 9"/>
    <w:basedOn w:val="Normal"/>
    <w:next w:val="Normal"/>
    <w:link w:val="Heading9Char"/>
    <w:uiPriority w:val="9"/>
    <w:semiHidden/>
    <w:unhideWhenUsed/>
    <w:qFormat/>
    <w:rsid w:val="0048660B"/>
    <w:pPr>
      <w:keepNext/>
      <w:keepLines/>
      <w:numPr>
        <w:ilvl w:val="8"/>
        <w:numId w:val="4"/>
      </w:numPr>
      <w:spacing w:before="200" w:line="360" w:lineRule="auto"/>
      <w:outlineLvl w:val="8"/>
    </w:pPr>
    <w:rPr>
      <w:rFonts w:asciiTheme="majorHAnsi" w:eastAsiaTheme="majorEastAsia" w:hAnsiTheme="majorHAnsi" w:cstheme="majorBidi"/>
      <w:i/>
      <w:iCs/>
      <w:color w:val="404040" w:themeColor="text1" w:themeTint="BF"/>
      <w:sz w:val="20"/>
      <w:szCs w:val="20"/>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80727"/>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0386D"/>
    <w:pPr>
      <w:ind w:left="720"/>
      <w:contextualSpacing/>
    </w:pPr>
  </w:style>
  <w:style w:type="paragraph" w:styleId="FootnoteText">
    <w:name w:val="footnote text"/>
    <w:basedOn w:val="Normal"/>
    <w:link w:val="FootnoteTextChar"/>
    <w:uiPriority w:val="99"/>
    <w:unhideWhenUsed/>
    <w:rsid w:val="0080386D"/>
    <w:rPr>
      <w:sz w:val="24"/>
    </w:rPr>
  </w:style>
  <w:style w:type="character" w:customStyle="1" w:styleId="FootnoteTextChar">
    <w:name w:val="Footnote Text Char"/>
    <w:basedOn w:val="DefaultParagraphFont"/>
    <w:link w:val="FootnoteText"/>
    <w:uiPriority w:val="99"/>
    <w:rsid w:val="0080386D"/>
    <w:rPr>
      <w:rFonts w:ascii="Calibri" w:hAnsi="Calibri"/>
      <w:lang w:val="en-US"/>
    </w:rPr>
  </w:style>
  <w:style w:type="character" w:styleId="FootnoteReference">
    <w:name w:val="footnote reference"/>
    <w:basedOn w:val="DefaultParagraphFont"/>
    <w:uiPriority w:val="99"/>
    <w:unhideWhenUsed/>
    <w:rsid w:val="0080386D"/>
    <w:rPr>
      <w:vertAlign w:val="superscript"/>
    </w:rPr>
  </w:style>
  <w:style w:type="paragraph" w:styleId="Header">
    <w:name w:val="header"/>
    <w:basedOn w:val="Normal"/>
    <w:link w:val="HeaderChar"/>
    <w:uiPriority w:val="99"/>
    <w:unhideWhenUsed/>
    <w:rsid w:val="00E74C84"/>
    <w:pPr>
      <w:tabs>
        <w:tab w:val="center" w:pos="4320"/>
        <w:tab w:val="right" w:pos="8640"/>
      </w:tabs>
    </w:pPr>
  </w:style>
  <w:style w:type="character" w:customStyle="1" w:styleId="HeaderChar">
    <w:name w:val="Header Char"/>
    <w:basedOn w:val="DefaultParagraphFont"/>
    <w:link w:val="Header"/>
    <w:uiPriority w:val="99"/>
    <w:rsid w:val="00E74C84"/>
    <w:rPr>
      <w:rFonts w:ascii="Calibri" w:hAnsi="Calibri"/>
      <w:sz w:val="22"/>
      <w:lang w:val="en-US"/>
    </w:rPr>
  </w:style>
  <w:style w:type="paragraph" w:styleId="Footer">
    <w:name w:val="footer"/>
    <w:basedOn w:val="Normal"/>
    <w:link w:val="FooterChar"/>
    <w:uiPriority w:val="99"/>
    <w:unhideWhenUsed/>
    <w:rsid w:val="00E74C84"/>
    <w:pPr>
      <w:tabs>
        <w:tab w:val="center" w:pos="4320"/>
        <w:tab w:val="right" w:pos="8640"/>
      </w:tabs>
    </w:pPr>
  </w:style>
  <w:style w:type="character" w:customStyle="1" w:styleId="FooterChar">
    <w:name w:val="Footer Char"/>
    <w:basedOn w:val="DefaultParagraphFont"/>
    <w:link w:val="Footer"/>
    <w:uiPriority w:val="99"/>
    <w:rsid w:val="00E74C84"/>
    <w:rPr>
      <w:rFonts w:ascii="Calibri" w:hAnsi="Calibri"/>
      <w:sz w:val="22"/>
      <w:lang w:val="en-US"/>
    </w:rPr>
  </w:style>
  <w:style w:type="paragraph" w:styleId="BalloonText">
    <w:name w:val="Balloon Text"/>
    <w:basedOn w:val="Normal"/>
    <w:link w:val="BalloonTextChar"/>
    <w:uiPriority w:val="99"/>
    <w:semiHidden/>
    <w:unhideWhenUsed/>
    <w:rsid w:val="00E74C8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4C84"/>
    <w:rPr>
      <w:rFonts w:ascii="Lucida Grande" w:hAnsi="Lucida Grande" w:cs="Lucida Grande"/>
      <w:sz w:val="18"/>
      <w:szCs w:val="18"/>
      <w:lang w:val="en-US"/>
    </w:rPr>
  </w:style>
  <w:style w:type="character" w:customStyle="1" w:styleId="Heading1Char">
    <w:name w:val="Heading 1 Char"/>
    <w:aliases w:val="SB Heading 1 Char"/>
    <w:basedOn w:val="DefaultParagraphFont"/>
    <w:link w:val="Heading1"/>
    <w:uiPriority w:val="9"/>
    <w:rsid w:val="0048660B"/>
    <w:rPr>
      <w:rFonts w:asciiTheme="majorHAnsi" w:eastAsiaTheme="majorEastAsia" w:hAnsiTheme="majorHAnsi" w:cstheme="majorBidi"/>
      <w:b/>
      <w:bCs/>
      <w:sz w:val="28"/>
      <w:szCs w:val="32"/>
      <w:lang w:val="en-GB"/>
    </w:rPr>
  </w:style>
  <w:style w:type="character" w:customStyle="1" w:styleId="Heading2Char">
    <w:name w:val="Heading 2 Char"/>
    <w:aliases w:val="SB Thesis Heading 2 Char"/>
    <w:basedOn w:val="DefaultParagraphFont"/>
    <w:link w:val="Heading2"/>
    <w:uiPriority w:val="9"/>
    <w:rsid w:val="0048660B"/>
    <w:rPr>
      <w:rFonts w:asciiTheme="majorHAnsi" w:eastAsiaTheme="majorEastAsia" w:hAnsiTheme="majorHAnsi" w:cstheme="majorBidi"/>
      <w:b/>
      <w:bCs/>
      <w:szCs w:val="26"/>
      <w:lang w:val="en-GB"/>
    </w:rPr>
  </w:style>
  <w:style w:type="character" w:customStyle="1" w:styleId="Heading3Char">
    <w:name w:val="Heading 3 Char"/>
    <w:aliases w:val="SB ThesisHeading 3 Char"/>
    <w:basedOn w:val="DefaultParagraphFont"/>
    <w:link w:val="Heading3"/>
    <w:uiPriority w:val="99"/>
    <w:rsid w:val="0048660B"/>
    <w:rPr>
      <w:rFonts w:asciiTheme="majorHAnsi" w:eastAsiaTheme="majorEastAsia" w:hAnsiTheme="majorHAnsi" w:cstheme="majorBidi"/>
      <w:b/>
      <w:bCs/>
      <w:sz w:val="22"/>
      <w:lang w:val="en-GB"/>
    </w:rPr>
  </w:style>
  <w:style w:type="character" w:customStyle="1" w:styleId="Heading4Char">
    <w:name w:val="Heading 4 Char"/>
    <w:basedOn w:val="DefaultParagraphFont"/>
    <w:link w:val="Heading4"/>
    <w:uiPriority w:val="9"/>
    <w:semiHidden/>
    <w:rsid w:val="0048660B"/>
    <w:rPr>
      <w:rFonts w:asciiTheme="majorHAnsi" w:eastAsiaTheme="majorEastAsia" w:hAnsiTheme="majorHAnsi" w:cstheme="majorBidi"/>
      <w:b/>
      <w:bCs/>
      <w:i/>
      <w:iCs/>
      <w:color w:val="4F81BD" w:themeColor="accent1"/>
      <w:sz w:val="22"/>
      <w:lang w:val="en-GB"/>
    </w:rPr>
  </w:style>
  <w:style w:type="character" w:customStyle="1" w:styleId="Heading5Char">
    <w:name w:val="Heading 5 Char"/>
    <w:basedOn w:val="DefaultParagraphFont"/>
    <w:link w:val="Heading5"/>
    <w:uiPriority w:val="9"/>
    <w:semiHidden/>
    <w:rsid w:val="0048660B"/>
    <w:rPr>
      <w:rFonts w:asciiTheme="majorHAnsi" w:eastAsiaTheme="majorEastAsia" w:hAnsiTheme="majorHAnsi" w:cstheme="majorBidi"/>
      <w:color w:val="243F60" w:themeColor="accent1" w:themeShade="7F"/>
      <w:sz w:val="22"/>
      <w:lang w:val="en-GB"/>
    </w:rPr>
  </w:style>
  <w:style w:type="character" w:customStyle="1" w:styleId="Heading6Char">
    <w:name w:val="Heading 6 Char"/>
    <w:basedOn w:val="DefaultParagraphFont"/>
    <w:link w:val="Heading6"/>
    <w:uiPriority w:val="9"/>
    <w:semiHidden/>
    <w:rsid w:val="0048660B"/>
    <w:rPr>
      <w:rFonts w:asciiTheme="majorHAnsi" w:eastAsiaTheme="majorEastAsia" w:hAnsiTheme="majorHAnsi" w:cstheme="majorBidi"/>
      <w:i/>
      <w:iCs/>
      <w:color w:val="243F60" w:themeColor="accent1" w:themeShade="7F"/>
      <w:sz w:val="22"/>
      <w:lang w:val="en-GB"/>
    </w:rPr>
  </w:style>
  <w:style w:type="character" w:customStyle="1" w:styleId="Heading7Char">
    <w:name w:val="Heading 7 Char"/>
    <w:basedOn w:val="DefaultParagraphFont"/>
    <w:link w:val="Heading7"/>
    <w:uiPriority w:val="9"/>
    <w:semiHidden/>
    <w:rsid w:val="0048660B"/>
    <w:rPr>
      <w:rFonts w:asciiTheme="majorHAnsi" w:eastAsiaTheme="majorEastAsia" w:hAnsiTheme="majorHAnsi" w:cstheme="majorBidi"/>
      <w:i/>
      <w:iCs/>
      <w:color w:val="404040" w:themeColor="text1" w:themeTint="BF"/>
      <w:sz w:val="22"/>
      <w:lang w:val="en-GB"/>
    </w:rPr>
  </w:style>
  <w:style w:type="character" w:customStyle="1" w:styleId="Heading8Char">
    <w:name w:val="Heading 8 Char"/>
    <w:basedOn w:val="DefaultParagraphFont"/>
    <w:link w:val="Heading8"/>
    <w:uiPriority w:val="9"/>
    <w:semiHidden/>
    <w:rsid w:val="0048660B"/>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48660B"/>
    <w:rPr>
      <w:rFonts w:asciiTheme="majorHAnsi" w:eastAsiaTheme="majorEastAsia" w:hAnsiTheme="majorHAnsi" w:cstheme="majorBidi"/>
      <w:i/>
      <w:iCs/>
      <w:color w:val="404040" w:themeColor="text1" w:themeTint="BF"/>
      <w:sz w:val="20"/>
      <w:szCs w:val="20"/>
      <w:lang w:val="en-GB"/>
    </w:rPr>
  </w:style>
  <w:style w:type="paragraph" w:styleId="DocumentMap">
    <w:name w:val="Document Map"/>
    <w:basedOn w:val="Normal"/>
    <w:link w:val="DocumentMapChar"/>
    <w:uiPriority w:val="99"/>
    <w:semiHidden/>
    <w:unhideWhenUsed/>
    <w:rsid w:val="0048660B"/>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48660B"/>
    <w:rPr>
      <w:rFonts w:ascii="Lucida Grande" w:hAnsi="Lucida Grande" w:cs="Lucida Grande"/>
      <w:lang w:val="en-US"/>
    </w:rPr>
  </w:style>
  <w:style w:type="paragraph" w:styleId="NormalWeb">
    <w:name w:val="Normal (Web)"/>
    <w:basedOn w:val="Normal"/>
    <w:uiPriority w:val="99"/>
    <w:unhideWhenUsed/>
    <w:rsid w:val="0048660B"/>
    <w:pPr>
      <w:spacing w:before="100" w:beforeAutospacing="1" w:after="100" w:afterAutospacing="1" w:line="360" w:lineRule="auto"/>
    </w:pPr>
    <w:rPr>
      <w:rFonts w:ascii="Times" w:hAnsi="Times" w:cs="Times New Roman"/>
      <w:sz w:val="20"/>
      <w:szCs w:val="20"/>
      <w:lang w:val="en-AU"/>
    </w:rPr>
  </w:style>
  <w:style w:type="paragraph" w:customStyle="1" w:styleId="Default">
    <w:name w:val="Default"/>
    <w:rsid w:val="00177CE4"/>
    <w:pPr>
      <w:widowControl w:val="0"/>
      <w:autoSpaceDE w:val="0"/>
      <w:autoSpaceDN w:val="0"/>
      <w:adjustRightInd w:val="0"/>
    </w:pPr>
    <w:rPr>
      <w:rFonts w:ascii="Arial" w:hAnsi="Arial" w:cs="Arial"/>
      <w:color w:val="000000"/>
      <w:lang w:val="en-US"/>
    </w:rPr>
  </w:style>
  <w:style w:type="character" w:customStyle="1" w:styleId="apple-converted-space">
    <w:name w:val="apple-converted-space"/>
    <w:basedOn w:val="DefaultParagraphFont"/>
    <w:rsid w:val="00A16DCF"/>
  </w:style>
  <w:style w:type="character" w:styleId="Hyperlink">
    <w:name w:val="Hyperlink"/>
    <w:basedOn w:val="DefaultParagraphFont"/>
    <w:uiPriority w:val="99"/>
    <w:unhideWhenUsed/>
    <w:rsid w:val="00E548AE"/>
    <w:rPr>
      <w:color w:val="0000FF" w:themeColor="hyperlink"/>
      <w:u w:val="single"/>
    </w:rPr>
  </w:style>
  <w:style w:type="character" w:styleId="FollowedHyperlink">
    <w:name w:val="FollowedHyperlink"/>
    <w:basedOn w:val="DefaultParagraphFont"/>
    <w:uiPriority w:val="99"/>
    <w:semiHidden/>
    <w:unhideWhenUsed/>
    <w:rsid w:val="00AE18A0"/>
    <w:rPr>
      <w:color w:val="800080" w:themeColor="followedHyperlink"/>
      <w:u w:val="single"/>
    </w:rPr>
  </w:style>
  <w:style w:type="character" w:styleId="UnresolvedMention">
    <w:name w:val="Unresolved Mention"/>
    <w:basedOn w:val="DefaultParagraphFont"/>
    <w:uiPriority w:val="99"/>
    <w:semiHidden/>
    <w:unhideWhenUsed/>
    <w:rsid w:val="00F934ED"/>
    <w:rPr>
      <w:color w:val="605E5C"/>
      <w:shd w:val="clear" w:color="auto" w:fill="E1DFDD"/>
    </w:rPr>
  </w:style>
  <w:style w:type="character" w:styleId="CommentReference">
    <w:name w:val="annotation reference"/>
    <w:basedOn w:val="DefaultParagraphFont"/>
    <w:uiPriority w:val="99"/>
    <w:semiHidden/>
    <w:unhideWhenUsed/>
    <w:rsid w:val="00F934ED"/>
    <w:rPr>
      <w:sz w:val="16"/>
      <w:szCs w:val="16"/>
    </w:rPr>
  </w:style>
  <w:style w:type="paragraph" w:styleId="CommentText">
    <w:name w:val="annotation text"/>
    <w:basedOn w:val="Normal"/>
    <w:link w:val="CommentTextChar"/>
    <w:uiPriority w:val="99"/>
    <w:semiHidden/>
    <w:unhideWhenUsed/>
    <w:rsid w:val="00F934ED"/>
    <w:rPr>
      <w:sz w:val="20"/>
      <w:szCs w:val="20"/>
    </w:rPr>
  </w:style>
  <w:style w:type="character" w:customStyle="1" w:styleId="CommentTextChar">
    <w:name w:val="Comment Text Char"/>
    <w:basedOn w:val="DefaultParagraphFont"/>
    <w:link w:val="CommentText"/>
    <w:uiPriority w:val="99"/>
    <w:semiHidden/>
    <w:rsid w:val="00F934ED"/>
    <w:rPr>
      <w:rFonts w:ascii="Calibri" w:hAnsi="Calibri"/>
      <w:sz w:val="20"/>
      <w:szCs w:val="20"/>
      <w:lang w:val="en-US"/>
    </w:rPr>
  </w:style>
  <w:style w:type="paragraph" w:styleId="CommentSubject">
    <w:name w:val="annotation subject"/>
    <w:basedOn w:val="CommentText"/>
    <w:next w:val="CommentText"/>
    <w:link w:val="CommentSubjectChar"/>
    <w:uiPriority w:val="99"/>
    <w:semiHidden/>
    <w:unhideWhenUsed/>
    <w:rsid w:val="00F934ED"/>
    <w:rPr>
      <w:b/>
      <w:bCs/>
    </w:rPr>
  </w:style>
  <w:style w:type="character" w:customStyle="1" w:styleId="CommentSubjectChar">
    <w:name w:val="Comment Subject Char"/>
    <w:basedOn w:val="CommentTextChar"/>
    <w:link w:val="CommentSubject"/>
    <w:uiPriority w:val="99"/>
    <w:semiHidden/>
    <w:rsid w:val="00F934ED"/>
    <w:rPr>
      <w:rFonts w:ascii="Calibri" w:hAnsi="Calibri"/>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26151">
      <w:bodyDiv w:val="1"/>
      <w:marLeft w:val="0"/>
      <w:marRight w:val="0"/>
      <w:marTop w:val="0"/>
      <w:marBottom w:val="0"/>
      <w:divBdr>
        <w:top w:val="none" w:sz="0" w:space="0" w:color="auto"/>
        <w:left w:val="none" w:sz="0" w:space="0" w:color="auto"/>
        <w:bottom w:val="none" w:sz="0" w:space="0" w:color="auto"/>
        <w:right w:val="none" w:sz="0" w:space="0" w:color="auto"/>
      </w:divBdr>
      <w:divsChild>
        <w:div w:id="1178930660">
          <w:marLeft w:val="0"/>
          <w:marRight w:val="0"/>
          <w:marTop w:val="0"/>
          <w:marBottom w:val="0"/>
          <w:divBdr>
            <w:top w:val="none" w:sz="0" w:space="0" w:color="auto"/>
            <w:left w:val="none" w:sz="0" w:space="0" w:color="auto"/>
            <w:bottom w:val="none" w:sz="0" w:space="0" w:color="auto"/>
            <w:right w:val="none" w:sz="0" w:space="0" w:color="auto"/>
          </w:divBdr>
          <w:divsChild>
            <w:div w:id="367529126">
              <w:marLeft w:val="0"/>
              <w:marRight w:val="0"/>
              <w:marTop w:val="0"/>
              <w:marBottom w:val="0"/>
              <w:divBdr>
                <w:top w:val="none" w:sz="0" w:space="0" w:color="auto"/>
                <w:left w:val="none" w:sz="0" w:space="0" w:color="auto"/>
                <w:bottom w:val="none" w:sz="0" w:space="0" w:color="auto"/>
                <w:right w:val="none" w:sz="0" w:space="0" w:color="auto"/>
              </w:divBdr>
              <w:divsChild>
                <w:div w:id="174175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1311">
      <w:bodyDiv w:val="1"/>
      <w:marLeft w:val="0"/>
      <w:marRight w:val="0"/>
      <w:marTop w:val="0"/>
      <w:marBottom w:val="0"/>
      <w:divBdr>
        <w:top w:val="none" w:sz="0" w:space="0" w:color="auto"/>
        <w:left w:val="none" w:sz="0" w:space="0" w:color="auto"/>
        <w:bottom w:val="none" w:sz="0" w:space="0" w:color="auto"/>
        <w:right w:val="none" w:sz="0" w:space="0" w:color="auto"/>
      </w:divBdr>
      <w:divsChild>
        <w:div w:id="467551380">
          <w:marLeft w:val="0"/>
          <w:marRight w:val="0"/>
          <w:marTop w:val="0"/>
          <w:marBottom w:val="0"/>
          <w:divBdr>
            <w:top w:val="none" w:sz="0" w:space="0" w:color="auto"/>
            <w:left w:val="none" w:sz="0" w:space="0" w:color="auto"/>
            <w:bottom w:val="none" w:sz="0" w:space="0" w:color="auto"/>
            <w:right w:val="none" w:sz="0" w:space="0" w:color="auto"/>
          </w:divBdr>
          <w:divsChild>
            <w:div w:id="935334597">
              <w:marLeft w:val="0"/>
              <w:marRight w:val="0"/>
              <w:marTop w:val="0"/>
              <w:marBottom w:val="0"/>
              <w:divBdr>
                <w:top w:val="none" w:sz="0" w:space="0" w:color="auto"/>
                <w:left w:val="none" w:sz="0" w:space="0" w:color="auto"/>
                <w:bottom w:val="none" w:sz="0" w:space="0" w:color="auto"/>
                <w:right w:val="none" w:sz="0" w:space="0" w:color="auto"/>
              </w:divBdr>
              <w:divsChild>
                <w:div w:id="68826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95165">
      <w:bodyDiv w:val="1"/>
      <w:marLeft w:val="0"/>
      <w:marRight w:val="0"/>
      <w:marTop w:val="0"/>
      <w:marBottom w:val="0"/>
      <w:divBdr>
        <w:top w:val="none" w:sz="0" w:space="0" w:color="auto"/>
        <w:left w:val="none" w:sz="0" w:space="0" w:color="auto"/>
        <w:bottom w:val="none" w:sz="0" w:space="0" w:color="auto"/>
        <w:right w:val="none" w:sz="0" w:space="0" w:color="auto"/>
      </w:divBdr>
      <w:divsChild>
        <w:div w:id="197741990">
          <w:marLeft w:val="0"/>
          <w:marRight w:val="0"/>
          <w:marTop w:val="0"/>
          <w:marBottom w:val="0"/>
          <w:divBdr>
            <w:top w:val="none" w:sz="0" w:space="0" w:color="auto"/>
            <w:left w:val="none" w:sz="0" w:space="0" w:color="auto"/>
            <w:bottom w:val="none" w:sz="0" w:space="0" w:color="auto"/>
            <w:right w:val="none" w:sz="0" w:space="0" w:color="auto"/>
          </w:divBdr>
          <w:divsChild>
            <w:div w:id="1823428677">
              <w:marLeft w:val="0"/>
              <w:marRight w:val="0"/>
              <w:marTop w:val="0"/>
              <w:marBottom w:val="0"/>
              <w:divBdr>
                <w:top w:val="none" w:sz="0" w:space="0" w:color="auto"/>
                <w:left w:val="none" w:sz="0" w:space="0" w:color="auto"/>
                <w:bottom w:val="none" w:sz="0" w:space="0" w:color="auto"/>
                <w:right w:val="none" w:sz="0" w:space="0" w:color="auto"/>
              </w:divBdr>
              <w:divsChild>
                <w:div w:id="176588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85372">
      <w:bodyDiv w:val="1"/>
      <w:marLeft w:val="0"/>
      <w:marRight w:val="0"/>
      <w:marTop w:val="0"/>
      <w:marBottom w:val="0"/>
      <w:divBdr>
        <w:top w:val="none" w:sz="0" w:space="0" w:color="auto"/>
        <w:left w:val="none" w:sz="0" w:space="0" w:color="auto"/>
        <w:bottom w:val="none" w:sz="0" w:space="0" w:color="auto"/>
        <w:right w:val="none" w:sz="0" w:space="0" w:color="auto"/>
      </w:divBdr>
      <w:divsChild>
        <w:div w:id="1596985328">
          <w:marLeft w:val="0"/>
          <w:marRight w:val="0"/>
          <w:marTop w:val="0"/>
          <w:marBottom w:val="0"/>
          <w:divBdr>
            <w:top w:val="none" w:sz="0" w:space="0" w:color="auto"/>
            <w:left w:val="none" w:sz="0" w:space="0" w:color="auto"/>
            <w:bottom w:val="none" w:sz="0" w:space="0" w:color="auto"/>
            <w:right w:val="none" w:sz="0" w:space="0" w:color="auto"/>
          </w:divBdr>
          <w:divsChild>
            <w:div w:id="1395659102">
              <w:marLeft w:val="0"/>
              <w:marRight w:val="0"/>
              <w:marTop w:val="0"/>
              <w:marBottom w:val="0"/>
              <w:divBdr>
                <w:top w:val="none" w:sz="0" w:space="0" w:color="auto"/>
                <w:left w:val="none" w:sz="0" w:space="0" w:color="auto"/>
                <w:bottom w:val="none" w:sz="0" w:space="0" w:color="auto"/>
                <w:right w:val="none" w:sz="0" w:space="0" w:color="auto"/>
              </w:divBdr>
              <w:divsChild>
                <w:div w:id="15863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39707">
      <w:bodyDiv w:val="1"/>
      <w:marLeft w:val="0"/>
      <w:marRight w:val="0"/>
      <w:marTop w:val="0"/>
      <w:marBottom w:val="0"/>
      <w:divBdr>
        <w:top w:val="none" w:sz="0" w:space="0" w:color="auto"/>
        <w:left w:val="none" w:sz="0" w:space="0" w:color="auto"/>
        <w:bottom w:val="none" w:sz="0" w:space="0" w:color="auto"/>
        <w:right w:val="none" w:sz="0" w:space="0" w:color="auto"/>
      </w:divBdr>
      <w:divsChild>
        <w:div w:id="225385664">
          <w:marLeft w:val="0"/>
          <w:marRight w:val="0"/>
          <w:marTop w:val="0"/>
          <w:marBottom w:val="0"/>
          <w:divBdr>
            <w:top w:val="none" w:sz="0" w:space="0" w:color="auto"/>
            <w:left w:val="none" w:sz="0" w:space="0" w:color="auto"/>
            <w:bottom w:val="none" w:sz="0" w:space="0" w:color="auto"/>
            <w:right w:val="none" w:sz="0" w:space="0" w:color="auto"/>
          </w:divBdr>
          <w:divsChild>
            <w:div w:id="1511989407">
              <w:marLeft w:val="0"/>
              <w:marRight w:val="0"/>
              <w:marTop w:val="0"/>
              <w:marBottom w:val="0"/>
              <w:divBdr>
                <w:top w:val="none" w:sz="0" w:space="0" w:color="auto"/>
                <w:left w:val="none" w:sz="0" w:space="0" w:color="auto"/>
                <w:bottom w:val="none" w:sz="0" w:space="0" w:color="auto"/>
                <w:right w:val="none" w:sz="0" w:space="0" w:color="auto"/>
              </w:divBdr>
              <w:divsChild>
                <w:div w:id="87269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23413">
      <w:bodyDiv w:val="1"/>
      <w:marLeft w:val="0"/>
      <w:marRight w:val="0"/>
      <w:marTop w:val="0"/>
      <w:marBottom w:val="0"/>
      <w:divBdr>
        <w:top w:val="none" w:sz="0" w:space="0" w:color="auto"/>
        <w:left w:val="none" w:sz="0" w:space="0" w:color="auto"/>
        <w:bottom w:val="none" w:sz="0" w:space="0" w:color="auto"/>
        <w:right w:val="none" w:sz="0" w:space="0" w:color="auto"/>
      </w:divBdr>
      <w:divsChild>
        <w:div w:id="961153809">
          <w:marLeft w:val="0"/>
          <w:marRight w:val="0"/>
          <w:marTop w:val="0"/>
          <w:marBottom w:val="0"/>
          <w:divBdr>
            <w:top w:val="none" w:sz="0" w:space="0" w:color="auto"/>
            <w:left w:val="none" w:sz="0" w:space="0" w:color="auto"/>
            <w:bottom w:val="none" w:sz="0" w:space="0" w:color="auto"/>
            <w:right w:val="none" w:sz="0" w:space="0" w:color="auto"/>
          </w:divBdr>
          <w:divsChild>
            <w:div w:id="823467402">
              <w:marLeft w:val="0"/>
              <w:marRight w:val="0"/>
              <w:marTop w:val="0"/>
              <w:marBottom w:val="0"/>
              <w:divBdr>
                <w:top w:val="none" w:sz="0" w:space="0" w:color="auto"/>
                <w:left w:val="none" w:sz="0" w:space="0" w:color="auto"/>
                <w:bottom w:val="none" w:sz="0" w:space="0" w:color="auto"/>
                <w:right w:val="none" w:sz="0" w:space="0" w:color="auto"/>
              </w:divBdr>
              <w:divsChild>
                <w:div w:id="411586063">
                  <w:marLeft w:val="0"/>
                  <w:marRight w:val="0"/>
                  <w:marTop w:val="0"/>
                  <w:marBottom w:val="0"/>
                  <w:divBdr>
                    <w:top w:val="none" w:sz="0" w:space="0" w:color="auto"/>
                    <w:left w:val="none" w:sz="0" w:space="0" w:color="auto"/>
                    <w:bottom w:val="none" w:sz="0" w:space="0" w:color="auto"/>
                    <w:right w:val="none" w:sz="0" w:space="0" w:color="auto"/>
                  </w:divBdr>
                  <w:divsChild>
                    <w:div w:id="15434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65676">
      <w:bodyDiv w:val="1"/>
      <w:marLeft w:val="0"/>
      <w:marRight w:val="0"/>
      <w:marTop w:val="0"/>
      <w:marBottom w:val="0"/>
      <w:divBdr>
        <w:top w:val="none" w:sz="0" w:space="0" w:color="auto"/>
        <w:left w:val="none" w:sz="0" w:space="0" w:color="auto"/>
        <w:bottom w:val="none" w:sz="0" w:space="0" w:color="auto"/>
        <w:right w:val="none" w:sz="0" w:space="0" w:color="auto"/>
      </w:divBdr>
      <w:divsChild>
        <w:div w:id="1563713439">
          <w:marLeft w:val="0"/>
          <w:marRight w:val="0"/>
          <w:marTop w:val="0"/>
          <w:marBottom w:val="0"/>
          <w:divBdr>
            <w:top w:val="none" w:sz="0" w:space="0" w:color="auto"/>
            <w:left w:val="none" w:sz="0" w:space="0" w:color="auto"/>
            <w:bottom w:val="none" w:sz="0" w:space="0" w:color="auto"/>
            <w:right w:val="none" w:sz="0" w:space="0" w:color="auto"/>
          </w:divBdr>
          <w:divsChild>
            <w:div w:id="1707948328">
              <w:marLeft w:val="0"/>
              <w:marRight w:val="0"/>
              <w:marTop w:val="0"/>
              <w:marBottom w:val="0"/>
              <w:divBdr>
                <w:top w:val="none" w:sz="0" w:space="0" w:color="auto"/>
                <w:left w:val="none" w:sz="0" w:space="0" w:color="auto"/>
                <w:bottom w:val="none" w:sz="0" w:space="0" w:color="auto"/>
                <w:right w:val="none" w:sz="0" w:space="0" w:color="auto"/>
              </w:divBdr>
              <w:divsChild>
                <w:div w:id="3243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51959">
      <w:bodyDiv w:val="1"/>
      <w:marLeft w:val="0"/>
      <w:marRight w:val="0"/>
      <w:marTop w:val="0"/>
      <w:marBottom w:val="0"/>
      <w:divBdr>
        <w:top w:val="none" w:sz="0" w:space="0" w:color="auto"/>
        <w:left w:val="none" w:sz="0" w:space="0" w:color="auto"/>
        <w:bottom w:val="none" w:sz="0" w:space="0" w:color="auto"/>
        <w:right w:val="none" w:sz="0" w:space="0" w:color="auto"/>
      </w:divBdr>
      <w:divsChild>
        <w:div w:id="482431562">
          <w:marLeft w:val="0"/>
          <w:marRight w:val="0"/>
          <w:marTop w:val="0"/>
          <w:marBottom w:val="0"/>
          <w:divBdr>
            <w:top w:val="none" w:sz="0" w:space="0" w:color="auto"/>
            <w:left w:val="none" w:sz="0" w:space="0" w:color="auto"/>
            <w:bottom w:val="none" w:sz="0" w:space="0" w:color="auto"/>
            <w:right w:val="none" w:sz="0" w:space="0" w:color="auto"/>
          </w:divBdr>
          <w:divsChild>
            <w:div w:id="1765177907">
              <w:marLeft w:val="0"/>
              <w:marRight w:val="0"/>
              <w:marTop w:val="0"/>
              <w:marBottom w:val="0"/>
              <w:divBdr>
                <w:top w:val="none" w:sz="0" w:space="0" w:color="auto"/>
                <w:left w:val="none" w:sz="0" w:space="0" w:color="auto"/>
                <w:bottom w:val="none" w:sz="0" w:space="0" w:color="auto"/>
                <w:right w:val="none" w:sz="0" w:space="0" w:color="auto"/>
              </w:divBdr>
              <w:divsChild>
                <w:div w:id="80349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45648">
      <w:bodyDiv w:val="1"/>
      <w:marLeft w:val="0"/>
      <w:marRight w:val="0"/>
      <w:marTop w:val="0"/>
      <w:marBottom w:val="0"/>
      <w:divBdr>
        <w:top w:val="none" w:sz="0" w:space="0" w:color="auto"/>
        <w:left w:val="none" w:sz="0" w:space="0" w:color="auto"/>
        <w:bottom w:val="none" w:sz="0" w:space="0" w:color="auto"/>
        <w:right w:val="none" w:sz="0" w:space="0" w:color="auto"/>
      </w:divBdr>
      <w:divsChild>
        <w:div w:id="290478303">
          <w:marLeft w:val="0"/>
          <w:marRight w:val="0"/>
          <w:marTop w:val="0"/>
          <w:marBottom w:val="0"/>
          <w:divBdr>
            <w:top w:val="none" w:sz="0" w:space="0" w:color="auto"/>
            <w:left w:val="none" w:sz="0" w:space="0" w:color="auto"/>
            <w:bottom w:val="none" w:sz="0" w:space="0" w:color="auto"/>
            <w:right w:val="none" w:sz="0" w:space="0" w:color="auto"/>
          </w:divBdr>
          <w:divsChild>
            <w:div w:id="1118329112">
              <w:marLeft w:val="0"/>
              <w:marRight w:val="0"/>
              <w:marTop w:val="0"/>
              <w:marBottom w:val="0"/>
              <w:divBdr>
                <w:top w:val="none" w:sz="0" w:space="0" w:color="auto"/>
                <w:left w:val="none" w:sz="0" w:space="0" w:color="auto"/>
                <w:bottom w:val="none" w:sz="0" w:space="0" w:color="auto"/>
                <w:right w:val="none" w:sz="0" w:space="0" w:color="auto"/>
              </w:divBdr>
              <w:divsChild>
                <w:div w:id="12360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41905">
      <w:bodyDiv w:val="1"/>
      <w:marLeft w:val="0"/>
      <w:marRight w:val="0"/>
      <w:marTop w:val="0"/>
      <w:marBottom w:val="0"/>
      <w:divBdr>
        <w:top w:val="none" w:sz="0" w:space="0" w:color="auto"/>
        <w:left w:val="none" w:sz="0" w:space="0" w:color="auto"/>
        <w:bottom w:val="none" w:sz="0" w:space="0" w:color="auto"/>
        <w:right w:val="none" w:sz="0" w:space="0" w:color="auto"/>
      </w:divBdr>
      <w:divsChild>
        <w:div w:id="1041399377">
          <w:marLeft w:val="0"/>
          <w:marRight w:val="0"/>
          <w:marTop w:val="0"/>
          <w:marBottom w:val="0"/>
          <w:divBdr>
            <w:top w:val="none" w:sz="0" w:space="0" w:color="auto"/>
            <w:left w:val="none" w:sz="0" w:space="0" w:color="auto"/>
            <w:bottom w:val="none" w:sz="0" w:space="0" w:color="auto"/>
            <w:right w:val="none" w:sz="0" w:space="0" w:color="auto"/>
          </w:divBdr>
          <w:divsChild>
            <w:div w:id="1166894499">
              <w:marLeft w:val="0"/>
              <w:marRight w:val="0"/>
              <w:marTop w:val="0"/>
              <w:marBottom w:val="0"/>
              <w:divBdr>
                <w:top w:val="none" w:sz="0" w:space="0" w:color="auto"/>
                <w:left w:val="none" w:sz="0" w:space="0" w:color="auto"/>
                <w:bottom w:val="none" w:sz="0" w:space="0" w:color="auto"/>
                <w:right w:val="none" w:sz="0" w:space="0" w:color="auto"/>
              </w:divBdr>
              <w:divsChild>
                <w:div w:id="119734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62555">
      <w:bodyDiv w:val="1"/>
      <w:marLeft w:val="0"/>
      <w:marRight w:val="0"/>
      <w:marTop w:val="0"/>
      <w:marBottom w:val="0"/>
      <w:divBdr>
        <w:top w:val="none" w:sz="0" w:space="0" w:color="auto"/>
        <w:left w:val="none" w:sz="0" w:space="0" w:color="auto"/>
        <w:bottom w:val="none" w:sz="0" w:space="0" w:color="auto"/>
        <w:right w:val="none" w:sz="0" w:space="0" w:color="auto"/>
      </w:divBdr>
      <w:divsChild>
        <w:div w:id="2047563409">
          <w:marLeft w:val="0"/>
          <w:marRight w:val="0"/>
          <w:marTop w:val="0"/>
          <w:marBottom w:val="0"/>
          <w:divBdr>
            <w:top w:val="none" w:sz="0" w:space="0" w:color="auto"/>
            <w:left w:val="none" w:sz="0" w:space="0" w:color="auto"/>
            <w:bottom w:val="none" w:sz="0" w:space="0" w:color="auto"/>
            <w:right w:val="none" w:sz="0" w:space="0" w:color="auto"/>
          </w:divBdr>
          <w:divsChild>
            <w:div w:id="1944192467">
              <w:marLeft w:val="0"/>
              <w:marRight w:val="0"/>
              <w:marTop w:val="0"/>
              <w:marBottom w:val="0"/>
              <w:divBdr>
                <w:top w:val="none" w:sz="0" w:space="0" w:color="auto"/>
                <w:left w:val="none" w:sz="0" w:space="0" w:color="auto"/>
                <w:bottom w:val="none" w:sz="0" w:space="0" w:color="auto"/>
                <w:right w:val="none" w:sz="0" w:space="0" w:color="auto"/>
              </w:divBdr>
              <w:divsChild>
                <w:div w:id="103279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68192">
      <w:bodyDiv w:val="1"/>
      <w:marLeft w:val="0"/>
      <w:marRight w:val="0"/>
      <w:marTop w:val="0"/>
      <w:marBottom w:val="0"/>
      <w:divBdr>
        <w:top w:val="none" w:sz="0" w:space="0" w:color="auto"/>
        <w:left w:val="none" w:sz="0" w:space="0" w:color="auto"/>
        <w:bottom w:val="none" w:sz="0" w:space="0" w:color="auto"/>
        <w:right w:val="none" w:sz="0" w:space="0" w:color="auto"/>
      </w:divBdr>
      <w:divsChild>
        <w:div w:id="97411759">
          <w:marLeft w:val="0"/>
          <w:marRight w:val="0"/>
          <w:marTop w:val="0"/>
          <w:marBottom w:val="0"/>
          <w:divBdr>
            <w:top w:val="none" w:sz="0" w:space="0" w:color="auto"/>
            <w:left w:val="none" w:sz="0" w:space="0" w:color="auto"/>
            <w:bottom w:val="none" w:sz="0" w:space="0" w:color="auto"/>
            <w:right w:val="none" w:sz="0" w:space="0" w:color="auto"/>
          </w:divBdr>
          <w:divsChild>
            <w:div w:id="645596417">
              <w:marLeft w:val="0"/>
              <w:marRight w:val="0"/>
              <w:marTop w:val="0"/>
              <w:marBottom w:val="0"/>
              <w:divBdr>
                <w:top w:val="none" w:sz="0" w:space="0" w:color="auto"/>
                <w:left w:val="none" w:sz="0" w:space="0" w:color="auto"/>
                <w:bottom w:val="none" w:sz="0" w:space="0" w:color="auto"/>
                <w:right w:val="none" w:sz="0" w:space="0" w:color="auto"/>
              </w:divBdr>
              <w:divsChild>
                <w:div w:id="87808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60368">
      <w:bodyDiv w:val="1"/>
      <w:marLeft w:val="0"/>
      <w:marRight w:val="0"/>
      <w:marTop w:val="0"/>
      <w:marBottom w:val="0"/>
      <w:divBdr>
        <w:top w:val="none" w:sz="0" w:space="0" w:color="auto"/>
        <w:left w:val="none" w:sz="0" w:space="0" w:color="auto"/>
        <w:bottom w:val="none" w:sz="0" w:space="0" w:color="auto"/>
        <w:right w:val="none" w:sz="0" w:space="0" w:color="auto"/>
      </w:divBdr>
      <w:divsChild>
        <w:div w:id="628048697">
          <w:marLeft w:val="0"/>
          <w:marRight w:val="0"/>
          <w:marTop w:val="0"/>
          <w:marBottom w:val="0"/>
          <w:divBdr>
            <w:top w:val="none" w:sz="0" w:space="0" w:color="auto"/>
            <w:left w:val="none" w:sz="0" w:space="0" w:color="auto"/>
            <w:bottom w:val="none" w:sz="0" w:space="0" w:color="auto"/>
            <w:right w:val="none" w:sz="0" w:space="0" w:color="auto"/>
          </w:divBdr>
          <w:divsChild>
            <w:div w:id="1075974356">
              <w:marLeft w:val="0"/>
              <w:marRight w:val="0"/>
              <w:marTop w:val="0"/>
              <w:marBottom w:val="0"/>
              <w:divBdr>
                <w:top w:val="none" w:sz="0" w:space="0" w:color="auto"/>
                <w:left w:val="none" w:sz="0" w:space="0" w:color="auto"/>
                <w:bottom w:val="none" w:sz="0" w:space="0" w:color="auto"/>
                <w:right w:val="none" w:sz="0" w:space="0" w:color="auto"/>
              </w:divBdr>
              <w:divsChild>
                <w:div w:id="107821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99645">
      <w:bodyDiv w:val="1"/>
      <w:marLeft w:val="0"/>
      <w:marRight w:val="0"/>
      <w:marTop w:val="0"/>
      <w:marBottom w:val="0"/>
      <w:divBdr>
        <w:top w:val="none" w:sz="0" w:space="0" w:color="auto"/>
        <w:left w:val="none" w:sz="0" w:space="0" w:color="auto"/>
        <w:bottom w:val="none" w:sz="0" w:space="0" w:color="auto"/>
        <w:right w:val="none" w:sz="0" w:space="0" w:color="auto"/>
      </w:divBdr>
      <w:divsChild>
        <w:div w:id="749618438">
          <w:marLeft w:val="0"/>
          <w:marRight w:val="0"/>
          <w:marTop w:val="0"/>
          <w:marBottom w:val="0"/>
          <w:divBdr>
            <w:top w:val="none" w:sz="0" w:space="0" w:color="auto"/>
            <w:left w:val="none" w:sz="0" w:space="0" w:color="auto"/>
            <w:bottom w:val="none" w:sz="0" w:space="0" w:color="auto"/>
            <w:right w:val="none" w:sz="0" w:space="0" w:color="auto"/>
          </w:divBdr>
          <w:divsChild>
            <w:div w:id="1819806472">
              <w:marLeft w:val="0"/>
              <w:marRight w:val="0"/>
              <w:marTop w:val="0"/>
              <w:marBottom w:val="0"/>
              <w:divBdr>
                <w:top w:val="none" w:sz="0" w:space="0" w:color="auto"/>
                <w:left w:val="none" w:sz="0" w:space="0" w:color="auto"/>
                <w:bottom w:val="none" w:sz="0" w:space="0" w:color="auto"/>
                <w:right w:val="none" w:sz="0" w:space="0" w:color="auto"/>
              </w:divBdr>
              <w:divsChild>
                <w:div w:id="3724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63658">
      <w:bodyDiv w:val="1"/>
      <w:marLeft w:val="0"/>
      <w:marRight w:val="0"/>
      <w:marTop w:val="0"/>
      <w:marBottom w:val="0"/>
      <w:divBdr>
        <w:top w:val="none" w:sz="0" w:space="0" w:color="auto"/>
        <w:left w:val="none" w:sz="0" w:space="0" w:color="auto"/>
        <w:bottom w:val="none" w:sz="0" w:space="0" w:color="auto"/>
        <w:right w:val="none" w:sz="0" w:space="0" w:color="auto"/>
      </w:divBdr>
      <w:divsChild>
        <w:div w:id="1270549508">
          <w:marLeft w:val="0"/>
          <w:marRight w:val="0"/>
          <w:marTop w:val="0"/>
          <w:marBottom w:val="0"/>
          <w:divBdr>
            <w:top w:val="none" w:sz="0" w:space="0" w:color="auto"/>
            <w:left w:val="none" w:sz="0" w:space="0" w:color="auto"/>
            <w:bottom w:val="none" w:sz="0" w:space="0" w:color="auto"/>
            <w:right w:val="none" w:sz="0" w:space="0" w:color="auto"/>
          </w:divBdr>
          <w:divsChild>
            <w:div w:id="1956909816">
              <w:marLeft w:val="0"/>
              <w:marRight w:val="0"/>
              <w:marTop w:val="0"/>
              <w:marBottom w:val="0"/>
              <w:divBdr>
                <w:top w:val="none" w:sz="0" w:space="0" w:color="auto"/>
                <w:left w:val="none" w:sz="0" w:space="0" w:color="auto"/>
                <w:bottom w:val="none" w:sz="0" w:space="0" w:color="auto"/>
                <w:right w:val="none" w:sz="0" w:space="0" w:color="auto"/>
              </w:divBdr>
              <w:divsChild>
                <w:div w:id="168913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722130">
      <w:bodyDiv w:val="1"/>
      <w:marLeft w:val="0"/>
      <w:marRight w:val="0"/>
      <w:marTop w:val="0"/>
      <w:marBottom w:val="0"/>
      <w:divBdr>
        <w:top w:val="none" w:sz="0" w:space="0" w:color="auto"/>
        <w:left w:val="none" w:sz="0" w:space="0" w:color="auto"/>
        <w:bottom w:val="none" w:sz="0" w:space="0" w:color="auto"/>
        <w:right w:val="none" w:sz="0" w:space="0" w:color="auto"/>
      </w:divBdr>
      <w:divsChild>
        <w:div w:id="1293364985">
          <w:marLeft w:val="0"/>
          <w:marRight w:val="0"/>
          <w:marTop w:val="0"/>
          <w:marBottom w:val="0"/>
          <w:divBdr>
            <w:top w:val="none" w:sz="0" w:space="0" w:color="auto"/>
            <w:left w:val="none" w:sz="0" w:space="0" w:color="auto"/>
            <w:bottom w:val="none" w:sz="0" w:space="0" w:color="auto"/>
            <w:right w:val="none" w:sz="0" w:space="0" w:color="auto"/>
          </w:divBdr>
          <w:divsChild>
            <w:div w:id="703214648">
              <w:marLeft w:val="0"/>
              <w:marRight w:val="0"/>
              <w:marTop w:val="0"/>
              <w:marBottom w:val="0"/>
              <w:divBdr>
                <w:top w:val="none" w:sz="0" w:space="0" w:color="auto"/>
                <w:left w:val="none" w:sz="0" w:space="0" w:color="auto"/>
                <w:bottom w:val="none" w:sz="0" w:space="0" w:color="auto"/>
                <w:right w:val="none" w:sz="0" w:space="0" w:color="auto"/>
              </w:divBdr>
              <w:divsChild>
                <w:div w:id="61440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005259">
      <w:bodyDiv w:val="1"/>
      <w:marLeft w:val="0"/>
      <w:marRight w:val="0"/>
      <w:marTop w:val="0"/>
      <w:marBottom w:val="0"/>
      <w:divBdr>
        <w:top w:val="none" w:sz="0" w:space="0" w:color="auto"/>
        <w:left w:val="none" w:sz="0" w:space="0" w:color="auto"/>
        <w:bottom w:val="none" w:sz="0" w:space="0" w:color="auto"/>
        <w:right w:val="none" w:sz="0" w:space="0" w:color="auto"/>
      </w:divBdr>
      <w:divsChild>
        <w:div w:id="1989363337">
          <w:marLeft w:val="0"/>
          <w:marRight w:val="0"/>
          <w:marTop w:val="0"/>
          <w:marBottom w:val="0"/>
          <w:divBdr>
            <w:top w:val="none" w:sz="0" w:space="0" w:color="auto"/>
            <w:left w:val="none" w:sz="0" w:space="0" w:color="auto"/>
            <w:bottom w:val="none" w:sz="0" w:space="0" w:color="auto"/>
            <w:right w:val="none" w:sz="0" w:space="0" w:color="auto"/>
          </w:divBdr>
          <w:divsChild>
            <w:div w:id="893589429">
              <w:marLeft w:val="0"/>
              <w:marRight w:val="0"/>
              <w:marTop w:val="0"/>
              <w:marBottom w:val="0"/>
              <w:divBdr>
                <w:top w:val="none" w:sz="0" w:space="0" w:color="auto"/>
                <w:left w:val="none" w:sz="0" w:space="0" w:color="auto"/>
                <w:bottom w:val="none" w:sz="0" w:space="0" w:color="auto"/>
                <w:right w:val="none" w:sz="0" w:space="0" w:color="auto"/>
              </w:divBdr>
              <w:divsChild>
                <w:div w:id="150597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857459">
      <w:bodyDiv w:val="1"/>
      <w:marLeft w:val="0"/>
      <w:marRight w:val="0"/>
      <w:marTop w:val="0"/>
      <w:marBottom w:val="0"/>
      <w:divBdr>
        <w:top w:val="none" w:sz="0" w:space="0" w:color="auto"/>
        <w:left w:val="none" w:sz="0" w:space="0" w:color="auto"/>
        <w:bottom w:val="none" w:sz="0" w:space="0" w:color="auto"/>
        <w:right w:val="none" w:sz="0" w:space="0" w:color="auto"/>
      </w:divBdr>
      <w:divsChild>
        <w:div w:id="1857573033">
          <w:marLeft w:val="0"/>
          <w:marRight w:val="0"/>
          <w:marTop w:val="0"/>
          <w:marBottom w:val="0"/>
          <w:divBdr>
            <w:top w:val="none" w:sz="0" w:space="0" w:color="auto"/>
            <w:left w:val="none" w:sz="0" w:space="0" w:color="auto"/>
            <w:bottom w:val="none" w:sz="0" w:space="0" w:color="auto"/>
            <w:right w:val="none" w:sz="0" w:space="0" w:color="auto"/>
          </w:divBdr>
          <w:divsChild>
            <w:div w:id="376127071">
              <w:marLeft w:val="0"/>
              <w:marRight w:val="0"/>
              <w:marTop w:val="0"/>
              <w:marBottom w:val="0"/>
              <w:divBdr>
                <w:top w:val="none" w:sz="0" w:space="0" w:color="auto"/>
                <w:left w:val="none" w:sz="0" w:space="0" w:color="auto"/>
                <w:bottom w:val="none" w:sz="0" w:space="0" w:color="auto"/>
                <w:right w:val="none" w:sz="0" w:space="0" w:color="auto"/>
              </w:divBdr>
              <w:divsChild>
                <w:div w:id="26361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788619">
      <w:bodyDiv w:val="1"/>
      <w:marLeft w:val="0"/>
      <w:marRight w:val="0"/>
      <w:marTop w:val="0"/>
      <w:marBottom w:val="0"/>
      <w:divBdr>
        <w:top w:val="none" w:sz="0" w:space="0" w:color="auto"/>
        <w:left w:val="none" w:sz="0" w:space="0" w:color="auto"/>
        <w:bottom w:val="none" w:sz="0" w:space="0" w:color="auto"/>
        <w:right w:val="none" w:sz="0" w:space="0" w:color="auto"/>
      </w:divBdr>
      <w:divsChild>
        <w:div w:id="441270504">
          <w:marLeft w:val="0"/>
          <w:marRight w:val="0"/>
          <w:marTop w:val="0"/>
          <w:marBottom w:val="0"/>
          <w:divBdr>
            <w:top w:val="none" w:sz="0" w:space="0" w:color="auto"/>
            <w:left w:val="none" w:sz="0" w:space="0" w:color="auto"/>
            <w:bottom w:val="none" w:sz="0" w:space="0" w:color="auto"/>
            <w:right w:val="none" w:sz="0" w:space="0" w:color="auto"/>
          </w:divBdr>
          <w:divsChild>
            <w:div w:id="1527056535">
              <w:marLeft w:val="0"/>
              <w:marRight w:val="0"/>
              <w:marTop w:val="0"/>
              <w:marBottom w:val="0"/>
              <w:divBdr>
                <w:top w:val="none" w:sz="0" w:space="0" w:color="auto"/>
                <w:left w:val="none" w:sz="0" w:space="0" w:color="auto"/>
                <w:bottom w:val="none" w:sz="0" w:space="0" w:color="auto"/>
                <w:right w:val="none" w:sz="0" w:space="0" w:color="auto"/>
              </w:divBdr>
              <w:divsChild>
                <w:div w:id="210668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692455">
      <w:bodyDiv w:val="1"/>
      <w:marLeft w:val="0"/>
      <w:marRight w:val="0"/>
      <w:marTop w:val="0"/>
      <w:marBottom w:val="0"/>
      <w:divBdr>
        <w:top w:val="none" w:sz="0" w:space="0" w:color="auto"/>
        <w:left w:val="none" w:sz="0" w:space="0" w:color="auto"/>
        <w:bottom w:val="none" w:sz="0" w:space="0" w:color="auto"/>
        <w:right w:val="none" w:sz="0" w:space="0" w:color="auto"/>
      </w:divBdr>
      <w:divsChild>
        <w:div w:id="589855509">
          <w:marLeft w:val="0"/>
          <w:marRight w:val="0"/>
          <w:marTop w:val="0"/>
          <w:marBottom w:val="0"/>
          <w:divBdr>
            <w:top w:val="none" w:sz="0" w:space="0" w:color="auto"/>
            <w:left w:val="none" w:sz="0" w:space="0" w:color="auto"/>
            <w:bottom w:val="none" w:sz="0" w:space="0" w:color="auto"/>
            <w:right w:val="none" w:sz="0" w:space="0" w:color="auto"/>
          </w:divBdr>
          <w:divsChild>
            <w:div w:id="672882379">
              <w:marLeft w:val="0"/>
              <w:marRight w:val="0"/>
              <w:marTop w:val="0"/>
              <w:marBottom w:val="0"/>
              <w:divBdr>
                <w:top w:val="none" w:sz="0" w:space="0" w:color="auto"/>
                <w:left w:val="none" w:sz="0" w:space="0" w:color="auto"/>
                <w:bottom w:val="none" w:sz="0" w:space="0" w:color="auto"/>
                <w:right w:val="none" w:sz="0" w:space="0" w:color="auto"/>
              </w:divBdr>
              <w:divsChild>
                <w:div w:id="589658065">
                  <w:marLeft w:val="0"/>
                  <w:marRight w:val="0"/>
                  <w:marTop w:val="0"/>
                  <w:marBottom w:val="0"/>
                  <w:divBdr>
                    <w:top w:val="none" w:sz="0" w:space="0" w:color="auto"/>
                    <w:left w:val="none" w:sz="0" w:space="0" w:color="auto"/>
                    <w:bottom w:val="none" w:sz="0" w:space="0" w:color="auto"/>
                    <w:right w:val="none" w:sz="0" w:space="0" w:color="auto"/>
                  </w:divBdr>
                  <w:divsChild>
                    <w:div w:id="200554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562476">
      <w:bodyDiv w:val="1"/>
      <w:marLeft w:val="0"/>
      <w:marRight w:val="0"/>
      <w:marTop w:val="0"/>
      <w:marBottom w:val="0"/>
      <w:divBdr>
        <w:top w:val="none" w:sz="0" w:space="0" w:color="auto"/>
        <w:left w:val="none" w:sz="0" w:space="0" w:color="auto"/>
        <w:bottom w:val="none" w:sz="0" w:space="0" w:color="auto"/>
        <w:right w:val="none" w:sz="0" w:space="0" w:color="auto"/>
      </w:divBdr>
    </w:div>
    <w:div w:id="281350465">
      <w:bodyDiv w:val="1"/>
      <w:marLeft w:val="0"/>
      <w:marRight w:val="0"/>
      <w:marTop w:val="0"/>
      <w:marBottom w:val="0"/>
      <w:divBdr>
        <w:top w:val="none" w:sz="0" w:space="0" w:color="auto"/>
        <w:left w:val="none" w:sz="0" w:space="0" w:color="auto"/>
        <w:bottom w:val="none" w:sz="0" w:space="0" w:color="auto"/>
        <w:right w:val="none" w:sz="0" w:space="0" w:color="auto"/>
      </w:divBdr>
      <w:divsChild>
        <w:div w:id="2091584917">
          <w:marLeft w:val="0"/>
          <w:marRight w:val="0"/>
          <w:marTop w:val="0"/>
          <w:marBottom w:val="0"/>
          <w:divBdr>
            <w:top w:val="none" w:sz="0" w:space="0" w:color="auto"/>
            <w:left w:val="none" w:sz="0" w:space="0" w:color="auto"/>
            <w:bottom w:val="none" w:sz="0" w:space="0" w:color="auto"/>
            <w:right w:val="none" w:sz="0" w:space="0" w:color="auto"/>
          </w:divBdr>
          <w:divsChild>
            <w:div w:id="793526380">
              <w:marLeft w:val="0"/>
              <w:marRight w:val="0"/>
              <w:marTop w:val="0"/>
              <w:marBottom w:val="0"/>
              <w:divBdr>
                <w:top w:val="none" w:sz="0" w:space="0" w:color="auto"/>
                <w:left w:val="none" w:sz="0" w:space="0" w:color="auto"/>
                <w:bottom w:val="none" w:sz="0" w:space="0" w:color="auto"/>
                <w:right w:val="none" w:sz="0" w:space="0" w:color="auto"/>
              </w:divBdr>
              <w:divsChild>
                <w:div w:id="6399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294590">
      <w:bodyDiv w:val="1"/>
      <w:marLeft w:val="0"/>
      <w:marRight w:val="0"/>
      <w:marTop w:val="0"/>
      <w:marBottom w:val="0"/>
      <w:divBdr>
        <w:top w:val="none" w:sz="0" w:space="0" w:color="auto"/>
        <w:left w:val="none" w:sz="0" w:space="0" w:color="auto"/>
        <w:bottom w:val="none" w:sz="0" w:space="0" w:color="auto"/>
        <w:right w:val="none" w:sz="0" w:space="0" w:color="auto"/>
      </w:divBdr>
      <w:divsChild>
        <w:div w:id="493424194">
          <w:marLeft w:val="0"/>
          <w:marRight w:val="0"/>
          <w:marTop w:val="0"/>
          <w:marBottom w:val="0"/>
          <w:divBdr>
            <w:top w:val="none" w:sz="0" w:space="0" w:color="auto"/>
            <w:left w:val="none" w:sz="0" w:space="0" w:color="auto"/>
            <w:bottom w:val="none" w:sz="0" w:space="0" w:color="auto"/>
            <w:right w:val="none" w:sz="0" w:space="0" w:color="auto"/>
          </w:divBdr>
          <w:divsChild>
            <w:div w:id="1803426308">
              <w:marLeft w:val="0"/>
              <w:marRight w:val="0"/>
              <w:marTop w:val="0"/>
              <w:marBottom w:val="0"/>
              <w:divBdr>
                <w:top w:val="none" w:sz="0" w:space="0" w:color="auto"/>
                <w:left w:val="none" w:sz="0" w:space="0" w:color="auto"/>
                <w:bottom w:val="none" w:sz="0" w:space="0" w:color="auto"/>
                <w:right w:val="none" w:sz="0" w:space="0" w:color="auto"/>
              </w:divBdr>
              <w:divsChild>
                <w:div w:id="171076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02252">
      <w:bodyDiv w:val="1"/>
      <w:marLeft w:val="0"/>
      <w:marRight w:val="0"/>
      <w:marTop w:val="0"/>
      <w:marBottom w:val="0"/>
      <w:divBdr>
        <w:top w:val="none" w:sz="0" w:space="0" w:color="auto"/>
        <w:left w:val="none" w:sz="0" w:space="0" w:color="auto"/>
        <w:bottom w:val="none" w:sz="0" w:space="0" w:color="auto"/>
        <w:right w:val="none" w:sz="0" w:space="0" w:color="auto"/>
      </w:divBdr>
      <w:divsChild>
        <w:div w:id="1742478902">
          <w:marLeft w:val="0"/>
          <w:marRight w:val="0"/>
          <w:marTop w:val="0"/>
          <w:marBottom w:val="0"/>
          <w:divBdr>
            <w:top w:val="none" w:sz="0" w:space="0" w:color="auto"/>
            <w:left w:val="none" w:sz="0" w:space="0" w:color="auto"/>
            <w:bottom w:val="none" w:sz="0" w:space="0" w:color="auto"/>
            <w:right w:val="none" w:sz="0" w:space="0" w:color="auto"/>
          </w:divBdr>
          <w:divsChild>
            <w:div w:id="1852529139">
              <w:marLeft w:val="0"/>
              <w:marRight w:val="0"/>
              <w:marTop w:val="0"/>
              <w:marBottom w:val="0"/>
              <w:divBdr>
                <w:top w:val="none" w:sz="0" w:space="0" w:color="auto"/>
                <w:left w:val="none" w:sz="0" w:space="0" w:color="auto"/>
                <w:bottom w:val="none" w:sz="0" w:space="0" w:color="auto"/>
                <w:right w:val="none" w:sz="0" w:space="0" w:color="auto"/>
              </w:divBdr>
              <w:divsChild>
                <w:div w:id="200496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326484">
      <w:bodyDiv w:val="1"/>
      <w:marLeft w:val="0"/>
      <w:marRight w:val="0"/>
      <w:marTop w:val="0"/>
      <w:marBottom w:val="0"/>
      <w:divBdr>
        <w:top w:val="none" w:sz="0" w:space="0" w:color="auto"/>
        <w:left w:val="none" w:sz="0" w:space="0" w:color="auto"/>
        <w:bottom w:val="none" w:sz="0" w:space="0" w:color="auto"/>
        <w:right w:val="none" w:sz="0" w:space="0" w:color="auto"/>
      </w:divBdr>
      <w:divsChild>
        <w:div w:id="2044133810">
          <w:marLeft w:val="0"/>
          <w:marRight w:val="0"/>
          <w:marTop w:val="0"/>
          <w:marBottom w:val="0"/>
          <w:divBdr>
            <w:top w:val="none" w:sz="0" w:space="0" w:color="auto"/>
            <w:left w:val="none" w:sz="0" w:space="0" w:color="auto"/>
            <w:bottom w:val="none" w:sz="0" w:space="0" w:color="auto"/>
            <w:right w:val="none" w:sz="0" w:space="0" w:color="auto"/>
          </w:divBdr>
          <w:divsChild>
            <w:div w:id="898243279">
              <w:marLeft w:val="0"/>
              <w:marRight w:val="0"/>
              <w:marTop w:val="0"/>
              <w:marBottom w:val="0"/>
              <w:divBdr>
                <w:top w:val="none" w:sz="0" w:space="0" w:color="auto"/>
                <w:left w:val="none" w:sz="0" w:space="0" w:color="auto"/>
                <w:bottom w:val="none" w:sz="0" w:space="0" w:color="auto"/>
                <w:right w:val="none" w:sz="0" w:space="0" w:color="auto"/>
              </w:divBdr>
              <w:divsChild>
                <w:div w:id="197606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736749">
      <w:bodyDiv w:val="1"/>
      <w:marLeft w:val="0"/>
      <w:marRight w:val="0"/>
      <w:marTop w:val="0"/>
      <w:marBottom w:val="0"/>
      <w:divBdr>
        <w:top w:val="none" w:sz="0" w:space="0" w:color="auto"/>
        <w:left w:val="none" w:sz="0" w:space="0" w:color="auto"/>
        <w:bottom w:val="none" w:sz="0" w:space="0" w:color="auto"/>
        <w:right w:val="none" w:sz="0" w:space="0" w:color="auto"/>
      </w:divBdr>
      <w:divsChild>
        <w:div w:id="1081559743">
          <w:marLeft w:val="0"/>
          <w:marRight w:val="0"/>
          <w:marTop w:val="0"/>
          <w:marBottom w:val="0"/>
          <w:divBdr>
            <w:top w:val="none" w:sz="0" w:space="0" w:color="auto"/>
            <w:left w:val="none" w:sz="0" w:space="0" w:color="auto"/>
            <w:bottom w:val="none" w:sz="0" w:space="0" w:color="auto"/>
            <w:right w:val="none" w:sz="0" w:space="0" w:color="auto"/>
          </w:divBdr>
          <w:divsChild>
            <w:div w:id="941257114">
              <w:marLeft w:val="0"/>
              <w:marRight w:val="0"/>
              <w:marTop w:val="0"/>
              <w:marBottom w:val="0"/>
              <w:divBdr>
                <w:top w:val="none" w:sz="0" w:space="0" w:color="auto"/>
                <w:left w:val="none" w:sz="0" w:space="0" w:color="auto"/>
                <w:bottom w:val="none" w:sz="0" w:space="0" w:color="auto"/>
                <w:right w:val="none" w:sz="0" w:space="0" w:color="auto"/>
              </w:divBdr>
              <w:divsChild>
                <w:div w:id="143597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032568">
      <w:bodyDiv w:val="1"/>
      <w:marLeft w:val="0"/>
      <w:marRight w:val="0"/>
      <w:marTop w:val="0"/>
      <w:marBottom w:val="0"/>
      <w:divBdr>
        <w:top w:val="none" w:sz="0" w:space="0" w:color="auto"/>
        <w:left w:val="none" w:sz="0" w:space="0" w:color="auto"/>
        <w:bottom w:val="none" w:sz="0" w:space="0" w:color="auto"/>
        <w:right w:val="none" w:sz="0" w:space="0" w:color="auto"/>
      </w:divBdr>
      <w:divsChild>
        <w:div w:id="353924575">
          <w:marLeft w:val="0"/>
          <w:marRight w:val="0"/>
          <w:marTop w:val="0"/>
          <w:marBottom w:val="0"/>
          <w:divBdr>
            <w:top w:val="none" w:sz="0" w:space="0" w:color="auto"/>
            <w:left w:val="none" w:sz="0" w:space="0" w:color="auto"/>
            <w:bottom w:val="none" w:sz="0" w:space="0" w:color="auto"/>
            <w:right w:val="none" w:sz="0" w:space="0" w:color="auto"/>
          </w:divBdr>
          <w:divsChild>
            <w:div w:id="412750519">
              <w:marLeft w:val="0"/>
              <w:marRight w:val="0"/>
              <w:marTop w:val="0"/>
              <w:marBottom w:val="0"/>
              <w:divBdr>
                <w:top w:val="none" w:sz="0" w:space="0" w:color="auto"/>
                <w:left w:val="none" w:sz="0" w:space="0" w:color="auto"/>
                <w:bottom w:val="none" w:sz="0" w:space="0" w:color="auto"/>
                <w:right w:val="none" w:sz="0" w:space="0" w:color="auto"/>
              </w:divBdr>
              <w:divsChild>
                <w:div w:id="6877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189412">
      <w:bodyDiv w:val="1"/>
      <w:marLeft w:val="0"/>
      <w:marRight w:val="0"/>
      <w:marTop w:val="0"/>
      <w:marBottom w:val="0"/>
      <w:divBdr>
        <w:top w:val="none" w:sz="0" w:space="0" w:color="auto"/>
        <w:left w:val="none" w:sz="0" w:space="0" w:color="auto"/>
        <w:bottom w:val="none" w:sz="0" w:space="0" w:color="auto"/>
        <w:right w:val="none" w:sz="0" w:space="0" w:color="auto"/>
      </w:divBdr>
      <w:divsChild>
        <w:div w:id="1324893643">
          <w:marLeft w:val="0"/>
          <w:marRight w:val="0"/>
          <w:marTop w:val="0"/>
          <w:marBottom w:val="0"/>
          <w:divBdr>
            <w:top w:val="none" w:sz="0" w:space="0" w:color="auto"/>
            <w:left w:val="none" w:sz="0" w:space="0" w:color="auto"/>
            <w:bottom w:val="none" w:sz="0" w:space="0" w:color="auto"/>
            <w:right w:val="none" w:sz="0" w:space="0" w:color="auto"/>
          </w:divBdr>
          <w:divsChild>
            <w:div w:id="2115859409">
              <w:marLeft w:val="0"/>
              <w:marRight w:val="0"/>
              <w:marTop w:val="0"/>
              <w:marBottom w:val="0"/>
              <w:divBdr>
                <w:top w:val="none" w:sz="0" w:space="0" w:color="auto"/>
                <w:left w:val="none" w:sz="0" w:space="0" w:color="auto"/>
                <w:bottom w:val="none" w:sz="0" w:space="0" w:color="auto"/>
                <w:right w:val="none" w:sz="0" w:space="0" w:color="auto"/>
              </w:divBdr>
              <w:divsChild>
                <w:div w:id="96758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371994">
      <w:bodyDiv w:val="1"/>
      <w:marLeft w:val="0"/>
      <w:marRight w:val="0"/>
      <w:marTop w:val="0"/>
      <w:marBottom w:val="0"/>
      <w:divBdr>
        <w:top w:val="none" w:sz="0" w:space="0" w:color="auto"/>
        <w:left w:val="none" w:sz="0" w:space="0" w:color="auto"/>
        <w:bottom w:val="none" w:sz="0" w:space="0" w:color="auto"/>
        <w:right w:val="none" w:sz="0" w:space="0" w:color="auto"/>
      </w:divBdr>
      <w:divsChild>
        <w:div w:id="172185550">
          <w:marLeft w:val="0"/>
          <w:marRight w:val="0"/>
          <w:marTop w:val="0"/>
          <w:marBottom w:val="0"/>
          <w:divBdr>
            <w:top w:val="none" w:sz="0" w:space="0" w:color="auto"/>
            <w:left w:val="none" w:sz="0" w:space="0" w:color="auto"/>
            <w:bottom w:val="none" w:sz="0" w:space="0" w:color="auto"/>
            <w:right w:val="none" w:sz="0" w:space="0" w:color="auto"/>
          </w:divBdr>
          <w:divsChild>
            <w:div w:id="1721516357">
              <w:marLeft w:val="0"/>
              <w:marRight w:val="0"/>
              <w:marTop w:val="0"/>
              <w:marBottom w:val="0"/>
              <w:divBdr>
                <w:top w:val="none" w:sz="0" w:space="0" w:color="auto"/>
                <w:left w:val="none" w:sz="0" w:space="0" w:color="auto"/>
                <w:bottom w:val="none" w:sz="0" w:space="0" w:color="auto"/>
                <w:right w:val="none" w:sz="0" w:space="0" w:color="auto"/>
              </w:divBdr>
              <w:divsChild>
                <w:div w:id="693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887203">
      <w:bodyDiv w:val="1"/>
      <w:marLeft w:val="0"/>
      <w:marRight w:val="0"/>
      <w:marTop w:val="0"/>
      <w:marBottom w:val="0"/>
      <w:divBdr>
        <w:top w:val="none" w:sz="0" w:space="0" w:color="auto"/>
        <w:left w:val="none" w:sz="0" w:space="0" w:color="auto"/>
        <w:bottom w:val="none" w:sz="0" w:space="0" w:color="auto"/>
        <w:right w:val="none" w:sz="0" w:space="0" w:color="auto"/>
      </w:divBdr>
      <w:divsChild>
        <w:div w:id="2127892328">
          <w:marLeft w:val="0"/>
          <w:marRight w:val="0"/>
          <w:marTop w:val="0"/>
          <w:marBottom w:val="0"/>
          <w:divBdr>
            <w:top w:val="none" w:sz="0" w:space="0" w:color="auto"/>
            <w:left w:val="none" w:sz="0" w:space="0" w:color="auto"/>
            <w:bottom w:val="none" w:sz="0" w:space="0" w:color="auto"/>
            <w:right w:val="none" w:sz="0" w:space="0" w:color="auto"/>
          </w:divBdr>
          <w:divsChild>
            <w:div w:id="1630742464">
              <w:marLeft w:val="0"/>
              <w:marRight w:val="0"/>
              <w:marTop w:val="0"/>
              <w:marBottom w:val="0"/>
              <w:divBdr>
                <w:top w:val="none" w:sz="0" w:space="0" w:color="auto"/>
                <w:left w:val="none" w:sz="0" w:space="0" w:color="auto"/>
                <w:bottom w:val="none" w:sz="0" w:space="0" w:color="auto"/>
                <w:right w:val="none" w:sz="0" w:space="0" w:color="auto"/>
              </w:divBdr>
              <w:divsChild>
                <w:div w:id="7154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23676">
      <w:bodyDiv w:val="1"/>
      <w:marLeft w:val="0"/>
      <w:marRight w:val="0"/>
      <w:marTop w:val="0"/>
      <w:marBottom w:val="0"/>
      <w:divBdr>
        <w:top w:val="none" w:sz="0" w:space="0" w:color="auto"/>
        <w:left w:val="none" w:sz="0" w:space="0" w:color="auto"/>
        <w:bottom w:val="none" w:sz="0" w:space="0" w:color="auto"/>
        <w:right w:val="none" w:sz="0" w:space="0" w:color="auto"/>
      </w:divBdr>
      <w:divsChild>
        <w:div w:id="1426537654">
          <w:marLeft w:val="0"/>
          <w:marRight w:val="0"/>
          <w:marTop w:val="0"/>
          <w:marBottom w:val="0"/>
          <w:divBdr>
            <w:top w:val="none" w:sz="0" w:space="0" w:color="auto"/>
            <w:left w:val="none" w:sz="0" w:space="0" w:color="auto"/>
            <w:bottom w:val="none" w:sz="0" w:space="0" w:color="auto"/>
            <w:right w:val="none" w:sz="0" w:space="0" w:color="auto"/>
          </w:divBdr>
          <w:divsChild>
            <w:div w:id="191462591">
              <w:marLeft w:val="0"/>
              <w:marRight w:val="0"/>
              <w:marTop w:val="0"/>
              <w:marBottom w:val="0"/>
              <w:divBdr>
                <w:top w:val="none" w:sz="0" w:space="0" w:color="auto"/>
                <w:left w:val="none" w:sz="0" w:space="0" w:color="auto"/>
                <w:bottom w:val="none" w:sz="0" w:space="0" w:color="auto"/>
                <w:right w:val="none" w:sz="0" w:space="0" w:color="auto"/>
              </w:divBdr>
              <w:divsChild>
                <w:div w:id="49461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405086">
      <w:bodyDiv w:val="1"/>
      <w:marLeft w:val="0"/>
      <w:marRight w:val="0"/>
      <w:marTop w:val="0"/>
      <w:marBottom w:val="0"/>
      <w:divBdr>
        <w:top w:val="none" w:sz="0" w:space="0" w:color="auto"/>
        <w:left w:val="none" w:sz="0" w:space="0" w:color="auto"/>
        <w:bottom w:val="none" w:sz="0" w:space="0" w:color="auto"/>
        <w:right w:val="none" w:sz="0" w:space="0" w:color="auto"/>
      </w:divBdr>
      <w:divsChild>
        <w:div w:id="1462965817">
          <w:marLeft w:val="0"/>
          <w:marRight w:val="0"/>
          <w:marTop w:val="0"/>
          <w:marBottom w:val="0"/>
          <w:divBdr>
            <w:top w:val="none" w:sz="0" w:space="0" w:color="auto"/>
            <w:left w:val="none" w:sz="0" w:space="0" w:color="auto"/>
            <w:bottom w:val="none" w:sz="0" w:space="0" w:color="auto"/>
            <w:right w:val="none" w:sz="0" w:space="0" w:color="auto"/>
          </w:divBdr>
          <w:divsChild>
            <w:div w:id="1425685203">
              <w:marLeft w:val="0"/>
              <w:marRight w:val="0"/>
              <w:marTop w:val="0"/>
              <w:marBottom w:val="0"/>
              <w:divBdr>
                <w:top w:val="none" w:sz="0" w:space="0" w:color="auto"/>
                <w:left w:val="none" w:sz="0" w:space="0" w:color="auto"/>
                <w:bottom w:val="none" w:sz="0" w:space="0" w:color="auto"/>
                <w:right w:val="none" w:sz="0" w:space="0" w:color="auto"/>
              </w:divBdr>
              <w:divsChild>
                <w:div w:id="14569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355773">
      <w:bodyDiv w:val="1"/>
      <w:marLeft w:val="0"/>
      <w:marRight w:val="0"/>
      <w:marTop w:val="0"/>
      <w:marBottom w:val="0"/>
      <w:divBdr>
        <w:top w:val="none" w:sz="0" w:space="0" w:color="auto"/>
        <w:left w:val="none" w:sz="0" w:space="0" w:color="auto"/>
        <w:bottom w:val="none" w:sz="0" w:space="0" w:color="auto"/>
        <w:right w:val="none" w:sz="0" w:space="0" w:color="auto"/>
      </w:divBdr>
      <w:divsChild>
        <w:div w:id="1960524791">
          <w:marLeft w:val="0"/>
          <w:marRight w:val="0"/>
          <w:marTop w:val="0"/>
          <w:marBottom w:val="0"/>
          <w:divBdr>
            <w:top w:val="none" w:sz="0" w:space="0" w:color="auto"/>
            <w:left w:val="none" w:sz="0" w:space="0" w:color="auto"/>
            <w:bottom w:val="none" w:sz="0" w:space="0" w:color="auto"/>
            <w:right w:val="none" w:sz="0" w:space="0" w:color="auto"/>
          </w:divBdr>
          <w:divsChild>
            <w:div w:id="1136097672">
              <w:marLeft w:val="0"/>
              <w:marRight w:val="0"/>
              <w:marTop w:val="0"/>
              <w:marBottom w:val="0"/>
              <w:divBdr>
                <w:top w:val="none" w:sz="0" w:space="0" w:color="auto"/>
                <w:left w:val="none" w:sz="0" w:space="0" w:color="auto"/>
                <w:bottom w:val="none" w:sz="0" w:space="0" w:color="auto"/>
                <w:right w:val="none" w:sz="0" w:space="0" w:color="auto"/>
              </w:divBdr>
              <w:divsChild>
                <w:div w:id="794446448">
                  <w:marLeft w:val="0"/>
                  <w:marRight w:val="0"/>
                  <w:marTop w:val="0"/>
                  <w:marBottom w:val="0"/>
                  <w:divBdr>
                    <w:top w:val="none" w:sz="0" w:space="0" w:color="auto"/>
                    <w:left w:val="none" w:sz="0" w:space="0" w:color="auto"/>
                    <w:bottom w:val="none" w:sz="0" w:space="0" w:color="auto"/>
                    <w:right w:val="none" w:sz="0" w:space="0" w:color="auto"/>
                  </w:divBdr>
                  <w:divsChild>
                    <w:div w:id="144495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341041">
      <w:bodyDiv w:val="1"/>
      <w:marLeft w:val="0"/>
      <w:marRight w:val="0"/>
      <w:marTop w:val="0"/>
      <w:marBottom w:val="0"/>
      <w:divBdr>
        <w:top w:val="none" w:sz="0" w:space="0" w:color="auto"/>
        <w:left w:val="none" w:sz="0" w:space="0" w:color="auto"/>
        <w:bottom w:val="none" w:sz="0" w:space="0" w:color="auto"/>
        <w:right w:val="none" w:sz="0" w:space="0" w:color="auto"/>
      </w:divBdr>
      <w:divsChild>
        <w:div w:id="185562468">
          <w:marLeft w:val="0"/>
          <w:marRight w:val="0"/>
          <w:marTop w:val="0"/>
          <w:marBottom w:val="0"/>
          <w:divBdr>
            <w:top w:val="none" w:sz="0" w:space="0" w:color="auto"/>
            <w:left w:val="none" w:sz="0" w:space="0" w:color="auto"/>
            <w:bottom w:val="none" w:sz="0" w:space="0" w:color="auto"/>
            <w:right w:val="none" w:sz="0" w:space="0" w:color="auto"/>
          </w:divBdr>
          <w:divsChild>
            <w:div w:id="350761804">
              <w:marLeft w:val="0"/>
              <w:marRight w:val="0"/>
              <w:marTop w:val="0"/>
              <w:marBottom w:val="0"/>
              <w:divBdr>
                <w:top w:val="none" w:sz="0" w:space="0" w:color="auto"/>
                <w:left w:val="none" w:sz="0" w:space="0" w:color="auto"/>
                <w:bottom w:val="none" w:sz="0" w:space="0" w:color="auto"/>
                <w:right w:val="none" w:sz="0" w:space="0" w:color="auto"/>
              </w:divBdr>
              <w:divsChild>
                <w:div w:id="899360574">
                  <w:marLeft w:val="0"/>
                  <w:marRight w:val="0"/>
                  <w:marTop w:val="0"/>
                  <w:marBottom w:val="0"/>
                  <w:divBdr>
                    <w:top w:val="none" w:sz="0" w:space="0" w:color="auto"/>
                    <w:left w:val="none" w:sz="0" w:space="0" w:color="auto"/>
                    <w:bottom w:val="none" w:sz="0" w:space="0" w:color="auto"/>
                    <w:right w:val="none" w:sz="0" w:space="0" w:color="auto"/>
                  </w:divBdr>
                  <w:divsChild>
                    <w:div w:id="106079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627764">
      <w:bodyDiv w:val="1"/>
      <w:marLeft w:val="0"/>
      <w:marRight w:val="0"/>
      <w:marTop w:val="0"/>
      <w:marBottom w:val="0"/>
      <w:divBdr>
        <w:top w:val="none" w:sz="0" w:space="0" w:color="auto"/>
        <w:left w:val="none" w:sz="0" w:space="0" w:color="auto"/>
        <w:bottom w:val="none" w:sz="0" w:space="0" w:color="auto"/>
        <w:right w:val="none" w:sz="0" w:space="0" w:color="auto"/>
      </w:divBdr>
      <w:divsChild>
        <w:div w:id="1040976043">
          <w:marLeft w:val="0"/>
          <w:marRight w:val="0"/>
          <w:marTop w:val="0"/>
          <w:marBottom w:val="0"/>
          <w:divBdr>
            <w:top w:val="none" w:sz="0" w:space="0" w:color="auto"/>
            <w:left w:val="none" w:sz="0" w:space="0" w:color="auto"/>
            <w:bottom w:val="none" w:sz="0" w:space="0" w:color="auto"/>
            <w:right w:val="none" w:sz="0" w:space="0" w:color="auto"/>
          </w:divBdr>
          <w:divsChild>
            <w:div w:id="578439241">
              <w:marLeft w:val="0"/>
              <w:marRight w:val="0"/>
              <w:marTop w:val="0"/>
              <w:marBottom w:val="0"/>
              <w:divBdr>
                <w:top w:val="none" w:sz="0" w:space="0" w:color="auto"/>
                <w:left w:val="none" w:sz="0" w:space="0" w:color="auto"/>
                <w:bottom w:val="none" w:sz="0" w:space="0" w:color="auto"/>
                <w:right w:val="none" w:sz="0" w:space="0" w:color="auto"/>
              </w:divBdr>
              <w:divsChild>
                <w:div w:id="506599073">
                  <w:marLeft w:val="0"/>
                  <w:marRight w:val="0"/>
                  <w:marTop w:val="0"/>
                  <w:marBottom w:val="0"/>
                  <w:divBdr>
                    <w:top w:val="none" w:sz="0" w:space="0" w:color="auto"/>
                    <w:left w:val="none" w:sz="0" w:space="0" w:color="auto"/>
                    <w:bottom w:val="none" w:sz="0" w:space="0" w:color="auto"/>
                    <w:right w:val="none" w:sz="0" w:space="0" w:color="auto"/>
                  </w:divBdr>
                  <w:divsChild>
                    <w:div w:id="95656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962507">
      <w:bodyDiv w:val="1"/>
      <w:marLeft w:val="0"/>
      <w:marRight w:val="0"/>
      <w:marTop w:val="0"/>
      <w:marBottom w:val="0"/>
      <w:divBdr>
        <w:top w:val="none" w:sz="0" w:space="0" w:color="auto"/>
        <w:left w:val="none" w:sz="0" w:space="0" w:color="auto"/>
        <w:bottom w:val="none" w:sz="0" w:space="0" w:color="auto"/>
        <w:right w:val="none" w:sz="0" w:space="0" w:color="auto"/>
      </w:divBdr>
      <w:divsChild>
        <w:div w:id="97261554">
          <w:marLeft w:val="0"/>
          <w:marRight w:val="0"/>
          <w:marTop w:val="0"/>
          <w:marBottom w:val="0"/>
          <w:divBdr>
            <w:top w:val="none" w:sz="0" w:space="0" w:color="auto"/>
            <w:left w:val="none" w:sz="0" w:space="0" w:color="auto"/>
            <w:bottom w:val="none" w:sz="0" w:space="0" w:color="auto"/>
            <w:right w:val="none" w:sz="0" w:space="0" w:color="auto"/>
          </w:divBdr>
          <w:divsChild>
            <w:div w:id="893351738">
              <w:marLeft w:val="0"/>
              <w:marRight w:val="0"/>
              <w:marTop w:val="0"/>
              <w:marBottom w:val="0"/>
              <w:divBdr>
                <w:top w:val="none" w:sz="0" w:space="0" w:color="auto"/>
                <w:left w:val="none" w:sz="0" w:space="0" w:color="auto"/>
                <w:bottom w:val="none" w:sz="0" w:space="0" w:color="auto"/>
                <w:right w:val="none" w:sz="0" w:space="0" w:color="auto"/>
              </w:divBdr>
              <w:divsChild>
                <w:div w:id="18126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972542">
      <w:bodyDiv w:val="1"/>
      <w:marLeft w:val="0"/>
      <w:marRight w:val="0"/>
      <w:marTop w:val="0"/>
      <w:marBottom w:val="0"/>
      <w:divBdr>
        <w:top w:val="none" w:sz="0" w:space="0" w:color="auto"/>
        <w:left w:val="none" w:sz="0" w:space="0" w:color="auto"/>
        <w:bottom w:val="none" w:sz="0" w:space="0" w:color="auto"/>
        <w:right w:val="none" w:sz="0" w:space="0" w:color="auto"/>
      </w:divBdr>
    </w:div>
    <w:div w:id="541401272">
      <w:bodyDiv w:val="1"/>
      <w:marLeft w:val="0"/>
      <w:marRight w:val="0"/>
      <w:marTop w:val="0"/>
      <w:marBottom w:val="0"/>
      <w:divBdr>
        <w:top w:val="none" w:sz="0" w:space="0" w:color="auto"/>
        <w:left w:val="none" w:sz="0" w:space="0" w:color="auto"/>
        <w:bottom w:val="none" w:sz="0" w:space="0" w:color="auto"/>
        <w:right w:val="none" w:sz="0" w:space="0" w:color="auto"/>
      </w:divBdr>
      <w:divsChild>
        <w:div w:id="1749692143">
          <w:marLeft w:val="0"/>
          <w:marRight w:val="0"/>
          <w:marTop w:val="0"/>
          <w:marBottom w:val="0"/>
          <w:divBdr>
            <w:top w:val="none" w:sz="0" w:space="0" w:color="auto"/>
            <w:left w:val="none" w:sz="0" w:space="0" w:color="auto"/>
            <w:bottom w:val="none" w:sz="0" w:space="0" w:color="auto"/>
            <w:right w:val="none" w:sz="0" w:space="0" w:color="auto"/>
          </w:divBdr>
          <w:divsChild>
            <w:div w:id="935675545">
              <w:marLeft w:val="0"/>
              <w:marRight w:val="0"/>
              <w:marTop w:val="0"/>
              <w:marBottom w:val="0"/>
              <w:divBdr>
                <w:top w:val="none" w:sz="0" w:space="0" w:color="auto"/>
                <w:left w:val="none" w:sz="0" w:space="0" w:color="auto"/>
                <w:bottom w:val="none" w:sz="0" w:space="0" w:color="auto"/>
                <w:right w:val="none" w:sz="0" w:space="0" w:color="auto"/>
              </w:divBdr>
              <w:divsChild>
                <w:div w:id="37450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027295">
      <w:bodyDiv w:val="1"/>
      <w:marLeft w:val="0"/>
      <w:marRight w:val="0"/>
      <w:marTop w:val="0"/>
      <w:marBottom w:val="0"/>
      <w:divBdr>
        <w:top w:val="none" w:sz="0" w:space="0" w:color="auto"/>
        <w:left w:val="none" w:sz="0" w:space="0" w:color="auto"/>
        <w:bottom w:val="none" w:sz="0" w:space="0" w:color="auto"/>
        <w:right w:val="none" w:sz="0" w:space="0" w:color="auto"/>
      </w:divBdr>
      <w:divsChild>
        <w:div w:id="670106328">
          <w:marLeft w:val="0"/>
          <w:marRight w:val="0"/>
          <w:marTop w:val="0"/>
          <w:marBottom w:val="0"/>
          <w:divBdr>
            <w:top w:val="none" w:sz="0" w:space="0" w:color="auto"/>
            <w:left w:val="none" w:sz="0" w:space="0" w:color="auto"/>
            <w:bottom w:val="none" w:sz="0" w:space="0" w:color="auto"/>
            <w:right w:val="none" w:sz="0" w:space="0" w:color="auto"/>
          </w:divBdr>
          <w:divsChild>
            <w:div w:id="586578863">
              <w:marLeft w:val="0"/>
              <w:marRight w:val="0"/>
              <w:marTop w:val="0"/>
              <w:marBottom w:val="0"/>
              <w:divBdr>
                <w:top w:val="none" w:sz="0" w:space="0" w:color="auto"/>
                <w:left w:val="none" w:sz="0" w:space="0" w:color="auto"/>
                <w:bottom w:val="none" w:sz="0" w:space="0" w:color="auto"/>
                <w:right w:val="none" w:sz="0" w:space="0" w:color="auto"/>
              </w:divBdr>
              <w:divsChild>
                <w:div w:id="158907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966774">
      <w:bodyDiv w:val="1"/>
      <w:marLeft w:val="0"/>
      <w:marRight w:val="0"/>
      <w:marTop w:val="0"/>
      <w:marBottom w:val="0"/>
      <w:divBdr>
        <w:top w:val="none" w:sz="0" w:space="0" w:color="auto"/>
        <w:left w:val="none" w:sz="0" w:space="0" w:color="auto"/>
        <w:bottom w:val="none" w:sz="0" w:space="0" w:color="auto"/>
        <w:right w:val="none" w:sz="0" w:space="0" w:color="auto"/>
      </w:divBdr>
      <w:divsChild>
        <w:div w:id="1232934330">
          <w:marLeft w:val="0"/>
          <w:marRight w:val="0"/>
          <w:marTop w:val="0"/>
          <w:marBottom w:val="0"/>
          <w:divBdr>
            <w:top w:val="none" w:sz="0" w:space="0" w:color="auto"/>
            <w:left w:val="none" w:sz="0" w:space="0" w:color="auto"/>
            <w:bottom w:val="none" w:sz="0" w:space="0" w:color="auto"/>
            <w:right w:val="none" w:sz="0" w:space="0" w:color="auto"/>
          </w:divBdr>
          <w:divsChild>
            <w:div w:id="752967995">
              <w:marLeft w:val="0"/>
              <w:marRight w:val="0"/>
              <w:marTop w:val="0"/>
              <w:marBottom w:val="0"/>
              <w:divBdr>
                <w:top w:val="none" w:sz="0" w:space="0" w:color="auto"/>
                <w:left w:val="none" w:sz="0" w:space="0" w:color="auto"/>
                <w:bottom w:val="none" w:sz="0" w:space="0" w:color="auto"/>
                <w:right w:val="none" w:sz="0" w:space="0" w:color="auto"/>
              </w:divBdr>
              <w:divsChild>
                <w:div w:id="20135938">
                  <w:marLeft w:val="0"/>
                  <w:marRight w:val="0"/>
                  <w:marTop w:val="0"/>
                  <w:marBottom w:val="0"/>
                  <w:divBdr>
                    <w:top w:val="none" w:sz="0" w:space="0" w:color="auto"/>
                    <w:left w:val="none" w:sz="0" w:space="0" w:color="auto"/>
                    <w:bottom w:val="none" w:sz="0" w:space="0" w:color="auto"/>
                    <w:right w:val="none" w:sz="0" w:space="0" w:color="auto"/>
                  </w:divBdr>
                  <w:divsChild>
                    <w:div w:id="188960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357959">
      <w:bodyDiv w:val="1"/>
      <w:marLeft w:val="0"/>
      <w:marRight w:val="0"/>
      <w:marTop w:val="0"/>
      <w:marBottom w:val="0"/>
      <w:divBdr>
        <w:top w:val="none" w:sz="0" w:space="0" w:color="auto"/>
        <w:left w:val="none" w:sz="0" w:space="0" w:color="auto"/>
        <w:bottom w:val="none" w:sz="0" w:space="0" w:color="auto"/>
        <w:right w:val="none" w:sz="0" w:space="0" w:color="auto"/>
      </w:divBdr>
      <w:divsChild>
        <w:div w:id="2109541851">
          <w:marLeft w:val="0"/>
          <w:marRight w:val="0"/>
          <w:marTop w:val="0"/>
          <w:marBottom w:val="0"/>
          <w:divBdr>
            <w:top w:val="none" w:sz="0" w:space="0" w:color="auto"/>
            <w:left w:val="none" w:sz="0" w:space="0" w:color="auto"/>
            <w:bottom w:val="none" w:sz="0" w:space="0" w:color="auto"/>
            <w:right w:val="none" w:sz="0" w:space="0" w:color="auto"/>
          </w:divBdr>
          <w:divsChild>
            <w:div w:id="1346440673">
              <w:marLeft w:val="0"/>
              <w:marRight w:val="0"/>
              <w:marTop w:val="0"/>
              <w:marBottom w:val="0"/>
              <w:divBdr>
                <w:top w:val="none" w:sz="0" w:space="0" w:color="auto"/>
                <w:left w:val="none" w:sz="0" w:space="0" w:color="auto"/>
                <w:bottom w:val="none" w:sz="0" w:space="0" w:color="auto"/>
                <w:right w:val="none" w:sz="0" w:space="0" w:color="auto"/>
              </w:divBdr>
              <w:divsChild>
                <w:div w:id="22453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479587">
      <w:bodyDiv w:val="1"/>
      <w:marLeft w:val="0"/>
      <w:marRight w:val="0"/>
      <w:marTop w:val="0"/>
      <w:marBottom w:val="0"/>
      <w:divBdr>
        <w:top w:val="none" w:sz="0" w:space="0" w:color="auto"/>
        <w:left w:val="none" w:sz="0" w:space="0" w:color="auto"/>
        <w:bottom w:val="none" w:sz="0" w:space="0" w:color="auto"/>
        <w:right w:val="none" w:sz="0" w:space="0" w:color="auto"/>
      </w:divBdr>
      <w:divsChild>
        <w:div w:id="479806169">
          <w:marLeft w:val="0"/>
          <w:marRight w:val="0"/>
          <w:marTop w:val="0"/>
          <w:marBottom w:val="0"/>
          <w:divBdr>
            <w:top w:val="none" w:sz="0" w:space="0" w:color="auto"/>
            <w:left w:val="none" w:sz="0" w:space="0" w:color="auto"/>
            <w:bottom w:val="none" w:sz="0" w:space="0" w:color="auto"/>
            <w:right w:val="none" w:sz="0" w:space="0" w:color="auto"/>
          </w:divBdr>
          <w:divsChild>
            <w:div w:id="1323854966">
              <w:marLeft w:val="0"/>
              <w:marRight w:val="0"/>
              <w:marTop w:val="0"/>
              <w:marBottom w:val="0"/>
              <w:divBdr>
                <w:top w:val="none" w:sz="0" w:space="0" w:color="auto"/>
                <w:left w:val="none" w:sz="0" w:space="0" w:color="auto"/>
                <w:bottom w:val="none" w:sz="0" w:space="0" w:color="auto"/>
                <w:right w:val="none" w:sz="0" w:space="0" w:color="auto"/>
              </w:divBdr>
              <w:divsChild>
                <w:div w:id="170081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09068">
      <w:bodyDiv w:val="1"/>
      <w:marLeft w:val="0"/>
      <w:marRight w:val="0"/>
      <w:marTop w:val="0"/>
      <w:marBottom w:val="0"/>
      <w:divBdr>
        <w:top w:val="none" w:sz="0" w:space="0" w:color="auto"/>
        <w:left w:val="none" w:sz="0" w:space="0" w:color="auto"/>
        <w:bottom w:val="none" w:sz="0" w:space="0" w:color="auto"/>
        <w:right w:val="none" w:sz="0" w:space="0" w:color="auto"/>
      </w:divBdr>
    </w:div>
    <w:div w:id="625550117">
      <w:bodyDiv w:val="1"/>
      <w:marLeft w:val="0"/>
      <w:marRight w:val="0"/>
      <w:marTop w:val="0"/>
      <w:marBottom w:val="0"/>
      <w:divBdr>
        <w:top w:val="none" w:sz="0" w:space="0" w:color="auto"/>
        <w:left w:val="none" w:sz="0" w:space="0" w:color="auto"/>
        <w:bottom w:val="none" w:sz="0" w:space="0" w:color="auto"/>
        <w:right w:val="none" w:sz="0" w:space="0" w:color="auto"/>
      </w:divBdr>
      <w:divsChild>
        <w:div w:id="693923201">
          <w:marLeft w:val="0"/>
          <w:marRight w:val="0"/>
          <w:marTop w:val="0"/>
          <w:marBottom w:val="0"/>
          <w:divBdr>
            <w:top w:val="none" w:sz="0" w:space="0" w:color="auto"/>
            <w:left w:val="none" w:sz="0" w:space="0" w:color="auto"/>
            <w:bottom w:val="none" w:sz="0" w:space="0" w:color="auto"/>
            <w:right w:val="none" w:sz="0" w:space="0" w:color="auto"/>
          </w:divBdr>
          <w:divsChild>
            <w:div w:id="451166704">
              <w:marLeft w:val="0"/>
              <w:marRight w:val="0"/>
              <w:marTop w:val="0"/>
              <w:marBottom w:val="0"/>
              <w:divBdr>
                <w:top w:val="none" w:sz="0" w:space="0" w:color="auto"/>
                <w:left w:val="none" w:sz="0" w:space="0" w:color="auto"/>
                <w:bottom w:val="none" w:sz="0" w:space="0" w:color="auto"/>
                <w:right w:val="none" w:sz="0" w:space="0" w:color="auto"/>
              </w:divBdr>
              <w:divsChild>
                <w:div w:id="186878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553449">
      <w:bodyDiv w:val="1"/>
      <w:marLeft w:val="0"/>
      <w:marRight w:val="0"/>
      <w:marTop w:val="0"/>
      <w:marBottom w:val="0"/>
      <w:divBdr>
        <w:top w:val="none" w:sz="0" w:space="0" w:color="auto"/>
        <w:left w:val="none" w:sz="0" w:space="0" w:color="auto"/>
        <w:bottom w:val="none" w:sz="0" w:space="0" w:color="auto"/>
        <w:right w:val="none" w:sz="0" w:space="0" w:color="auto"/>
      </w:divBdr>
      <w:divsChild>
        <w:div w:id="2002389204">
          <w:marLeft w:val="0"/>
          <w:marRight w:val="0"/>
          <w:marTop w:val="0"/>
          <w:marBottom w:val="0"/>
          <w:divBdr>
            <w:top w:val="none" w:sz="0" w:space="0" w:color="auto"/>
            <w:left w:val="none" w:sz="0" w:space="0" w:color="auto"/>
            <w:bottom w:val="none" w:sz="0" w:space="0" w:color="auto"/>
            <w:right w:val="none" w:sz="0" w:space="0" w:color="auto"/>
          </w:divBdr>
          <w:divsChild>
            <w:div w:id="443622973">
              <w:marLeft w:val="0"/>
              <w:marRight w:val="0"/>
              <w:marTop w:val="0"/>
              <w:marBottom w:val="0"/>
              <w:divBdr>
                <w:top w:val="none" w:sz="0" w:space="0" w:color="auto"/>
                <w:left w:val="none" w:sz="0" w:space="0" w:color="auto"/>
                <w:bottom w:val="none" w:sz="0" w:space="0" w:color="auto"/>
                <w:right w:val="none" w:sz="0" w:space="0" w:color="auto"/>
              </w:divBdr>
              <w:divsChild>
                <w:div w:id="108306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302904">
      <w:bodyDiv w:val="1"/>
      <w:marLeft w:val="0"/>
      <w:marRight w:val="0"/>
      <w:marTop w:val="0"/>
      <w:marBottom w:val="0"/>
      <w:divBdr>
        <w:top w:val="none" w:sz="0" w:space="0" w:color="auto"/>
        <w:left w:val="none" w:sz="0" w:space="0" w:color="auto"/>
        <w:bottom w:val="none" w:sz="0" w:space="0" w:color="auto"/>
        <w:right w:val="none" w:sz="0" w:space="0" w:color="auto"/>
      </w:divBdr>
      <w:divsChild>
        <w:div w:id="1204514888">
          <w:marLeft w:val="0"/>
          <w:marRight w:val="0"/>
          <w:marTop w:val="0"/>
          <w:marBottom w:val="0"/>
          <w:divBdr>
            <w:top w:val="none" w:sz="0" w:space="0" w:color="auto"/>
            <w:left w:val="none" w:sz="0" w:space="0" w:color="auto"/>
            <w:bottom w:val="none" w:sz="0" w:space="0" w:color="auto"/>
            <w:right w:val="none" w:sz="0" w:space="0" w:color="auto"/>
          </w:divBdr>
          <w:divsChild>
            <w:div w:id="1031608130">
              <w:marLeft w:val="0"/>
              <w:marRight w:val="0"/>
              <w:marTop w:val="0"/>
              <w:marBottom w:val="0"/>
              <w:divBdr>
                <w:top w:val="none" w:sz="0" w:space="0" w:color="auto"/>
                <w:left w:val="none" w:sz="0" w:space="0" w:color="auto"/>
                <w:bottom w:val="none" w:sz="0" w:space="0" w:color="auto"/>
                <w:right w:val="none" w:sz="0" w:space="0" w:color="auto"/>
              </w:divBdr>
              <w:divsChild>
                <w:div w:id="213019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23680">
      <w:bodyDiv w:val="1"/>
      <w:marLeft w:val="0"/>
      <w:marRight w:val="0"/>
      <w:marTop w:val="0"/>
      <w:marBottom w:val="0"/>
      <w:divBdr>
        <w:top w:val="none" w:sz="0" w:space="0" w:color="auto"/>
        <w:left w:val="none" w:sz="0" w:space="0" w:color="auto"/>
        <w:bottom w:val="none" w:sz="0" w:space="0" w:color="auto"/>
        <w:right w:val="none" w:sz="0" w:space="0" w:color="auto"/>
      </w:divBdr>
      <w:divsChild>
        <w:div w:id="2073430194">
          <w:marLeft w:val="0"/>
          <w:marRight w:val="0"/>
          <w:marTop w:val="0"/>
          <w:marBottom w:val="0"/>
          <w:divBdr>
            <w:top w:val="none" w:sz="0" w:space="0" w:color="auto"/>
            <w:left w:val="none" w:sz="0" w:space="0" w:color="auto"/>
            <w:bottom w:val="none" w:sz="0" w:space="0" w:color="auto"/>
            <w:right w:val="none" w:sz="0" w:space="0" w:color="auto"/>
          </w:divBdr>
          <w:divsChild>
            <w:div w:id="186480588">
              <w:marLeft w:val="0"/>
              <w:marRight w:val="0"/>
              <w:marTop w:val="0"/>
              <w:marBottom w:val="0"/>
              <w:divBdr>
                <w:top w:val="none" w:sz="0" w:space="0" w:color="auto"/>
                <w:left w:val="none" w:sz="0" w:space="0" w:color="auto"/>
                <w:bottom w:val="none" w:sz="0" w:space="0" w:color="auto"/>
                <w:right w:val="none" w:sz="0" w:space="0" w:color="auto"/>
              </w:divBdr>
              <w:divsChild>
                <w:div w:id="35391542">
                  <w:marLeft w:val="0"/>
                  <w:marRight w:val="0"/>
                  <w:marTop w:val="0"/>
                  <w:marBottom w:val="0"/>
                  <w:divBdr>
                    <w:top w:val="none" w:sz="0" w:space="0" w:color="auto"/>
                    <w:left w:val="none" w:sz="0" w:space="0" w:color="auto"/>
                    <w:bottom w:val="none" w:sz="0" w:space="0" w:color="auto"/>
                    <w:right w:val="none" w:sz="0" w:space="0" w:color="auto"/>
                  </w:divBdr>
                  <w:divsChild>
                    <w:div w:id="63598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205159">
      <w:bodyDiv w:val="1"/>
      <w:marLeft w:val="0"/>
      <w:marRight w:val="0"/>
      <w:marTop w:val="0"/>
      <w:marBottom w:val="0"/>
      <w:divBdr>
        <w:top w:val="none" w:sz="0" w:space="0" w:color="auto"/>
        <w:left w:val="none" w:sz="0" w:space="0" w:color="auto"/>
        <w:bottom w:val="none" w:sz="0" w:space="0" w:color="auto"/>
        <w:right w:val="none" w:sz="0" w:space="0" w:color="auto"/>
      </w:divBdr>
      <w:divsChild>
        <w:div w:id="1633750798">
          <w:marLeft w:val="0"/>
          <w:marRight w:val="0"/>
          <w:marTop w:val="0"/>
          <w:marBottom w:val="0"/>
          <w:divBdr>
            <w:top w:val="none" w:sz="0" w:space="0" w:color="auto"/>
            <w:left w:val="none" w:sz="0" w:space="0" w:color="auto"/>
            <w:bottom w:val="none" w:sz="0" w:space="0" w:color="auto"/>
            <w:right w:val="none" w:sz="0" w:space="0" w:color="auto"/>
          </w:divBdr>
          <w:divsChild>
            <w:div w:id="82923618">
              <w:marLeft w:val="0"/>
              <w:marRight w:val="0"/>
              <w:marTop w:val="0"/>
              <w:marBottom w:val="0"/>
              <w:divBdr>
                <w:top w:val="none" w:sz="0" w:space="0" w:color="auto"/>
                <w:left w:val="none" w:sz="0" w:space="0" w:color="auto"/>
                <w:bottom w:val="none" w:sz="0" w:space="0" w:color="auto"/>
                <w:right w:val="none" w:sz="0" w:space="0" w:color="auto"/>
              </w:divBdr>
              <w:divsChild>
                <w:div w:id="1507791540">
                  <w:marLeft w:val="0"/>
                  <w:marRight w:val="0"/>
                  <w:marTop w:val="0"/>
                  <w:marBottom w:val="0"/>
                  <w:divBdr>
                    <w:top w:val="none" w:sz="0" w:space="0" w:color="auto"/>
                    <w:left w:val="none" w:sz="0" w:space="0" w:color="auto"/>
                    <w:bottom w:val="none" w:sz="0" w:space="0" w:color="auto"/>
                    <w:right w:val="none" w:sz="0" w:space="0" w:color="auto"/>
                  </w:divBdr>
                  <w:divsChild>
                    <w:div w:id="12085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376769">
      <w:bodyDiv w:val="1"/>
      <w:marLeft w:val="0"/>
      <w:marRight w:val="0"/>
      <w:marTop w:val="0"/>
      <w:marBottom w:val="0"/>
      <w:divBdr>
        <w:top w:val="none" w:sz="0" w:space="0" w:color="auto"/>
        <w:left w:val="none" w:sz="0" w:space="0" w:color="auto"/>
        <w:bottom w:val="none" w:sz="0" w:space="0" w:color="auto"/>
        <w:right w:val="none" w:sz="0" w:space="0" w:color="auto"/>
      </w:divBdr>
      <w:divsChild>
        <w:div w:id="1322152705">
          <w:marLeft w:val="0"/>
          <w:marRight w:val="0"/>
          <w:marTop w:val="0"/>
          <w:marBottom w:val="0"/>
          <w:divBdr>
            <w:top w:val="none" w:sz="0" w:space="0" w:color="auto"/>
            <w:left w:val="none" w:sz="0" w:space="0" w:color="auto"/>
            <w:bottom w:val="none" w:sz="0" w:space="0" w:color="auto"/>
            <w:right w:val="none" w:sz="0" w:space="0" w:color="auto"/>
          </w:divBdr>
          <w:divsChild>
            <w:div w:id="776217778">
              <w:marLeft w:val="0"/>
              <w:marRight w:val="0"/>
              <w:marTop w:val="0"/>
              <w:marBottom w:val="0"/>
              <w:divBdr>
                <w:top w:val="none" w:sz="0" w:space="0" w:color="auto"/>
                <w:left w:val="none" w:sz="0" w:space="0" w:color="auto"/>
                <w:bottom w:val="none" w:sz="0" w:space="0" w:color="auto"/>
                <w:right w:val="none" w:sz="0" w:space="0" w:color="auto"/>
              </w:divBdr>
              <w:divsChild>
                <w:div w:id="348263230">
                  <w:marLeft w:val="0"/>
                  <w:marRight w:val="0"/>
                  <w:marTop w:val="0"/>
                  <w:marBottom w:val="0"/>
                  <w:divBdr>
                    <w:top w:val="none" w:sz="0" w:space="0" w:color="auto"/>
                    <w:left w:val="none" w:sz="0" w:space="0" w:color="auto"/>
                    <w:bottom w:val="none" w:sz="0" w:space="0" w:color="auto"/>
                    <w:right w:val="none" w:sz="0" w:space="0" w:color="auto"/>
                  </w:divBdr>
                  <w:divsChild>
                    <w:div w:id="99545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505073">
      <w:bodyDiv w:val="1"/>
      <w:marLeft w:val="0"/>
      <w:marRight w:val="0"/>
      <w:marTop w:val="0"/>
      <w:marBottom w:val="0"/>
      <w:divBdr>
        <w:top w:val="none" w:sz="0" w:space="0" w:color="auto"/>
        <w:left w:val="none" w:sz="0" w:space="0" w:color="auto"/>
        <w:bottom w:val="none" w:sz="0" w:space="0" w:color="auto"/>
        <w:right w:val="none" w:sz="0" w:space="0" w:color="auto"/>
      </w:divBdr>
      <w:divsChild>
        <w:div w:id="555554345">
          <w:marLeft w:val="0"/>
          <w:marRight w:val="0"/>
          <w:marTop w:val="0"/>
          <w:marBottom w:val="0"/>
          <w:divBdr>
            <w:top w:val="none" w:sz="0" w:space="0" w:color="auto"/>
            <w:left w:val="none" w:sz="0" w:space="0" w:color="auto"/>
            <w:bottom w:val="none" w:sz="0" w:space="0" w:color="auto"/>
            <w:right w:val="none" w:sz="0" w:space="0" w:color="auto"/>
          </w:divBdr>
          <w:divsChild>
            <w:div w:id="350568049">
              <w:marLeft w:val="0"/>
              <w:marRight w:val="0"/>
              <w:marTop w:val="0"/>
              <w:marBottom w:val="0"/>
              <w:divBdr>
                <w:top w:val="none" w:sz="0" w:space="0" w:color="auto"/>
                <w:left w:val="none" w:sz="0" w:space="0" w:color="auto"/>
                <w:bottom w:val="none" w:sz="0" w:space="0" w:color="auto"/>
                <w:right w:val="none" w:sz="0" w:space="0" w:color="auto"/>
              </w:divBdr>
              <w:divsChild>
                <w:div w:id="70340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3127">
      <w:bodyDiv w:val="1"/>
      <w:marLeft w:val="0"/>
      <w:marRight w:val="0"/>
      <w:marTop w:val="0"/>
      <w:marBottom w:val="0"/>
      <w:divBdr>
        <w:top w:val="none" w:sz="0" w:space="0" w:color="auto"/>
        <w:left w:val="none" w:sz="0" w:space="0" w:color="auto"/>
        <w:bottom w:val="none" w:sz="0" w:space="0" w:color="auto"/>
        <w:right w:val="none" w:sz="0" w:space="0" w:color="auto"/>
      </w:divBdr>
      <w:divsChild>
        <w:div w:id="1342658781">
          <w:marLeft w:val="0"/>
          <w:marRight w:val="0"/>
          <w:marTop w:val="0"/>
          <w:marBottom w:val="0"/>
          <w:divBdr>
            <w:top w:val="none" w:sz="0" w:space="0" w:color="auto"/>
            <w:left w:val="none" w:sz="0" w:space="0" w:color="auto"/>
            <w:bottom w:val="none" w:sz="0" w:space="0" w:color="auto"/>
            <w:right w:val="none" w:sz="0" w:space="0" w:color="auto"/>
          </w:divBdr>
          <w:divsChild>
            <w:div w:id="2078477155">
              <w:marLeft w:val="0"/>
              <w:marRight w:val="0"/>
              <w:marTop w:val="0"/>
              <w:marBottom w:val="0"/>
              <w:divBdr>
                <w:top w:val="none" w:sz="0" w:space="0" w:color="auto"/>
                <w:left w:val="none" w:sz="0" w:space="0" w:color="auto"/>
                <w:bottom w:val="none" w:sz="0" w:space="0" w:color="auto"/>
                <w:right w:val="none" w:sz="0" w:space="0" w:color="auto"/>
              </w:divBdr>
              <w:divsChild>
                <w:div w:id="109085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767584">
      <w:bodyDiv w:val="1"/>
      <w:marLeft w:val="0"/>
      <w:marRight w:val="0"/>
      <w:marTop w:val="0"/>
      <w:marBottom w:val="0"/>
      <w:divBdr>
        <w:top w:val="none" w:sz="0" w:space="0" w:color="auto"/>
        <w:left w:val="none" w:sz="0" w:space="0" w:color="auto"/>
        <w:bottom w:val="none" w:sz="0" w:space="0" w:color="auto"/>
        <w:right w:val="none" w:sz="0" w:space="0" w:color="auto"/>
      </w:divBdr>
      <w:divsChild>
        <w:div w:id="2064988645">
          <w:marLeft w:val="0"/>
          <w:marRight w:val="0"/>
          <w:marTop w:val="0"/>
          <w:marBottom w:val="0"/>
          <w:divBdr>
            <w:top w:val="none" w:sz="0" w:space="0" w:color="auto"/>
            <w:left w:val="none" w:sz="0" w:space="0" w:color="auto"/>
            <w:bottom w:val="none" w:sz="0" w:space="0" w:color="auto"/>
            <w:right w:val="none" w:sz="0" w:space="0" w:color="auto"/>
          </w:divBdr>
          <w:divsChild>
            <w:div w:id="1526365496">
              <w:marLeft w:val="0"/>
              <w:marRight w:val="0"/>
              <w:marTop w:val="0"/>
              <w:marBottom w:val="0"/>
              <w:divBdr>
                <w:top w:val="none" w:sz="0" w:space="0" w:color="auto"/>
                <w:left w:val="none" w:sz="0" w:space="0" w:color="auto"/>
                <w:bottom w:val="none" w:sz="0" w:space="0" w:color="auto"/>
                <w:right w:val="none" w:sz="0" w:space="0" w:color="auto"/>
              </w:divBdr>
              <w:divsChild>
                <w:div w:id="111352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717212">
      <w:bodyDiv w:val="1"/>
      <w:marLeft w:val="0"/>
      <w:marRight w:val="0"/>
      <w:marTop w:val="0"/>
      <w:marBottom w:val="0"/>
      <w:divBdr>
        <w:top w:val="none" w:sz="0" w:space="0" w:color="auto"/>
        <w:left w:val="none" w:sz="0" w:space="0" w:color="auto"/>
        <w:bottom w:val="none" w:sz="0" w:space="0" w:color="auto"/>
        <w:right w:val="none" w:sz="0" w:space="0" w:color="auto"/>
      </w:divBdr>
      <w:divsChild>
        <w:div w:id="597295305">
          <w:marLeft w:val="0"/>
          <w:marRight w:val="0"/>
          <w:marTop w:val="0"/>
          <w:marBottom w:val="0"/>
          <w:divBdr>
            <w:top w:val="none" w:sz="0" w:space="0" w:color="auto"/>
            <w:left w:val="none" w:sz="0" w:space="0" w:color="auto"/>
            <w:bottom w:val="none" w:sz="0" w:space="0" w:color="auto"/>
            <w:right w:val="none" w:sz="0" w:space="0" w:color="auto"/>
          </w:divBdr>
          <w:divsChild>
            <w:div w:id="1779720720">
              <w:marLeft w:val="0"/>
              <w:marRight w:val="0"/>
              <w:marTop w:val="0"/>
              <w:marBottom w:val="0"/>
              <w:divBdr>
                <w:top w:val="none" w:sz="0" w:space="0" w:color="auto"/>
                <w:left w:val="none" w:sz="0" w:space="0" w:color="auto"/>
                <w:bottom w:val="none" w:sz="0" w:space="0" w:color="auto"/>
                <w:right w:val="none" w:sz="0" w:space="0" w:color="auto"/>
              </w:divBdr>
              <w:divsChild>
                <w:div w:id="38255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287123">
      <w:bodyDiv w:val="1"/>
      <w:marLeft w:val="0"/>
      <w:marRight w:val="0"/>
      <w:marTop w:val="0"/>
      <w:marBottom w:val="0"/>
      <w:divBdr>
        <w:top w:val="none" w:sz="0" w:space="0" w:color="auto"/>
        <w:left w:val="none" w:sz="0" w:space="0" w:color="auto"/>
        <w:bottom w:val="none" w:sz="0" w:space="0" w:color="auto"/>
        <w:right w:val="none" w:sz="0" w:space="0" w:color="auto"/>
      </w:divBdr>
      <w:divsChild>
        <w:div w:id="267592401">
          <w:marLeft w:val="0"/>
          <w:marRight w:val="0"/>
          <w:marTop w:val="0"/>
          <w:marBottom w:val="0"/>
          <w:divBdr>
            <w:top w:val="none" w:sz="0" w:space="0" w:color="auto"/>
            <w:left w:val="none" w:sz="0" w:space="0" w:color="auto"/>
            <w:bottom w:val="none" w:sz="0" w:space="0" w:color="auto"/>
            <w:right w:val="none" w:sz="0" w:space="0" w:color="auto"/>
          </w:divBdr>
          <w:divsChild>
            <w:div w:id="733744182">
              <w:marLeft w:val="0"/>
              <w:marRight w:val="0"/>
              <w:marTop w:val="0"/>
              <w:marBottom w:val="0"/>
              <w:divBdr>
                <w:top w:val="none" w:sz="0" w:space="0" w:color="auto"/>
                <w:left w:val="none" w:sz="0" w:space="0" w:color="auto"/>
                <w:bottom w:val="none" w:sz="0" w:space="0" w:color="auto"/>
                <w:right w:val="none" w:sz="0" w:space="0" w:color="auto"/>
              </w:divBdr>
              <w:divsChild>
                <w:div w:id="59429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102034">
      <w:bodyDiv w:val="1"/>
      <w:marLeft w:val="0"/>
      <w:marRight w:val="0"/>
      <w:marTop w:val="0"/>
      <w:marBottom w:val="0"/>
      <w:divBdr>
        <w:top w:val="none" w:sz="0" w:space="0" w:color="auto"/>
        <w:left w:val="none" w:sz="0" w:space="0" w:color="auto"/>
        <w:bottom w:val="none" w:sz="0" w:space="0" w:color="auto"/>
        <w:right w:val="none" w:sz="0" w:space="0" w:color="auto"/>
      </w:divBdr>
      <w:divsChild>
        <w:div w:id="1340039736">
          <w:marLeft w:val="0"/>
          <w:marRight w:val="0"/>
          <w:marTop w:val="0"/>
          <w:marBottom w:val="0"/>
          <w:divBdr>
            <w:top w:val="none" w:sz="0" w:space="0" w:color="auto"/>
            <w:left w:val="none" w:sz="0" w:space="0" w:color="auto"/>
            <w:bottom w:val="none" w:sz="0" w:space="0" w:color="auto"/>
            <w:right w:val="none" w:sz="0" w:space="0" w:color="auto"/>
          </w:divBdr>
          <w:divsChild>
            <w:div w:id="1663309704">
              <w:marLeft w:val="0"/>
              <w:marRight w:val="0"/>
              <w:marTop w:val="0"/>
              <w:marBottom w:val="0"/>
              <w:divBdr>
                <w:top w:val="none" w:sz="0" w:space="0" w:color="auto"/>
                <w:left w:val="none" w:sz="0" w:space="0" w:color="auto"/>
                <w:bottom w:val="none" w:sz="0" w:space="0" w:color="auto"/>
                <w:right w:val="none" w:sz="0" w:space="0" w:color="auto"/>
              </w:divBdr>
              <w:divsChild>
                <w:div w:id="74109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745119">
      <w:bodyDiv w:val="1"/>
      <w:marLeft w:val="0"/>
      <w:marRight w:val="0"/>
      <w:marTop w:val="0"/>
      <w:marBottom w:val="0"/>
      <w:divBdr>
        <w:top w:val="none" w:sz="0" w:space="0" w:color="auto"/>
        <w:left w:val="none" w:sz="0" w:space="0" w:color="auto"/>
        <w:bottom w:val="none" w:sz="0" w:space="0" w:color="auto"/>
        <w:right w:val="none" w:sz="0" w:space="0" w:color="auto"/>
      </w:divBdr>
      <w:divsChild>
        <w:div w:id="1094666510">
          <w:marLeft w:val="0"/>
          <w:marRight w:val="0"/>
          <w:marTop w:val="0"/>
          <w:marBottom w:val="0"/>
          <w:divBdr>
            <w:top w:val="none" w:sz="0" w:space="0" w:color="auto"/>
            <w:left w:val="none" w:sz="0" w:space="0" w:color="auto"/>
            <w:bottom w:val="none" w:sz="0" w:space="0" w:color="auto"/>
            <w:right w:val="none" w:sz="0" w:space="0" w:color="auto"/>
          </w:divBdr>
          <w:divsChild>
            <w:div w:id="726992521">
              <w:marLeft w:val="0"/>
              <w:marRight w:val="0"/>
              <w:marTop w:val="0"/>
              <w:marBottom w:val="0"/>
              <w:divBdr>
                <w:top w:val="none" w:sz="0" w:space="0" w:color="auto"/>
                <w:left w:val="none" w:sz="0" w:space="0" w:color="auto"/>
                <w:bottom w:val="none" w:sz="0" w:space="0" w:color="auto"/>
                <w:right w:val="none" w:sz="0" w:space="0" w:color="auto"/>
              </w:divBdr>
              <w:divsChild>
                <w:div w:id="84004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462536">
      <w:bodyDiv w:val="1"/>
      <w:marLeft w:val="0"/>
      <w:marRight w:val="0"/>
      <w:marTop w:val="0"/>
      <w:marBottom w:val="0"/>
      <w:divBdr>
        <w:top w:val="none" w:sz="0" w:space="0" w:color="auto"/>
        <w:left w:val="none" w:sz="0" w:space="0" w:color="auto"/>
        <w:bottom w:val="none" w:sz="0" w:space="0" w:color="auto"/>
        <w:right w:val="none" w:sz="0" w:space="0" w:color="auto"/>
      </w:divBdr>
      <w:divsChild>
        <w:div w:id="648051852">
          <w:marLeft w:val="0"/>
          <w:marRight w:val="0"/>
          <w:marTop w:val="0"/>
          <w:marBottom w:val="0"/>
          <w:divBdr>
            <w:top w:val="none" w:sz="0" w:space="0" w:color="auto"/>
            <w:left w:val="none" w:sz="0" w:space="0" w:color="auto"/>
            <w:bottom w:val="none" w:sz="0" w:space="0" w:color="auto"/>
            <w:right w:val="none" w:sz="0" w:space="0" w:color="auto"/>
          </w:divBdr>
          <w:divsChild>
            <w:div w:id="160320568">
              <w:marLeft w:val="0"/>
              <w:marRight w:val="0"/>
              <w:marTop w:val="0"/>
              <w:marBottom w:val="0"/>
              <w:divBdr>
                <w:top w:val="none" w:sz="0" w:space="0" w:color="auto"/>
                <w:left w:val="none" w:sz="0" w:space="0" w:color="auto"/>
                <w:bottom w:val="none" w:sz="0" w:space="0" w:color="auto"/>
                <w:right w:val="none" w:sz="0" w:space="0" w:color="auto"/>
              </w:divBdr>
              <w:divsChild>
                <w:div w:id="2001300821">
                  <w:marLeft w:val="0"/>
                  <w:marRight w:val="0"/>
                  <w:marTop w:val="0"/>
                  <w:marBottom w:val="0"/>
                  <w:divBdr>
                    <w:top w:val="none" w:sz="0" w:space="0" w:color="auto"/>
                    <w:left w:val="none" w:sz="0" w:space="0" w:color="auto"/>
                    <w:bottom w:val="none" w:sz="0" w:space="0" w:color="auto"/>
                    <w:right w:val="none" w:sz="0" w:space="0" w:color="auto"/>
                  </w:divBdr>
                  <w:divsChild>
                    <w:div w:id="146862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512016">
      <w:bodyDiv w:val="1"/>
      <w:marLeft w:val="0"/>
      <w:marRight w:val="0"/>
      <w:marTop w:val="0"/>
      <w:marBottom w:val="0"/>
      <w:divBdr>
        <w:top w:val="none" w:sz="0" w:space="0" w:color="auto"/>
        <w:left w:val="none" w:sz="0" w:space="0" w:color="auto"/>
        <w:bottom w:val="none" w:sz="0" w:space="0" w:color="auto"/>
        <w:right w:val="none" w:sz="0" w:space="0" w:color="auto"/>
      </w:divBdr>
      <w:divsChild>
        <w:div w:id="1263344136">
          <w:marLeft w:val="0"/>
          <w:marRight w:val="0"/>
          <w:marTop w:val="0"/>
          <w:marBottom w:val="0"/>
          <w:divBdr>
            <w:top w:val="none" w:sz="0" w:space="0" w:color="auto"/>
            <w:left w:val="none" w:sz="0" w:space="0" w:color="auto"/>
            <w:bottom w:val="none" w:sz="0" w:space="0" w:color="auto"/>
            <w:right w:val="none" w:sz="0" w:space="0" w:color="auto"/>
          </w:divBdr>
          <w:divsChild>
            <w:div w:id="334263486">
              <w:marLeft w:val="0"/>
              <w:marRight w:val="0"/>
              <w:marTop w:val="0"/>
              <w:marBottom w:val="0"/>
              <w:divBdr>
                <w:top w:val="none" w:sz="0" w:space="0" w:color="auto"/>
                <w:left w:val="none" w:sz="0" w:space="0" w:color="auto"/>
                <w:bottom w:val="none" w:sz="0" w:space="0" w:color="auto"/>
                <w:right w:val="none" w:sz="0" w:space="0" w:color="auto"/>
              </w:divBdr>
              <w:divsChild>
                <w:div w:id="8742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584174">
      <w:bodyDiv w:val="1"/>
      <w:marLeft w:val="0"/>
      <w:marRight w:val="0"/>
      <w:marTop w:val="0"/>
      <w:marBottom w:val="0"/>
      <w:divBdr>
        <w:top w:val="none" w:sz="0" w:space="0" w:color="auto"/>
        <w:left w:val="none" w:sz="0" w:space="0" w:color="auto"/>
        <w:bottom w:val="none" w:sz="0" w:space="0" w:color="auto"/>
        <w:right w:val="none" w:sz="0" w:space="0" w:color="auto"/>
      </w:divBdr>
      <w:divsChild>
        <w:div w:id="706834644">
          <w:marLeft w:val="0"/>
          <w:marRight w:val="0"/>
          <w:marTop w:val="0"/>
          <w:marBottom w:val="0"/>
          <w:divBdr>
            <w:top w:val="none" w:sz="0" w:space="0" w:color="auto"/>
            <w:left w:val="none" w:sz="0" w:space="0" w:color="auto"/>
            <w:bottom w:val="none" w:sz="0" w:space="0" w:color="auto"/>
            <w:right w:val="none" w:sz="0" w:space="0" w:color="auto"/>
          </w:divBdr>
          <w:divsChild>
            <w:div w:id="714432970">
              <w:marLeft w:val="0"/>
              <w:marRight w:val="0"/>
              <w:marTop w:val="0"/>
              <w:marBottom w:val="0"/>
              <w:divBdr>
                <w:top w:val="none" w:sz="0" w:space="0" w:color="auto"/>
                <w:left w:val="none" w:sz="0" w:space="0" w:color="auto"/>
                <w:bottom w:val="none" w:sz="0" w:space="0" w:color="auto"/>
                <w:right w:val="none" w:sz="0" w:space="0" w:color="auto"/>
              </w:divBdr>
              <w:divsChild>
                <w:div w:id="195994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86991">
      <w:bodyDiv w:val="1"/>
      <w:marLeft w:val="0"/>
      <w:marRight w:val="0"/>
      <w:marTop w:val="0"/>
      <w:marBottom w:val="0"/>
      <w:divBdr>
        <w:top w:val="none" w:sz="0" w:space="0" w:color="auto"/>
        <w:left w:val="none" w:sz="0" w:space="0" w:color="auto"/>
        <w:bottom w:val="none" w:sz="0" w:space="0" w:color="auto"/>
        <w:right w:val="none" w:sz="0" w:space="0" w:color="auto"/>
      </w:divBdr>
      <w:divsChild>
        <w:div w:id="847674007">
          <w:marLeft w:val="0"/>
          <w:marRight w:val="0"/>
          <w:marTop w:val="0"/>
          <w:marBottom w:val="0"/>
          <w:divBdr>
            <w:top w:val="none" w:sz="0" w:space="0" w:color="auto"/>
            <w:left w:val="none" w:sz="0" w:space="0" w:color="auto"/>
            <w:bottom w:val="none" w:sz="0" w:space="0" w:color="auto"/>
            <w:right w:val="none" w:sz="0" w:space="0" w:color="auto"/>
          </w:divBdr>
          <w:divsChild>
            <w:div w:id="853347460">
              <w:marLeft w:val="0"/>
              <w:marRight w:val="0"/>
              <w:marTop w:val="0"/>
              <w:marBottom w:val="0"/>
              <w:divBdr>
                <w:top w:val="none" w:sz="0" w:space="0" w:color="auto"/>
                <w:left w:val="none" w:sz="0" w:space="0" w:color="auto"/>
                <w:bottom w:val="none" w:sz="0" w:space="0" w:color="auto"/>
                <w:right w:val="none" w:sz="0" w:space="0" w:color="auto"/>
              </w:divBdr>
              <w:divsChild>
                <w:div w:id="2135174535">
                  <w:marLeft w:val="0"/>
                  <w:marRight w:val="0"/>
                  <w:marTop w:val="0"/>
                  <w:marBottom w:val="0"/>
                  <w:divBdr>
                    <w:top w:val="none" w:sz="0" w:space="0" w:color="auto"/>
                    <w:left w:val="none" w:sz="0" w:space="0" w:color="auto"/>
                    <w:bottom w:val="none" w:sz="0" w:space="0" w:color="auto"/>
                    <w:right w:val="none" w:sz="0" w:space="0" w:color="auto"/>
                  </w:divBdr>
                  <w:divsChild>
                    <w:div w:id="152902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346123">
      <w:bodyDiv w:val="1"/>
      <w:marLeft w:val="0"/>
      <w:marRight w:val="0"/>
      <w:marTop w:val="0"/>
      <w:marBottom w:val="0"/>
      <w:divBdr>
        <w:top w:val="none" w:sz="0" w:space="0" w:color="auto"/>
        <w:left w:val="none" w:sz="0" w:space="0" w:color="auto"/>
        <w:bottom w:val="none" w:sz="0" w:space="0" w:color="auto"/>
        <w:right w:val="none" w:sz="0" w:space="0" w:color="auto"/>
      </w:divBdr>
      <w:divsChild>
        <w:div w:id="1426531886">
          <w:marLeft w:val="0"/>
          <w:marRight w:val="0"/>
          <w:marTop w:val="0"/>
          <w:marBottom w:val="0"/>
          <w:divBdr>
            <w:top w:val="none" w:sz="0" w:space="0" w:color="auto"/>
            <w:left w:val="none" w:sz="0" w:space="0" w:color="auto"/>
            <w:bottom w:val="none" w:sz="0" w:space="0" w:color="auto"/>
            <w:right w:val="none" w:sz="0" w:space="0" w:color="auto"/>
          </w:divBdr>
          <w:divsChild>
            <w:div w:id="1269584443">
              <w:marLeft w:val="0"/>
              <w:marRight w:val="0"/>
              <w:marTop w:val="0"/>
              <w:marBottom w:val="0"/>
              <w:divBdr>
                <w:top w:val="none" w:sz="0" w:space="0" w:color="auto"/>
                <w:left w:val="none" w:sz="0" w:space="0" w:color="auto"/>
                <w:bottom w:val="none" w:sz="0" w:space="0" w:color="auto"/>
                <w:right w:val="none" w:sz="0" w:space="0" w:color="auto"/>
              </w:divBdr>
              <w:divsChild>
                <w:div w:id="24773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699657">
      <w:bodyDiv w:val="1"/>
      <w:marLeft w:val="0"/>
      <w:marRight w:val="0"/>
      <w:marTop w:val="0"/>
      <w:marBottom w:val="0"/>
      <w:divBdr>
        <w:top w:val="none" w:sz="0" w:space="0" w:color="auto"/>
        <w:left w:val="none" w:sz="0" w:space="0" w:color="auto"/>
        <w:bottom w:val="none" w:sz="0" w:space="0" w:color="auto"/>
        <w:right w:val="none" w:sz="0" w:space="0" w:color="auto"/>
      </w:divBdr>
      <w:divsChild>
        <w:div w:id="1054424306">
          <w:marLeft w:val="0"/>
          <w:marRight w:val="0"/>
          <w:marTop w:val="0"/>
          <w:marBottom w:val="0"/>
          <w:divBdr>
            <w:top w:val="none" w:sz="0" w:space="0" w:color="auto"/>
            <w:left w:val="none" w:sz="0" w:space="0" w:color="auto"/>
            <w:bottom w:val="none" w:sz="0" w:space="0" w:color="auto"/>
            <w:right w:val="none" w:sz="0" w:space="0" w:color="auto"/>
          </w:divBdr>
          <w:divsChild>
            <w:div w:id="692262648">
              <w:marLeft w:val="0"/>
              <w:marRight w:val="0"/>
              <w:marTop w:val="0"/>
              <w:marBottom w:val="0"/>
              <w:divBdr>
                <w:top w:val="none" w:sz="0" w:space="0" w:color="auto"/>
                <w:left w:val="none" w:sz="0" w:space="0" w:color="auto"/>
                <w:bottom w:val="none" w:sz="0" w:space="0" w:color="auto"/>
                <w:right w:val="none" w:sz="0" w:space="0" w:color="auto"/>
              </w:divBdr>
              <w:divsChild>
                <w:div w:id="194422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60171">
      <w:bodyDiv w:val="1"/>
      <w:marLeft w:val="0"/>
      <w:marRight w:val="0"/>
      <w:marTop w:val="0"/>
      <w:marBottom w:val="0"/>
      <w:divBdr>
        <w:top w:val="none" w:sz="0" w:space="0" w:color="auto"/>
        <w:left w:val="none" w:sz="0" w:space="0" w:color="auto"/>
        <w:bottom w:val="none" w:sz="0" w:space="0" w:color="auto"/>
        <w:right w:val="none" w:sz="0" w:space="0" w:color="auto"/>
      </w:divBdr>
      <w:divsChild>
        <w:div w:id="1881211198">
          <w:marLeft w:val="0"/>
          <w:marRight w:val="0"/>
          <w:marTop w:val="0"/>
          <w:marBottom w:val="0"/>
          <w:divBdr>
            <w:top w:val="none" w:sz="0" w:space="0" w:color="auto"/>
            <w:left w:val="none" w:sz="0" w:space="0" w:color="auto"/>
            <w:bottom w:val="none" w:sz="0" w:space="0" w:color="auto"/>
            <w:right w:val="none" w:sz="0" w:space="0" w:color="auto"/>
          </w:divBdr>
          <w:divsChild>
            <w:div w:id="424308416">
              <w:marLeft w:val="0"/>
              <w:marRight w:val="0"/>
              <w:marTop w:val="0"/>
              <w:marBottom w:val="0"/>
              <w:divBdr>
                <w:top w:val="none" w:sz="0" w:space="0" w:color="auto"/>
                <w:left w:val="none" w:sz="0" w:space="0" w:color="auto"/>
                <w:bottom w:val="none" w:sz="0" w:space="0" w:color="auto"/>
                <w:right w:val="none" w:sz="0" w:space="0" w:color="auto"/>
              </w:divBdr>
              <w:divsChild>
                <w:div w:id="6017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462642">
      <w:bodyDiv w:val="1"/>
      <w:marLeft w:val="0"/>
      <w:marRight w:val="0"/>
      <w:marTop w:val="0"/>
      <w:marBottom w:val="0"/>
      <w:divBdr>
        <w:top w:val="none" w:sz="0" w:space="0" w:color="auto"/>
        <w:left w:val="none" w:sz="0" w:space="0" w:color="auto"/>
        <w:bottom w:val="none" w:sz="0" w:space="0" w:color="auto"/>
        <w:right w:val="none" w:sz="0" w:space="0" w:color="auto"/>
      </w:divBdr>
      <w:divsChild>
        <w:div w:id="395011504">
          <w:marLeft w:val="0"/>
          <w:marRight w:val="0"/>
          <w:marTop w:val="0"/>
          <w:marBottom w:val="0"/>
          <w:divBdr>
            <w:top w:val="none" w:sz="0" w:space="0" w:color="auto"/>
            <w:left w:val="none" w:sz="0" w:space="0" w:color="auto"/>
            <w:bottom w:val="none" w:sz="0" w:space="0" w:color="auto"/>
            <w:right w:val="none" w:sz="0" w:space="0" w:color="auto"/>
          </w:divBdr>
          <w:divsChild>
            <w:div w:id="315190984">
              <w:marLeft w:val="0"/>
              <w:marRight w:val="0"/>
              <w:marTop w:val="0"/>
              <w:marBottom w:val="0"/>
              <w:divBdr>
                <w:top w:val="none" w:sz="0" w:space="0" w:color="auto"/>
                <w:left w:val="none" w:sz="0" w:space="0" w:color="auto"/>
                <w:bottom w:val="none" w:sz="0" w:space="0" w:color="auto"/>
                <w:right w:val="none" w:sz="0" w:space="0" w:color="auto"/>
              </w:divBdr>
              <w:divsChild>
                <w:div w:id="92970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752572">
      <w:bodyDiv w:val="1"/>
      <w:marLeft w:val="0"/>
      <w:marRight w:val="0"/>
      <w:marTop w:val="0"/>
      <w:marBottom w:val="0"/>
      <w:divBdr>
        <w:top w:val="none" w:sz="0" w:space="0" w:color="auto"/>
        <w:left w:val="none" w:sz="0" w:space="0" w:color="auto"/>
        <w:bottom w:val="none" w:sz="0" w:space="0" w:color="auto"/>
        <w:right w:val="none" w:sz="0" w:space="0" w:color="auto"/>
      </w:divBdr>
      <w:divsChild>
        <w:div w:id="723412773">
          <w:marLeft w:val="0"/>
          <w:marRight w:val="0"/>
          <w:marTop w:val="0"/>
          <w:marBottom w:val="0"/>
          <w:divBdr>
            <w:top w:val="none" w:sz="0" w:space="0" w:color="auto"/>
            <w:left w:val="none" w:sz="0" w:space="0" w:color="auto"/>
            <w:bottom w:val="single" w:sz="6" w:space="15" w:color="DDDDDD"/>
            <w:right w:val="none" w:sz="0" w:space="0" w:color="auto"/>
          </w:divBdr>
          <w:divsChild>
            <w:div w:id="597759162">
              <w:marLeft w:val="0"/>
              <w:marRight w:val="0"/>
              <w:marTop w:val="0"/>
              <w:marBottom w:val="0"/>
              <w:divBdr>
                <w:top w:val="none" w:sz="0" w:space="0" w:color="auto"/>
                <w:left w:val="none" w:sz="0" w:space="0" w:color="auto"/>
                <w:bottom w:val="none" w:sz="0" w:space="0" w:color="auto"/>
                <w:right w:val="none" w:sz="0" w:space="0" w:color="auto"/>
              </w:divBdr>
            </w:div>
          </w:divsChild>
        </w:div>
        <w:div w:id="408700177">
          <w:marLeft w:val="0"/>
          <w:marRight w:val="0"/>
          <w:marTop w:val="0"/>
          <w:marBottom w:val="0"/>
          <w:divBdr>
            <w:top w:val="none" w:sz="0" w:space="0" w:color="auto"/>
            <w:left w:val="none" w:sz="0" w:space="0" w:color="auto"/>
            <w:bottom w:val="single" w:sz="6" w:space="15" w:color="DDDDDD"/>
            <w:right w:val="none" w:sz="0" w:space="0" w:color="auto"/>
          </w:divBdr>
        </w:div>
      </w:divsChild>
    </w:div>
    <w:div w:id="959727409">
      <w:bodyDiv w:val="1"/>
      <w:marLeft w:val="0"/>
      <w:marRight w:val="0"/>
      <w:marTop w:val="0"/>
      <w:marBottom w:val="0"/>
      <w:divBdr>
        <w:top w:val="none" w:sz="0" w:space="0" w:color="auto"/>
        <w:left w:val="none" w:sz="0" w:space="0" w:color="auto"/>
        <w:bottom w:val="none" w:sz="0" w:space="0" w:color="auto"/>
        <w:right w:val="none" w:sz="0" w:space="0" w:color="auto"/>
      </w:divBdr>
      <w:divsChild>
        <w:div w:id="442574111">
          <w:marLeft w:val="0"/>
          <w:marRight w:val="0"/>
          <w:marTop w:val="0"/>
          <w:marBottom w:val="0"/>
          <w:divBdr>
            <w:top w:val="none" w:sz="0" w:space="0" w:color="auto"/>
            <w:left w:val="none" w:sz="0" w:space="0" w:color="auto"/>
            <w:bottom w:val="none" w:sz="0" w:space="0" w:color="auto"/>
            <w:right w:val="none" w:sz="0" w:space="0" w:color="auto"/>
          </w:divBdr>
          <w:divsChild>
            <w:div w:id="353461703">
              <w:marLeft w:val="0"/>
              <w:marRight w:val="0"/>
              <w:marTop w:val="0"/>
              <w:marBottom w:val="0"/>
              <w:divBdr>
                <w:top w:val="none" w:sz="0" w:space="0" w:color="auto"/>
                <w:left w:val="none" w:sz="0" w:space="0" w:color="auto"/>
                <w:bottom w:val="none" w:sz="0" w:space="0" w:color="auto"/>
                <w:right w:val="none" w:sz="0" w:space="0" w:color="auto"/>
              </w:divBdr>
              <w:divsChild>
                <w:div w:id="7477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005838">
      <w:bodyDiv w:val="1"/>
      <w:marLeft w:val="0"/>
      <w:marRight w:val="0"/>
      <w:marTop w:val="0"/>
      <w:marBottom w:val="0"/>
      <w:divBdr>
        <w:top w:val="none" w:sz="0" w:space="0" w:color="auto"/>
        <w:left w:val="none" w:sz="0" w:space="0" w:color="auto"/>
        <w:bottom w:val="none" w:sz="0" w:space="0" w:color="auto"/>
        <w:right w:val="none" w:sz="0" w:space="0" w:color="auto"/>
      </w:divBdr>
      <w:divsChild>
        <w:div w:id="809976615">
          <w:marLeft w:val="0"/>
          <w:marRight w:val="0"/>
          <w:marTop w:val="0"/>
          <w:marBottom w:val="0"/>
          <w:divBdr>
            <w:top w:val="none" w:sz="0" w:space="0" w:color="auto"/>
            <w:left w:val="none" w:sz="0" w:space="0" w:color="auto"/>
            <w:bottom w:val="none" w:sz="0" w:space="0" w:color="auto"/>
            <w:right w:val="none" w:sz="0" w:space="0" w:color="auto"/>
          </w:divBdr>
          <w:divsChild>
            <w:div w:id="369190920">
              <w:marLeft w:val="0"/>
              <w:marRight w:val="0"/>
              <w:marTop w:val="0"/>
              <w:marBottom w:val="0"/>
              <w:divBdr>
                <w:top w:val="none" w:sz="0" w:space="0" w:color="auto"/>
                <w:left w:val="none" w:sz="0" w:space="0" w:color="auto"/>
                <w:bottom w:val="none" w:sz="0" w:space="0" w:color="auto"/>
                <w:right w:val="none" w:sz="0" w:space="0" w:color="auto"/>
              </w:divBdr>
              <w:divsChild>
                <w:div w:id="204652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787183">
      <w:bodyDiv w:val="1"/>
      <w:marLeft w:val="0"/>
      <w:marRight w:val="0"/>
      <w:marTop w:val="0"/>
      <w:marBottom w:val="0"/>
      <w:divBdr>
        <w:top w:val="none" w:sz="0" w:space="0" w:color="auto"/>
        <w:left w:val="none" w:sz="0" w:space="0" w:color="auto"/>
        <w:bottom w:val="none" w:sz="0" w:space="0" w:color="auto"/>
        <w:right w:val="none" w:sz="0" w:space="0" w:color="auto"/>
      </w:divBdr>
      <w:divsChild>
        <w:div w:id="1208176867">
          <w:marLeft w:val="0"/>
          <w:marRight w:val="0"/>
          <w:marTop w:val="0"/>
          <w:marBottom w:val="0"/>
          <w:divBdr>
            <w:top w:val="none" w:sz="0" w:space="0" w:color="auto"/>
            <w:left w:val="none" w:sz="0" w:space="0" w:color="auto"/>
            <w:bottom w:val="none" w:sz="0" w:space="0" w:color="auto"/>
            <w:right w:val="none" w:sz="0" w:space="0" w:color="auto"/>
          </w:divBdr>
          <w:divsChild>
            <w:div w:id="296569853">
              <w:marLeft w:val="0"/>
              <w:marRight w:val="0"/>
              <w:marTop w:val="0"/>
              <w:marBottom w:val="0"/>
              <w:divBdr>
                <w:top w:val="none" w:sz="0" w:space="0" w:color="auto"/>
                <w:left w:val="none" w:sz="0" w:space="0" w:color="auto"/>
                <w:bottom w:val="none" w:sz="0" w:space="0" w:color="auto"/>
                <w:right w:val="none" w:sz="0" w:space="0" w:color="auto"/>
              </w:divBdr>
              <w:divsChild>
                <w:div w:id="27263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917338">
      <w:bodyDiv w:val="1"/>
      <w:marLeft w:val="0"/>
      <w:marRight w:val="0"/>
      <w:marTop w:val="0"/>
      <w:marBottom w:val="0"/>
      <w:divBdr>
        <w:top w:val="none" w:sz="0" w:space="0" w:color="auto"/>
        <w:left w:val="none" w:sz="0" w:space="0" w:color="auto"/>
        <w:bottom w:val="none" w:sz="0" w:space="0" w:color="auto"/>
        <w:right w:val="none" w:sz="0" w:space="0" w:color="auto"/>
      </w:divBdr>
      <w:divsChild>
        <w:div w:id="1443960985">
          <w:marLeft w:val="0"/>
          <w:marRight w:val="0"/>
          <w:marTop w:val="0"/>
          <w:marBottom w:val="0"/>
          <w:divBdr>
            <w:top w:val="none" w:sz="0" w:space="0" w:color="auto"/>
            <w:left w:val="none" w:sz="0" w:space="0" w:color="auto"/>
            <w:bottom w:val="none" w:sz="0" w:space="0" w:color="auto"/>
            <w:right w:val="none" w:sz="0" w:space="0" w:color="auto"/>
          </w:divBdr>
          <w:divsChild>
            <w:div w:id="62064829">
              <w:marLeft w:val="0"/>
              <w:marRight w:val="0"/>
              <w:marTop w:val="0"/>
              <w:marBottom w:val="0"/>
              <w:divBdr>
                <w:top w:val="none" w:sz="0" w:space="0" w:color="auto"/>
                <w:left w:val="none" w:sz="0" w:space="0" w:color="auto"/>
                <w:bottom w:val="none" w:sz="0" w:space="0" w:color="auto"/>
                <w:right w:val="none" w:sz="0" w:space="0" w:color="auto"/>
              </w:divBdr>
              <w:divsChild>
                <w:div w:id="77891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980590">
      <w:bodyDiv w:val="1"/>
      <w:marLeft w:val="0"/>
      <w:marRight w:val="0"/>
      <w:marTop w:val="0"/>
      <w:marBottom w:val="0"/>
      <w:divBdr>
        <w:top w:val="none" w:sz="0" w:space="0" w:color="auto"/>
        <w:left w:val="none" w:sz="0" w:space="0" w:color="auto"/>
        <w:bottom w:val="none" w:sz="0" w:space="0" w:color="auto"/>
        <w:right w:val="none" w:sz="0" w:space="0" w:color="auto"/>
      </w:divBdr>
      <w:divsChild>
        <w:div w:id="1027219626">
          <w:marLeft w:val="0"/>
          <w:marRight w:val="0"/>
          <w:marTop w:val="0"/>
          <w:marBottom w:val="0"/>
          <w:divBdr>
            <w:top w:val="none" w:sz="0" w:space="0" w:color="auto"/>
            <w:left w:val="none" w:sz="0" w:space="0" w:color="auto"/>
            <w:bottom w:val="none" w:sz="0" w:space="0" w:color="auto"/>
            <w:right w:val="none" w:sz="0" w:space="0" w:color="auto"/>
          </w:divBdr>
          <w:divsChild>
            <w:div w:id="245186636">
              <w:marLeft w:val="0"/>
              <w:marRight w:val="0"/>
              <w:marTop w:val="0"/>
              <w:marBottom w:val="0"/>
              <w:divBdr>
                <w:top w:val="none" w:sz="0" w:space="0" w:color="auto"/>
                <w:left w:val="none" w:sz="0" w:space="0" w:color="auto"/>
                <w:bottom w:val="none" w:sz="0" w:space="0" w:color="auto"/>
                <w:right w:val="none" w:sz="0" w:space="0" w:color="auto"/>
              </w:divBdr>
              <w:divsChild>
                <w:div w:id="156579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19679">
      <w:bodyDiv w:val="1"/>
      <w:marLeft w:val="0"/>
      <w:marRight w:val="0"/>
      <w:marTop w:val="0"/>
      <w:marBottom w:val="0"/>
      <w:divBdr>
        <w:top w:val="none" w:sz="0" w:space="0" w:color="auto"/>
        <w:left w:val="none" w:sz="0" w:space="0" w:color="auto"/>
        <w:bottom w:val="none" w:sz="0" w:space="0" w:color="auto"/>
        <w:right w:val="none" w:sz="0" w:space="0" w:color="auto"/>
      </w:divBdr>
      <w:divsChild>
        <w:div w:id="1334183474">
          <w:marLeft w:val="0"/>
          <w:marRight w:val="0"/>
          <w:marTop w:val="0"/>
          <w:marBottom w:val="0"/>
          <w:divBdr>
            <w:top w:val="none" w:sz="0" w:space="0" w:color="auto"/>
            <w:left w:val="none" w:sz="0" w:space="0" w:color="auto"/>
            <w:bottom w:val="none" w:sz="0" w:space="0" w:color="auto"/>
            <w:right w:val="none" w:sz="0" w:space="0" w:color="auto"/>
          </w:divBdr>
          <w:divsChild>
            <w:div w:id="1832017732">
              <w:marLeft w:val="0"/>
              <w:marRight w:val="0"/>
              <w:marTop w:val="0"/>
              <w:marBottom w:val="0"/>
              <w:divBdr>
                <w:top w:val="none" w:sz="0" w:space="0" w:color="auto"/>
                <w:left w:val="none" w:sz="0" w:space="0" w:color="auto"/>
                <w:bottom w:val="none" w:sz="0" w:space="0" w:color="auto"/>
                <w:right w:val="none" w:sz="0" w:space="0" w:color="auto"/>
              </w:divBdr>
              <w:divsChild>
                <w:div w:id="68571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044109">
      <w:bodyDiv w:val="1"/>
      <w:marLeft w:val="0"/>
      <w:marRight w:val="0"/>
      <w:marTop w:val="0"/>
      <w:marBottom w:val="0"/>
      <w:divBdr>
        <w:top w:val="none" w:sz="0" w:space="0" w:color="auto"/>
        <w:left w:val="none" w:sz="0" w:space="0" w:color="auto"/>
        <w:bottom w:val="none" w:sz="0" w:space="0" w:color="auto"/>
        <w:right w:val="none" w:sz="0" w:space="0" w:color="auto"/>
      </w:divBdr>
      <w:divsChild>
        <w:div w:id="1030447266">
          <w:marLeft w:val="0"/>
          <w:marRight w:val="0"/>
          <w:marTop w:val="0"/>
          <w:marBottom w:val="0"/>
          <w:divBdr>
            <w:top w:val="none" w:sz="0" w:space="0" w:color="auto"/>
            <w:left w:val="none" w:sz="0" w:space="0" w:color="auto"/>
            <w:bottom w:val="none" w:sz="0" w:space="0" w:color="auto"/>
            <w:right w:val="none" w:sz="0" w:space="0" w:color="auto"/>
          </w:divBdr>
          <w:divsChild>
            <w:div w:id="639723449">
              <w:marLeft w:val="0"/>
              <w:marRight w:val="0"/>
              <w:marTop w:val="0"/>
              <w:marBottom w:val="0"/>
              <w:divBdr>
                <w:top w:val="none" w:sz="0" w:space="0" w:color="auto"/>
                <w:left w:val="none" w:sz="0" w:space="0" w:color="auto"/>
                <w:bottom w:val="none" w:sz="0" w:space="0" w:color="auto"/>
                <w:right w:val="none" w:sz="0" w:space="0" w:color="auto"/>
              </w:divBdr>
              <w:divsChild>
                <w:div w:id="200523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737167">
      <w:bodyDiv w:val="1"/>
      <w:marLeft w:val="0"/>
      <w:marRight w:val="0"/>
      <w:marTop w:val="0"/>
      <w:marBottom w:val="0"/>
      <w:divBdr>
        <w:top w:val="none" w:sz="0" w:space="0" w:color="auto"/>
        <w:left w:val="none" w:sz="0" w:space="0" w:color="auto"/>
        <w:bottom w:val="none" w:sz="0" w:space="0" w:color="auto"/>
        <w:right w:val="none" w:sz="0" w:space="0" w:color="auto"/>
      </w:divBdr>
    </w:div>
    <w:div w:id="1061711999">
      <w:bodyDiv w:val="1"/>
      <w:marLeft w:val="0"/>
      <w:marRight w:val="0"/>
      <w:marTop w:val="0"/>
      <w:marBottom w:val="0"/>
      <w:divBdr>
        <w:top w:val="none" w:sz="0" w:space="0" w:color="auto"/>
        <w:left w:val="none" w:sz="0" w:space="0" w:color="auto"/>
        <w:bottom w:val="none" w:sz="0" w:space="0" w:color="auto"/>
        <w:right w:val="none" w:sz="0" w:space="0" w:color="auto"/>
      </w:divBdr>
      <w:divsChild>
        <w:div w:id="261374999">
          <w:marLeft w:val="0"/>
          <w:marRight w:val="0"/>
          <w:marTop w:val="0"/>
          <w:marBottom w:val="0"/>
          <w:divBdr>
            <w:top w:val="none" w:sz="0" w:space="0" w:color="auto"/>
            <w:left w:val="none" w:sz="0" w:space="0" w:color="auto"/>
            <w:bottom w:val="none" w:sz="0" w:space="0" w:color="auto"/>
            <w:right w:val="none" w:sz="0" w:space="0" w:color="auto"/>
          </w:divBdr>
          <w:divsChild>
            <w:div w:id="725448739">
              <w:marLeft w:val="0"/>
              <w:marRight w:val="0"/>
              <w:marTop w:val="0"/>
              <w:marBottom w:val="0"/>
              <w:divBdr>
                <w:top w:val="none" w:sz="0" w:space="0" w:color="auto"/>
                <w:left w:val="none" w:sz="0" w:space="0" w:color="auto"/>
                <w:bottom w:val="none" w:sz="0" w:space="0" w:color="auto"/>
                <w:right w:val="none" w:sz="0" w:space="0" w:color="auto"/>
              </w:divBdr>
              <w:divsChild>
                <w:div w:id="108784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9961">
      <w:bodyDiv w:val="1"/>
      <w:marLeft w:val="0"/>
      <w:marRight w:val="0"/>
      <w:marTop w:val="0"/>
      <w:marBottom w:val="0"/>
      <w:divBdr>
        <w:top w:val="none" w:sz="0" w:space="0" w:color="auto"/>
        <w:left w:val="none" w:sz="0" w:space="0" w:color="auto"/>
        <w:bottom w:val="none" w:sz="0" w:space="0" w:color="auto"/>
        <w:right w:val="none" w:sz="0" w:space="0" w:color="auto"/>
      </w:divBdr>
      <w:divsChild>
        <w:div w:id="91441743">
          <w:marLeft w:val="0"/>
          <w:marRight w:val="0"/>
          <w:marTop w:val="0"/>
          <w:marBottom w:val="0"/>
          <w:divBdr>
            <w:top w:val="none" w:sz="0" w:space="0" w:color="auto"/>
            <w:left w:val="none" w:sz="0" w:space="0" w:color="auto"/>
            <w:bottom w:val="none" w:sz="0" w:space="0" w:color="auto"/>
            <w:right w:val="none" w:sz="0" w:space="0" w:color="auto"/>
          </w:divBdr>
          <w:divsChild>
            <w:div w:id="787353528">
              <w:marLeft w:val="0"/>
              <w:marRight w:val="0"/>
              <w:marTop w:val="0"/>
              <w:marBottom w:val="0"/>
              <w:divBdr>
                <w:top w:val="none" w:sz="0" w:space="0" w:color="auto"/>
                <w:left w:val="none" w:sz="0" w:space="0" w:color="auto"/>
                <w:bottom w:val="none" w:sz="0" w:space="0" w:color="auto"/>
                <w:right w:val="none" w:sz="0" w:space="0" w:color="auto"/>
              </w:divBdr>
              <w:divsChild>
                <w:div w:id="14452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195394">
      <w:bodyDiv w:val="1"/>
      <w:marLeft w:val="0"/>
      <w:marRight w:val="0"/>
      <w:marTop w:val="0"/>
      <w:marBottom w:val="0"/>
      <w:divBdr>
        <w:top w:val="none" w:sz="0" w:space="0" w:color="auto"/>
        <w:left w:val="none" w:sz="0" w:space="0" w:color="auto"/>
        <w:bottom w:val="none" w:sz="0" w:space="0" w:color="auto"/>
        <w:right w:val="none" w:sz="0" w:space="0" w:color="auto"/>
      </w:divBdr>
      <w:divsChild>
        <w:div w:id="871186351">
          <w:marLeft w:val="0"/>
          <w:marRight w:val="0"/>
          <w:marTop w:val="0"/>
          <w:marBottom w:val="0"/>
          <w:divBdr>
            <w:top w:val="none" w:sz="0" w:space="0" w:color="auto"/>
            <w:left w:val="none" w:sz="0" w:space="0" w:color="auto"/>
            <w:bottom w:val="none" w:sz="0" w:space="0" w:color="auto"/>
            <w:right w:val="none" w:sz="0" w:space="0" w:color="auto"/>
          </w:divBdr>
          <w:divsChild>
            <w:div w:id="178127043">
              <w:marLeft w:val="0"/>
              <w:marRight w:val="0"/>
              <w:marTop w:val="0"/>
              <w:marBottom w:val="0"/>
              <w:divBdr>
                <w:top w:val="none" w:sz="0" w:space="0" w:color="auto"/>
                <w:left w:val="none" w:sz="0" w:space="0" w:color="auto"/>
                <w:bottom w:val="none" w:sz="0" w:space="0" w:color="auto"/>
                <w:right w:val="none" w:sz="0" w:space="0" w:color="auto"/>
              </w:divBdr>
              <w:divsChild>
                <w:div w:id="26523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016921">
      <w:bodyDiv w:val="1"/>
      <w:marLeft w:val="0"/>
      <w:marRight w:val="0"/>
      <w:marTop w:val="0"/>
      <w:marBottom w:val="0"/>
      <w:divBdr>
        <w:top w:val="none" w:sz="0" w:space="0" w:color="auto"/>
        <w:left w:val="none" w:sz="0" w:space="0" w:color="auto"/>
        <w:bottom w:val="none" w:sz="0" w:space="0" w:color="auto"/>
        <w:right w:val="none" w:sz="0" w:space="0" w:color="auto"/>
      </w:divBdr>
      <w:divsChild>
        <w:div w:id="1186943214">
          <w:marLeft w:val="0"/>
          <w:marRight w:val="0"/>
          <w:marTop w:val="0"/>
          <w:marBottom w:val="0"/>
          <w:divBdr>
            <w:top w:val="none" w:sz="0" w:space="0" w:color="auto"/>
            <w:left w:val="none" w:sz="0" w:space="0" w:color="auto"/>
            <w:bottom w:val="none" w:sz="0" w:space="0" w:color="auto"/>
            <w:right w:val="none" w:sz="0" w:space="0" w:color="auto"/>
          </w:divBdr>
          <w:divsChild>
            <w:div w:id="208106586">
              <w:marLeft w:val="0"/>
              <w:marRight w:val="0"/>
              <w:marTop w:val="0"/>
              <w:marBottom w:val="0"/>
              <w:divBdr>
                <w:top w:val="none" w:sz="0" w:space="0" w:color="auto"/>
                <w:left w:val="none" w:sz="0" w:space="0" w:color="auto"/>
                <w:bottom w:val="none" w:sz="0" w:space="0" w:color="auto"/>
                <w:right w:val="none" w:sz="0" w:space="0" w:color="auto"/>
              </w:divBdr>
              <w:divsChild>
                <w:div w:id="124953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66985">
      <w:bodyDiv w:val="1"/>
      <w:marLeft w:val="0"/>
      <w:marRight w:val="0"/>
      <w:marTop w:val="0"/>
      <w:marBottom w:val="0"/>
      <w:divBdr>
        <w:top w:val="none" w:sz="0" w:space="0" w:color="auto"/>
        <w:left w:val="none" w:sz="0" w:space="0" w:color="auto"/>
        <w:bottom w:val="none" w:sz="0" w:space="0" w:color="auto"/>
        <w:right w:val="none" w:sz="0" w:space="0" w:color="auto"/>
      </w:divBdr>
      <w:divsChild>
        <w:div w:id="1707869166">
          <w:marLeft w:val="0"/>
          <w:marRight w:val="0"/>
          <w:marTop w:val="0"/>
          <w:marBottom w:val="0"/>
          <w:divBdr>
            <w:top w:val="none" w:sz="0" w:space="0" w:color="auto"/>
            <w:left w:val="none" w:sz="0" w:space="0" w:color="auto"/>
            <w:bottom w:val="none" w:sz="0" w:space="0" w:color="auto"/>
            <w:right w:val="none" w:sz="0" w:space="0" w:color="auto"/>
          </w:divBdr>
          <w:divsChild>
            <w:div w:id="1313489580">
              <w:marLeft w:val="0"/>
              <w:marRight w:val="0"/>
              <w:marTop w:val="0"/>
              <w:marBottom w:val="0"/>
              <w:divBdr>
                <w:top w:val="none" w:sz="0" w:space="0" w:color="auto"/>
                <w:left w:val="none" w:sz="0" w:space="0" w:color="auto"/>
                <w:bottom w:val="none" w:sz="0" w:space="0" w:color="auto"/>
                <w:right w:val="none" w:sz="0" w:space="0" w:color="auto"/>
              </w:divBdr>
              <w:divsChild>
                <w:div w:id="213359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862283">
      <w:bodyDiv w:val="1"/>
      <w:marLeft w:val="0"/>
      <w:marRight w:val="0"/>
      <w:marTop w:val="0"/>
      <w:marBottom w:val="0"/>
      <w:divBdr>
        <w:top w:val="none" w:sz="0" w:space="0" w:color="auto"/>
        <w:left w:val="none" w:sz="0" w:space="0" w:color="auto"/>
        <w:bottom w:val="none" w:sz="0" w:space="0" w:color="auto"/>
        <w:right w:val="none" w:sz="0" w:space="0" w:color="auto"/>
      </w:divBdr>
      <w:divsChild>
        <w:div w:id="1021980821">
          <w:marLeft w:val="0"/>
          <w:marRight w:val="0"/>
          <w:marTop w:val="0"/>
          <w:marBottom w:val="0"/>
          <w:divBdr>
            <w:top w:val="none" w:sz="0" w:space="0" w:color="auto"/>
            <w:left w:val="none" w:sz="0" w:space="0" w:color="auto"/>
            <w:bottom w:val="none" w:sz="0" w:space="0" w:color="auto"/>
            <w:right w:val="none" w:sz="0" w:space="0" w:color="auto"/>
          </w:divBdr>
          <w:divsChild>
            <w:div w:id="1487476229">
              <w:marLeft w:val="0"/>
              <w:marRight w:val="0"/>
              <w:marTop w:val="0"/>
              <w:marBottom w:val="0"/>
              <w:divBdr>
                <w:top w:val="none" w:sz="0" w:space="0" w:color="auto"/>
                <w:left w:val="none" w:sz="0" w:space="0" w:color="auto"/>
                <w:bottom w:val="none" w:sz="0" w:space="0" w:color="auto"/>
                <w:right w:val="none" w:sz="0" w:space="0" w:color="auto"/>
              </w:divBdr>
              <w:divsChild>
                <w:div w:id="29799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003208">
      <w:bodyDiv w:val="1"/>
      <w:marLeft w:val="0"/>
      <w:marRight w:val="0"/>
      <w:marTop w:val="0"/>
      <w:marBottom w:val="0"/>
      <w:divBdr>
        <w:top w:val="none" w:sz="0" w:space="0" w:color="auto"/>
        <w:left w:val="none" w:sz="0" w:space="0" w:color="auto"/>
        <w:bottom w:val="none" w:sz="0" w:space="0" w:color="auto"/>
        <w:right w:val="none" w:sz="0" w:space="0" w:color="auto"/>
      </w:divBdr>
      <w:divsChild>
        <w:div w:id="2128548050">
          <w:marLeft w:val="0"/>
          <w:marRight w:val="0"/>
          <w:marTop w:val="0"/>
          <w:marBottom w:val="0"/>
          <w:divBdr>
            <w:top w:val="none" w:sz="0" w:space="0" w:color="auto"/>
            <w:left w:val="none" w:sz="0" w:space="0" w:color="auto"/>
            <w:bottom w:val="none" w:sz="0" w:space="0" w:color="auto"/>
            <w:right w:val="none" w:sz="0" w:space="0" w:color="auto"/>
          </w:divBdr>
          <w:divsChild>
            <w:div w:id="256980662">
              <w:marLeft w:val="0"/>
              <w:marRight w:val="0"/>
              <w:marTop w:val="0"/>
              <w:marBottom w:val="0"/>
              <w:divBdr>
                <w:top w:val="none" w:sz="0" w:space="0" w:color="auto"/>
                <w:left w:val="none" w:sz="0" w:space="0" w:color="auto"/>
                <w:bottom w:val="none" w:sz="0" w:space="0" w:color="auto"/>
                <w:right w:val="none" w:sz="0" w:space="0" w:color="auto"/>
              </w:divBdr>
              <w:divsChild>
                <w:div w:id="1322000637">
                  <w:marLeft w:val="0"/>
                  <w:marRight w:val="0"/>
                  <w:marTop w:val="0"/>
                  <w:marBottom w:val="0"/>
                  <w:divBdr>
                    <w:top w:val="none" w:sz="0" w:space="0" w:color="auto"/>
                    <w:left w:val="none" w:sz="0" w:space="0" w:color="auto"/>
                    <w:bottom w:val="none" w:sz="0" w:space="0" w:color="auto"/>
                    <w:right w:val="none" w:sz="0" w:space="0" w:color="auto"/>
                  </w:divBdr>
                  <w:divsChild>
                    <w:div w:id="31773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413855">
      <w:bodyDiv w:val="1"/>
      <w:marLeft w:val="0"/>
      <w:marRight w:val="0"/>
      <w:marTop w:val="0"/>
      <w:marBottom w:val="0"/>
      <w:divBdr>
        <w:top w:val="none" w:sz="0" w:space="0" w:color="auto"/>
        <w:left w:val="none" w:sz="0" w:space="0" w:color="auto"/>
        <w:bottom w:val="none" w:sz="0" w:space="0" w:color="auto"/>
        <w:right w:val="none" w:sz="0" w:space="0" w:color="auto"/>
      </w:divBdr>
      <w:divsChild>
        <w:div w:id="564492251">
          <w:marLeft w:val="0"/>
          <w:marRight w:val="0"/>
          <w:marTop w:val="0"/>
          <w:marBottom w:val="0"/>
          <w:divBdr>
            <w:top w:val="none" w:sz="0" w:space="0" w:color="auto"/>
            <w:left w:val="none" w:sz="0" w:space="0" w:color="auto"/>
            <w:bottom w:val="none" w:sz="0" w:space="0" w:color="auto"/>
            <w:right w:val="none" w:sz="0" w:space="0" w:color="auto"/>
          </w:divBdr>
          <w:divsChild>
            <w:div w:id="187647268">
              <w:marLeft w:val="0"/>
              <w:marRight w:val="0"/>
              <w:marTop w:val="0"/>
              <w:marBottom w:val="0"/>
              <w:divBdr>
                <w:top w:val="none" w:sz="0" w:space="0" w:color="auto"/>
                <w:left w:val="none" w:sz="0" w:space="0" w:color="auto"/>
                <w:bottom w:val="none" w:sz="0" w:space="0" w:color="auto"/>
                <w:right w:val="none" w:sz="0" w:space="0" w:color="auto"/>
              </w:divBdr>
              <w:divsChild>
                <w:div w:id="417480792">
                  <w:marLeft w:val="0"/>
                  <w:marRight w:val="0"/>
                  <w:marTop w:val="0"/>
                  <w:marBottom w:val="0"/>
                  <w:divBdr>
                    <w:top w:val="none" w:sz="0" w:space="0" w:color="auto"/>
                    <w:left w:val="none" w:sz="0" w:space="0" w:color="auto"/>
                    <w:bottom w:val="none" w:sz="0" w:space="0" w:color="auto"/>
                    <w:right w:val="none" w:sz="0" w:space="0" w:color="auto"/>
                  </w:divBdr>
                  <w:divsChild>
                    <w:div w:id="166300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555962">
      <w:bodyDiv w:val="1"/>
      <w:marLeft w:val="0"/>
      <w:marRight w:val="0"/>
      <w:marTop w:val="0"/>
      <w:marBottom w:val="0"/>
      <w:divBdr>
        <w:top w:val="none" w:sz="0" w:space="0" w:color="auto"/>
        <w:left w:val="none" w:sz="0" w:space="0" w:color="auto"/>
        <w:bottom w:val="none" w:sz="0" w:space="0" w:color="auto"/>
        <w:right w:val="none" w:sz="0" w:space="0" w:color="auto"/>
      </w:divBdr>
      <w:divsChild>
        <w:div w:id="1596480383">
          <w:marLeft w:val="0"/>
          <w:marRight w:val="0"/>
          <w:marTop w:val="0"/>
          <w:marBottom w:val="0"/>
          <w:divBdr>
            <w:top w:val="none" w:sz="0" w:space="0" w:color="auto"/>
            <w:left w:val="none" w:sz="0" w:space="0" w:color="auto"/>
            <w:bottom w:val="none" w:sz="0" w:space="0" w:color="auto"/>
            <w:right w:val="none" w:sz="0" w:space="0" w:color="auto"/>
          </w:divBdr>
          <w:divsChild>
            <w:div w:id="1967740393">
              <w:marLeft w:val="0"/>
              <w:marRight w:val="0"/>
              <w:marTop w:val="0"/>
              <w:marBottom w:val="0"/>
              <w:divBdr>
                <w:top w:val="none" w:sz="0" w:space="0" w:color="auto"/>
                <w:left w:val="none" w:sz="0" w:space="0" w:color="auto"/>
                <w:bottom w:val="none" w:sz="0" w:space="0" w:color="auto"/>
                <w:right w:val="none" w:sz="0" w:space="0" w:color="auto"/>
              </w:divBdr>
              <w:divsChild>
                <w:div w:id="104780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05257">
      <w:bodyDiv w:val="1"/>
      <w:marLeft w:val="0"/>
      <w:marRight w:val="0"/>
      <w:marTop w:val="0"/>
      <w:marBottom w:val="0"/>
      <w:divBdr>
        <w:top w:val="none" w:sz="0" w:space="0" w:color="auto"/>
        <w:left w:val="none" w:sz="0" w:space="0" w:color="auto"/>
        <w:bottom w:val="none" w:sz="0" w:space="0" w:color="auto"/>
        <w:right w:val="none" w:sz="0" w:space="0" w:color="auto"/>
      </w:divBdr>
      <w:divsChild>
        <w:div w:id="900941278">
          <w:marLeft w:val="0"/>
          <w:marRight w:val="0"/>
          <w:marTop w:val="0"/>
          <w:marBottom w:val="0"/>
          <w:divBdr>
            <w:top w:val="none" w:sz="0" w:space="0" w:color="auto"/>
            <w:left w:val="none" w:sz="0" w:space="0" w:color="auto"/>
            <w:bottom w:val="single" w:sz="6" w:space="15" w:color="DDDDDD"/>
            <w:right w:val="none" w:sz="0" w:space="0" w:color="auto"/>
          </w:divBdr>
          <w:divsChild>
            <w:div w:id="55671087">
              <w:marLeft w:val="0"/>
              <w:marRight w:val="0"/>
              <w:marTop w:val="0"/>
              <w:marBottom w:val="0"/>
              <w:divBdr>
                <w:top w:val="none" w:sz="0" w:space="0" w:color="auto"/>
                <w:left w:val="none" w:sz="0" w:space="0" w:color="auto"/>
                <w:bottom w:val="none" w:sz="0" w:space="0" w:color="auto"/>
                <w:right w:val="none" w:sz="0" w:space="0" w:color="auto"/>
              </w:divBdr>
            </w:div>
          </w:divsChild>
        </w:div>
        <w:div w:id="1798448249">
          <w:marLeft w:val="0"/>
          <w:marRight w:val="0"/>
          <w:marTop w:val="0"/>
          <w:marBottom w:val="0"/>
          <w:divBdr>
            <w:top w:val="none" w:sz="0" w:space="0" w:color="auto"/>
            <w:left w:val="none" w:sz="0" w:space="0" w:color="auto"/>
            <w:bottom w:val="single" w:sz="6" w:space="15" w:color="DDDDDD"/>
            <w:right w:val="none" w:sz="0" w:space="0" w:color="auto"/>
          </w:divBdr>
        </w:div>
      </w:divsChild>
    </w:div>
    <w:div w:id="1327636816">
      <w:bodyDiv w:val="1"/>
      <w:marLeft w:val="0"/>
      <w:marRight w:val="0"/>
      <w:marTop w:val="0"/>
      <w:marBottom w:val="0"/>
      <w:divBdr>
        <w:top w:val="none" w:sz="0" w:space="0" w:color="auto"/>
        <w:left w:val="none" w:sz="0" w:space="0" w:color="auto"/>
        <w:bottom w:val="none" w:sz="0" w:space="0" w:color="auto"/>
        <w:right w:val="none" w:sz="0" w:space="0" w:color="auto"/>
      </w:divBdr>
      <w:divsChild>
        <w:div w:id="794517619">
          <w:marLeft w:val="0"/>
          <w:marRight w:val="0"/>
          <w:marTop w:val="0"/>
          <w:marBottom w:val="0"/>
          <w:divBdr>
            <w:top w:val="none" w:sz="0" w:space="0" w:color="auto"/>
            <w:left w:val="none" w:sz="0" w:space="0" w:color="auto"/>
            <w:bottom w:val="none" w:sz="0" w:space="0" w:color="auto"/>
            <w:right w:val="none" w:sz="0" w:space="0" w:color="auto"/>
          </w:divBdr>
          <w:divsChild>
            <w:div w:id="710308596">
              <w:marLeft w:val="0"/>
              <w:marRight w:val="0"/>
              <w:marTop w:val="0"/>
              <w:marBottom w:val="0"/>
              <w:divBdr>
                <w:top w:val="none" w:sz="0" w:space="0" w:color="auto"/>
                <w:left w:val="none" w:sz="0" w:space="0" w:color="auto"/>
                <w:bottom w:val="none" w:sz="0" w:space="0" w:color="auto"/>
                <w:right w:val="none" w:sz="0" w:space="0" w:color="auto"/>
              </w:divBdr>
              <w:divsChild>
                <w:div w:id="198615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595414">
      <w:bodyDiv w:val="1"/>
      <w:marLeft w:val="0"/>
      <w:marRight w:val="0"/>
      <w:marTop w:val="0"/>
      <w:marBottom w:val="0"/>
      <w:divBdr>
        <w:top w:val="none" w:sz="0" w:space="0" w:color="auto"/>
        <w:left w:val="none" w:sz="0" w:space="0" w:color="auto"/>
        <w:bottom w:val="none" w:sz="0" w:space="0" w:color="auto"/>
        <w:right w:val="none" w:sz="0" w:space="0" w:color="auto"/>
      </w:divBdr>
      <w:divsChild>
        <w:div w:id="1667054208">
          <w:marLeft w:val="0"/>
          <w:marRight w:val="0"/>
          <w:marTop w:val="0"/>
          <w:marBottom w:val="0"/>
          <w:divBdr>
            <w:top w:val="none" w:sz="0" w:space="0" w:color="auto"/>
            <w:left w:val="none" w:sz="0" w:space="0" w:color="auto"/>
            <w:bottom w:val="none" w:sz="0" w:space="0" w:color="auto"/>
            <w:right w:val="none" w:sz="0" w:space="0" w:color="auto"/>
          </w:divBdr>
          <w:divsChild>
            <w:div w:id="1922399857">
              <w:marLeft w:val="0"/>
              <w:marRight w:val="0"/>
              <w:marTop w:val="0"/>
              <w:marBottom w:val="0"/>
              <w:divBdr>
                <w:top w:val="none" w:sz="0" w:space="0" w:color="auto"/>
                <w:left w:val="none" w:sz="0" w:space="0" w:color="auto"/>
                <w:bottom w:val="none" w:sz="0" w:space="0" w:color="auto"/>
                <w:right w:val="none" w:sz="0" w:space="0" w:color="auto"/>
              </w:divBdr>
              <w:divsChild>
                <w:div w:id="190837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237827">
      <w:bodyDiv w:val="1"/>
      <w:marLeft w:val="0"/>
      <w:marRight w:val="0"/>
      <w:marTop w:val="0"/>
      <w:marBottom w:val="0"/>
      <w:divBdr>
        <w:top w:val="none" w:sz="0" w:space="0" w:color="auto"/>
        <w:left w:val="none" w:sz="0" w:space="0" w:color="auto"/>
        <w:bottom w:val="none" w:sz="0" w:space="0" w:color="auto"/>
        <w:right w:val="none" w:sz="0" w:space="0" w:color="auto"/>
      </w:divBdr>
      <w:divsChild>
        <w:div w:id="2118407556">
          <w:marLeft w:val="0"/>
          <w:marRight w:val="0"/>
          <w:marTop w:val="0"/>
          <w:marBottom w:val="0"/>
          <w:divBdr>
            <w:top w:val="none" w:sz="0" w:space="0" w:color="auto"/>
            <w:left w:val="none" w:sz="0" w:space="0" w:color="auto"/>
            <w:bottom w:val="none" w:sz="0" w:space="0" w:color="auto"/>
            <w:right w:val="none" w:sz="0" w:space="0" w:color="auto"/>
          </w:divBdr>
          <w:divsChild>
            <w:div w:id="1917397852">
              <w:marLeft w:val="0"/>
              <w:marRight w:val="0"/>
              <w:marTop w:val="0"/>
              <w:marBottom w:val="0"/>
              <w:divBdr>
                <w:top w:val="none" w:sz="0" w:space="0" w:color="auto"/>
                <w:left w:val="none" w:sz="0" w:space="0" w:color="auto"/>
                <w:bottom w:val="none" w:sz="0" w:space="0" w:color="auto"/>
                <w:right w:val="none" w:sz="0" w:space="0" w:color="auto"/>
              </w:divBdr>
              <w:divsChild>
                <w:div w:id="386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424983">
      <w:bodyDiv w:val="1"/>
      <w:marLeft w:val="0"/>
      <w:marRight w:val="0"/>
      <w:marTop w:val="0"/>
      <w:marBottom w:val="0"/>
      <w:divBdr>
        <w:top w:val="none" w:sz="0" w:space="0" w:color="auto"/>
        <w:left w:val="none" w:sz="0" w:space="0" w:color="auto"/>
        <w:bottom w:val="none" w:sz="0" w:space="0" w:color="auto"/>
        <w:right w:val="none" w:sz="0" w:space="0" w:color="auto"/>
      </w:divBdr>
      <w:divsChild>
        <w:div w:id="1042293678">
          <w:marLeft w:val="0"/>
          <w:marRight w:val="0"/>
          <w:marTop w:val="0"/>
          <w:marBottom w:val="0"/>
          <w:divBdr>
            <w:top w:val="none" w:sz="0" w:space="0" w:color="auto"/>
            <w:left w:val="none" w:sz="0" w:space="0" w:color="auto"/>
            <w:bottom w:val="none" w:sz="0" w:space="0" w:color="auto"/>
            <w:right w:val="none" w:sz="0" w:space="0" w:color="auto"/>
          </w:divBdr>
          <w:divsChild>
            <w:div w:id="473374113">
              <w:marLeft w:val="0"/>
              <w:marRight w:val="0"/>
              <w:marTop w:val="0"/>
              <w:marBottom w:val="0"/>
              <w:divBdr>
                <w:top w:val="none" w:sz="0" w:space="0" w:color="auto"/>
                <w:left w:val="none" w:sz="0" w:space="0" w:color="auto"/>
                <w:bottom w:val="none" w:sz="0" w:space="0" w:color="auto"/>
                <w:right w:val="none" w:sz="0" w:space="0" w:color="auto"/>
              </w:divBdr>
              <w:divsChild>
                <w:div w:id="181784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130567">
      <w:bodyDiv w:val="1"/>
      <w:marLeft w:val="0"/>
      <w:marRight w:val="0"/>
      <w:marTop w:val="0"/>
      <w:marBottom w:val="0"/>
      <w:divBdr>
        <w:top w:val="none" w:sz="0" w:space="0" w:color="auto"/>
        <w:left w:val="none" w:sz="0" w:space="0" w:color="auto"/>
        <w:bottom w:val="none" w:sz="0" w:space="0" w:color="auto"/>
        <w:right w:val="none" w:sz="0" w:space="0" w:color="auto"/>
      </w:divBdr>
      <w:divsChild>
        <w:div w:id="1088841671">
          <w:marLeft w:val="0"/>
          <w:marRight w:val="0"/>
          <w:marTop w:val="0"/>
          <w:marBottom w:val="0"/>
          <w:divBdr>
            <w:top w:val="none" w:sz="0" w:space="0" w:color="auto"/>
            <w:left w:val="none" w:sz="0" w:space="0" w:color="auto"/>
            <w:bottom w:val="none" w:sz="0" w:space="0" w:color="auto"/>
            <w:right w:val="none" w:sz="0" w:space="0" w:color="auto"/>
          </w:divBdr>
          <w:divsChild>
            <w:div w:id="1307660622">
              <w:marLeft w:val="0"/>
              <w:marRight w:val="0"/>
              <w:marTop w:val="0"/>
              <w:marBottom w:val="0"/>
              <w:divBdr>
                <w:top w:val="none" w:sz="0" w:space="0" w:color="auto"/>
                <w:left w:val="none" w:sz="0" w:space="0" w:color="auto"/>
                <w:bottom w:val="none" w:sz="0" w:space="0" w:color="auto"/>
                <w:right w:val="none" w:sz="0" w:space="0" w:color="auto"/>
              </w:divBdr>
              <w:divsChild>
                <w:div w:id="76299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07834">
      <w:bodyDiv w:val="1"/>
      <w:marLeft w:val="0"/>
      <w:marRight w:val="0"/>
      <w:marTop w:val="0"/>
      <w:marBottom w:val="0"/>
      <w:divBdr>
        <w:top w:val="none" w:sz="0" w:space="0" w:color="auto"/>
        <w:left w:val="none" w:sz="0" w:space="0" w:color="auto"/>
        <w:bottom w:val="none" w:sz="0" w:space="0" w:color="auto"/>
        <w:right w:val="none" w:sz="0" w:space="0" w:color="auto"/>
      </w:divBdr>
      <w:divsChild>
        <w:div w:id="1935353787">
          <w:marLeft w:val="0"/>
          <w:marRight w:val="0"/>
          <w:marTop w:val="0"/>
          <w:marBottom w:val="0"/>
          <w:divBdr>
            <w:top w:val="none" w:sz="0" w:space="0" w:color="auto"/>
            <w:left w:val="none" w:sz="0" w:space="0" w:color="auto"/>
            <w:bottom w:val="none" w:sz="0" w:space="0" w:color="auto"/>
            <w:right w:val="none" w:sz="0" w:space="0" w:color="auto"/>
          </w:divBdr>
          <w:divsChild>
            <w:div w:id="1991322837">
              <w:marLeft w:val="0"/>
              <w:marRight w:val="0"/>
              <w:marTop w:val="0"/>
              <w:marBottom w:val="0"/>
              <w:divBdr>
                <w:top w:val="none" w:sz="0" w:space="0" w:color="auto"/>
                <w:left w:val="none" w:sz="0" w:space="0" w:color="auto"/>
                <w:bottom w:val="none" w:sz="0" w:space="0" w:color="auto"/>
                <w:right w:val="none" w:sz="0" w:space="0" w:color="auto"/>
              </w:divBdr>
              <w:divsChild>
                <w:div w:id="16673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612531">
      <w:bodyDiv w:val="1"/>
      <w:marLeft w:val="0"/>
      <w:marRight w:val="0"/>
      <w:marTop w:val="0"/>
      <w:marBottom w:val="0"/>
      <w:divBdr>
        <w:top w:val="none" w:sz="0" w:space="0" w:color="auto"/>
        <w:left w:val="none" w:sz="0" w:space="0" w:color="auto"/>
        <w:bottom w:val="none" w:sz="0" w:space="0" w:color="auto"/>
        <w:right w:val="none" w:sz="0" w:space="0" w:color="auto"/>
      </w:divBdr>
      <w:divsChild>
        <w:div w:id="1014459575">
          <w:marLeft w:val="0"/>
          <w:marRight w:val="0"/>
          <w:marTop w:val="0"/>
          <w:marBottom w:val="0"/>
          <w:divBdr>
            <w:top w:val="none" w:sz="0" w:space="0" w:color="auto"/>
            <w:left w:val="none" w:sz="0" w:space="0" w:color="auto"/>
            <w:bottom w:val="none" w:sz="0" w:space="0" w:color="auto"/>
            <w:right w:val="none" w:sz="0" w:space="0" w:color="auto"/>
          </w:divBdr>
          <w:divsChild>
            <w:div w:id="1601722813">
              <w:marLeft w:val="0"/>
              <w:marRight w:val="0"/>
              <w:marTop w:val="0"/>
              <w:marBottom w:val="0"/>
              <w:divBdr>
                <w:top w:val="none" w:sz="0" w:space="0" w:color="auto"/>
                <w:left w:val="none" w:sz="0" w:space="0" w:color="auto"/>
                <w:bottom w:val="none" w:sz="0" w:space="0" w:color="auto"/>
                <w:right w:val="none" w:sz="0" w:space="0" w:color="auto"/>
              </w:divBdr>
              <w:divsChild>
                <w:div w:id="144467831">
                  <w:marLeft w:val="0"/>
                  <w:marRight w:val="0"/>
                  <w:marTop w:val="0"/>
                  <w:marBottom w:val="0"/>
                  <w:divBdr>
                    <w:top w:val="none" w:sz="0" w:space="0" w:color="auto"/>
                    <w:left w:val="none" w:sz="0" w:space="0" w:color="auto"/>
                    <w:bottom w:val="none" w:sz="0" w:space="0" w:color="auto"/>
                    <w:right w:val="none" w:sz="0" w:space="0" w:color="auto"/>
                  </w:divBdr>
                  <w:divsChild>
                    <w:div w:id="105219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250910">
      <w:bodyDiv w:val="1"/>
      <w:marLeft w:val="0"/>
      <w:marRight w:val="0"/>
      <w:marTop w:val="0"/>
      <w:marBottom w:val="0"/>
      <w:divBdr>
        <w:top w:val="none" w:sz="0" w:space="0" w:color="auto"/>
        <w:left w:val="none" w:sz="0" w:space="0" w:color="auto"/>
        <w:bottom w:val="none" w:sz="0" w:space="0" w:color="auto"/>
        <w:right w:val="none" w:sz="0" w:space="0" w:color="auto"/>
      </w:divBdr>
      <w:divsChild>
        <w:div w:id="97995833">
          <w:marLeft w:val="0"/>
          <w:marRight w:val="0"/>
          <w:marTop w:val="0"/>
          <w:marBottom w:val="0"/>
          <w:divBdr>
            <w:top w:val="none" w:sz="0" w:space="0" w:color="auto"/>
            <w:left w:val="none" w:sz="0" w:space="0" w:color="auto"/>
            <w:bottom w:val="none" w:sz="0" w:space="0" w:color="auto"/>
            <w:right w:val="none" w:sz="0" w:space="0" w:color="auto"/>
          </w:divBdr>
          <w:divsChild>
            <w:div w:id="1815289394">
              <w:marLeft w:val="0"/>
              <w:marRight w:val="0"/>
              <w:marTop w:val="0"/>
              <w:marBottom w:val="0"/>
              <w:divBdr>
                <w:top w:val="none" w:sz="0" w:space="0" w:color="auto"/>
                <w:left w:val="none" w:sz="0" w:space="0" w:color="auto"/>
                <w:bottom w:val="none" w:sz="0" w:space="0" w:color="auto"/>
                <w:right w:val="none" w:sz="0" w:space="0" w:color="auto"/>
              </w:divBdr>
              <w:divsChild>
                <w:div w:id="22737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121421">
      <w:bodyDiv w:val="1"/>
      <w:marLeft w:val="0"/>
      <w:marRight w:val="0"/>
      <w:marTop w:val="0"/>
      <w:marBottom w:val="0"/>
      <w:divBdr>
        <w:top w:val="none" w:sz="0" w:space="0" w:color="auto"/>
        <w:left w:val="none" w:sz="0" w:space="0" w:color="auto"/>
        <w:bottom w:val="none" w:sz="0" w:space="0" w:color="auto"/>
        <w:right w:val="none" w:sz="0" w:space="0" w:color="auto"/>
      </w:divBdr>
      <w:divsChild>
        <w:div w:id="1333994737">
          <w:marLeft w:val="0"/>
          <w:marRight w:val="0"/>
          <w:marTop w:val="0"/>
          <w:marBottom w:val="0"/>
          <w:divBdr>
            <w:top w:val="none" w:sz="0" w:space="0" w:color="auto"/>
            <w:left w:val="none" w:sz="0" w:space="0" w:color="auto"/>
            <w:bottom w:val="none" w:sz="0" w:space="0" w:color="auto"/>
            <w:right w:val="none" w:sz="0" w:space="0" w:color="auto"/>
          </w:divBdr>
          <w:divsChild>
            <w:div w:id="1390373224">
              <w:marLeft w:val="0"/>
              <w:marRight w:val="0"/>
              <w:marTop w:val="0"/>
              <w:marBottom w:val="0"/>
              <w:divBdr>
                <w:top w:val="none" w:sz="0" w:space="0" w:color="auto"/>
                <w:left w:val="none" w:sz="0" w:space="0" w:color="auto"/>
                <w:bottom w:val="none" w:sz="0" w:space="0" w:color="auto"/>
                <w:right w:val="none" w:sz="0" w:space="0" w:color="auto"/>
              </w:divBdr>
              <w:divsChild>
                <w:div w:id="151121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203067">
      <w:bodyDiv w:val="1"/>
      <w:marLeft w:val="0"/>
      <w:marRight w:val="0"/>
      <w:marTop w:val="0"/>
      <w:marBottom w:val="0"/>
      <w:divBdr>
        <w:top w:val="none" w:sz="0" w:space="0" w:color="auto"/>
        <w:left w:val="none" w:sz="0" w:space="0" w:color="auto"/>
        <w:bottom w:val="none" w:sz="0" w:space="0" w:color="auto"/>
        <w:right w:val="none" w:sz="0" w:space="0" w:color="auto"/>
      </w:divBdr>
    </w:div>
    <w:div w:id="1471628955">
      <w:bodyDiv w:val="1"/>
      <w:marLeft w:val="0"/>
      <w:marRight w:val="0"/>
      <w:marTop w:val="0"/>
      <w:marBottom w:val="0"/>
      <w:divBdr>
        <w:top w:val="none" w:sz="0" w:space="0" w:color="auto"/>
        <w:left w:val="none" w:sz="0" w:space="0" w:color="auto"/>
        <w:bottom w:val="none" w:sz="0" w:space="0" w:color="auto"/>
        <w:right w:val="none" w:sz="0" w:space="0" w:color="auto"/>
      </w:divBdr>
      <w:divsChild>
        <w:div w:id="1844314865">
          <w:marLeft w:val="0"/>
          <w:marRight w:val="0"/>
          <w:marTop w:val="0"/>
          <w:marBottom w:val="0"/>
          <w:divBdr>
            <w:top w:val="none" w:sz="0" w:space="0" w:color="auto"/>
            <w:left w:val="none" w:sz="0" w:space="0" w:color="auto"/>
            <w:bottom w:val="none" w:sz="0" w:space="0" w:color="auto"/>
            <w:right w:val="none" w:sz="0" w:space="0" w:color="auto"/>
          </w:divBdr>
          <w:divsChild>
            <w:div w:id="1665009654">
              <w:marLeft w:val="0"/>
              <w:marRight w:val="0"/>
              <w:marTop w:val="0"/>
              <w:marBottom w:val="0"/>
              <w:divBdr>
                <w:top w:val="none" w:sz="0" w:space="0" w:color="auto"/>
                <w:left w:val="none" w:sz="0" w:space="0" w:color="auto"/>
                <w:bottom w:val="none" w:sz="0" w:space="0" w:color="auto"/>
                <w:right w:val="none" w:sz="0" w:space="0" w:color="auto"/>
              </w:divBdr>
              <w:divsChild>
                <w:div w:id="110372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512145">
      <w:bodyDiv w:val="1"/>
      <w:marLeft w:val="0"/>
      <w:marRight w:val="0"/>
      <w:marTop w:val="0"/>
      <w:marBottom w:val="0"/>
      <w:divBdr>
        <w:top w:val="none" w:sz="0" w:space="0" w:color="auto"/>
        <w:left w:val="none" w:sz="0" w:space="0" w:color="auto"/>
        <w:bottom w:val="none" w:sz="0" w:space="0" w:color="auto"/>
        <w:right w:val="none" w:sz="0" w:space="0" w:color="auto"/>
      </w:divBdr>
      <w:divsChild>
        <w:div w:id="1079517108">
          <w:marLeft w:val="0"/>
          <w:marRight w:val="0"/>
          <w:marTop w:val="0"/>
          <w:marBottom w:val="0"/>
          <w:divBdr>
            <w:top w:val="none" w:sz="0" w:space="0" w:color="auto"/>
            <w:left w:val="none" w:sz="0" w:space="0" w:color="auto"/>
            <w:bottom w:val="none" w:sz="0" w:space="0" w:color="auto"/>
            <w:right w:val="none" w:sz="0" w:space="0" w:color="auto"/>
          </w:divBdr>
          <w:divsChild>
            <w:div w:id="235746486">
              <w:marLeft w:val="0"/>
              <w:marRight w:val="0"/>
              <w:marTop w:val="0"/>
              <w:marBottom w:val="0"/>
              <w:divBdr>
                <w:top w:val="none" w:sz="0" w:space="0" w:color="auto"/>
                <w:left w:val="none" w:sz="0" w:space="0" w:color="auto"/>
                <w:bottom w:val="none" w:sz="0" w:space="0" w:color="auto"/>
                <w:right w:val="none" w:sz="0" w:space="0" w:color="auto"/>
              </w:divBdr>
              <w:divsChild>
                <w:div w:id="176083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514546">
      <w:bodyDiv w:val="1"/>
      <w:marLeft w:val="0"/>
      <w:marRight w:val="0"/>
      <w:marTop w:val="0"/>
      <w:marBottom w:val="0"/>
      <w:divBdr>
        <w:top w:val="none" w:sz="0" w:space="0" w:color="auto"/>
        <w:left w:val="none" w:sz="0" w:space="0" w:color="auto"/>
        <w:bottom w:val="none" w:sz="0" w:space="0" w:color="auto"/>
        <w:right w:val="none" w:sz="0" w:space="0" w:color="auto"/>
      </w:divBdr>
      <w:divsChild>
        <w:div w:id="1792087507">
          <w:marLeft w:val="0"/>
          <w:marRight w:val="0"/>
          <w:marTop w:val="0"/>
          <w:marBottom w:val="0"/>
          <w:divBdr>
            <w:top w:val="none" w:sz="0" w:space="0" w:color="auto"/>
            <w:left w:val="none" w:sz="0" w:space="0" w:color="auto"/>
            <w:bottom w:val="none" w:sz="0" w:space="0" w:color="auto"/>
            <w:right w:val="none" w:sz="0" w:space="0" w:color="auto"/>
          </w:divBdr>
          <w:divsChild>
            <w:div w:id="1266226794">
              <w:marLeft w:val="0"/>
              <w:marRight w:val="0"/>
              <w:marTop w:val="0"/>
              <w:marBottom w:val="0"/>
              <w:divBdr>
                <w:top w:val="none" w:sz="0" w:space="0" w:color="auto"/>
                <w:left w:val="none" w:sz="0" w:space="0" w:color="auto"/>
                <w:bottom w:val="none" w:sz="0" w:space="0" w:color="auto"/>
                <w:right w:val="none" w:sz="0" w:space="0" w:color="auto"/>
              </w:divBdr>
              <w:divsChild>
                <w:div w:id="160191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538877">
      <w:bodyDiv w:val="1"/>
      <w:marLeft w:val="0"/>
      <w:marRight w:val="0"/>
      <w:marTop w:val="0"/>
      <w:marBottom w:val="0"/>
      <w:divBdr>
        <w:top w:val="none" w:sz="0" w:space="0" w:color="auto"/>
        <w:left w:val="none" w:sz="0" w:space="0" w:color="auto"/>
        <w:bottom w:val="none" w:sz="0" w:space="0" w:color="auto"/>
        <w:right w:val="none" w:sz="0" w:space="0" w:color="auto"/>
      </w:divBdr>
      <w:divsChild>
        <w:div w:id="326833843">
          <w:marLeft w:val="0"/>
          <w:marRight w:val="0"/>
          <w:marTop w:val="0"/>
          <w:marBottom w:val="0"/>
          <w:divBdr>
            <w:top w:val="none" w:sz="0" w:space="0" w:color="auto"/>
            <w:left w:val="none" w:sz="0" w:space="0" w:color="auto"/>
            <w:bottom w:val="none" w:sz="0" w:space="0" w:color="auto"/>
            <w:right w:val="none" w:sz="0" w:space="0" w:color="auto"/>
          </w:divBdr>
          <w:divsChild>
            <w:div w:id="1980181097">
              <w:marLeft w:val="0"/>
              <w:marRight w:val="0"/>
              <w:marTop w:val="0"/>
              <w:marBottom w:val="0"/>
              <w:divBdr>
                <w:top w:val="none" w:sz="0" w:space="0" w:color="auto"/>
                <w:left w:val="none" w:sz="0" w:space="0" w:color="auto"/>
                <w:bottom w:val="none" w:sz="0" w:space="0" w:color="auto"/>
                <w:right w:val="none" w:sz="0" w:space="0" w:color="auto"/>
              </w:divBdr>
              <w:divsChild>
                <w:div w:id="12589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648786">
      <w:bodyDiv w:val="1"/>
      <w:marLeft w:val="0"/>
      <w:marRight w:val="0"/>
      <w:marTop w:val="0"/>
      <w:marBottom w:val="0"/>
      <w:divBdr>
        <w:top w:val="none" w:sz="0" w:space="0" w:color="auto"/>
        <w:left w:val="none" w:sz="0" w:space="0" w:color="auto"/>
        <w:bottom w:val="none" w:sz="0" w:space="0" w:color="auto"/>
        <w:right w:val="none" w:sz="0" w:space="0" w:color="auto"/>
      </w:divBdr>
      <w:divsChild>
        <w:div w:id="64844867">
          <w:marLeft w:val="0"/>
          <w:marRight w:val="0"/>
          <w:marTop w:val="0"/>
          <w:marBottom w:val="0"/>
          <w:divBdr>
            <w:top w:val="none" w:sz="0" w:space="0" w:color="auto"/>
            <w:left w:val="none" w:sz="0" w:space="0" w:color="auto"/>
            <w:bottom w:val="none" w:sz="0" w:space="0" w:color="auto"/>
            <w:right w:val="none" w:sz="0" w:space="0" w:color="auto"/>
          </w:divBdr>
          <w:divsChild>
            <w:div w:id="2098944303">
              <w:marLeft w:val="0"/>
              <w:marRight w:val="0"/>
              <w:marTop w:val="0"/>
              <w:marBottom w:val="0"/>
              <w:divBdr>
                <w:top w:val="none" w:sz="0" w:space="0" w:color="auto"/>
                <w:left w:val="none" w:sz="0" w:space="0" w:color="auto"/>
                <w:bottom w:val="none" w:sz="0" w:space="0" w:color="auto"/>
                <w:right w:val="none" w:sz="0" w:space="0" w:color="auto"/>
              </w:divBdr>
              <w:divsChild>
                <w:div w:id="5670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498722">
      <w:bodyDiv w:val="1"/>
      <w:marLeft w:val="0"/>
      <w:marRight w:val="0"/>
      <w:marTop w:val="0"/>
      <w:marBottom w:val="0"/>
      <w:divBdr>
        <w:top w:val="none" w:sz="0" w:space="0" w:color="auto"/>
        <w:left w:val="none" w:sz="0" w:space="0" w:color="auto"/>
        <w:bottom w:val="none" w:sz="0" w:space="0" w:color="auto"/>
        <w:right w:val="none" w:sz="0" w:space="0" w:color="auto"/>
      </w:divBdr>
      <w:divsChild>
        <w:div w:id="1272543927">
          <w:marLeft w:val="0"/>
          <w:marRight w:val="0"/>
          <w:marTop w:val="0"/>
          <w:marBottom w:val="0"/>
          <w:divBdr>
            <w:top w:val="none" w:sz="0" w:space="0" w:color="auto"/>
            <w:left w:val="none" w:sz="0" w:space="0" w:color="auto"/>
            <w:bottom w:val="none" w:sz="0" w:space="0" w:color="auto"/>
            <w:right w:val="none" w:sz="0" w:space="0" w:color="auto"/>
          </w:divBdr>
          <w:divsChild>
            <w:div w:id="170294890">
              <w:marLeft w:val="0"/>
              <w:marRight w:val="0"/>
              <w:marTop w:val="0"/>
              <w:marBottom w:val="0"/>
              <w:divBdr>
                <w:top w:val="none" w:sz="0" w:space="0" w:color="auto"/>
                <w:left w:val="none" w:sz="0" w:space="0" w:color="auto"/>
                <w:bottom w:val="none" w:sz="0" w:space="0" w:color="auto"/>
                <w:right w:val="none" w:sz="0" w:space="0" w:color="auto"/>
              </w:divBdr>
              <w:divsChild>
                <w:div w:id="1800343220">
                  <w:marLeft w:val="0"/>
                  <w:marRight w:val="0"/>
                  <w:marTop w:val="0"/>
                  <w:marBottom w:val="0"/>
                  <w:divBdr>
                    <w:top w:val="none" w:sz="0" w:space="0" w:color="auto"/>
                    <w:left w:val="none" w:sz="0" w:space="0" w:color="auto"/>
                    <w:bottom w:val="none" w:sz="0" w:space="0" w:color="auto"/>
                    <w:right w:val="none" w:sz="0" w:space="0" w:color="auto"/>
                  </w:divBdr>
                  <w:divsChild>
                    <w:div w:id="68224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012520">
      <w:bodyDiv w:val="1"/>
      <w:marLeft w:val="0"/>
      <w:marRight w:val="0"/>
      <w:marTop w:val="0"/>
      <w:marBottom w:val="0"/>
      <w:divBdr>
        <w:top w:val="none" w:sz="0" w:space="0" w:color="auto"/>
        <w:left w:val="none" w:sz="0" w:space="0" w:color="auto"/>
        <w:bottom w:val="none" w:sz="0" w:space="0" w:color="auto"/>
        <w:right w:val="none" w:sz="0" w:space="0" w:color="auto"/>
      </w:divBdr>
      <w:divsChild>
        <w:div w:id="42802414">
          <w:marLeft w:val="0"/>
          <w:marRight w:val="0"/>
          <w:marTop w:val="0"/>
          <w:marBottom w:val="0"/>
          <w:divBdr>
            <w:top w:val="none" w:sz="0" w:space="0" w:color="auto"/>
            <w:left w:val="none" w:sz="0" w:space="0" w:color="auto"/>
            <w:bottom w:val="none" w:sz="0" w:space="0" w:color="auto"/>
            <w:right w:val="none" w:sz="0" w:space="0" w:color="auto"/>
          </w:divBdr>
          <w:divsChild>
            <w:div w:id="173689341">
              <w:marLeft w:val="0"/>
              <w:marRight w:val="0"/>
              <w:marTop w:val="0"/>
              <w:marBottom w:val="0"/>
              <w:divBdr>
                <w:top w:val="none" w:sz="0" w:space="0" w:color="auto"/>
                <w:left w:val="none" w:sz="0" w:space="0" w:color="auto"/>
                <w:bottom w:val="none" w:sz="0" w:space="0" w:color="auto"/>
                <w:right w:val="none" w:sz="0" w:space="0" w:color="auto"/>
              </w:divBdr>
              <w:divsChild>
                <w:div w:id="164817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76405">
      <w:bodyDiv w:val="1"/>
      <w:marLeft w:val="0"/>
      <w:marRight w:val="0"/>
      <w:marTop w:val="0"/>
      <w:marBottom w:val="0"/>
      <w:divBdr>
        <w:top w:val="none" w:sz="0" w:space="0" w:color="auto"/>
        <w:left w:val="none" w:sz="0" w:space="0" w:color="auto"/>
        <w:bottom w:val="none" w:sz="0" w:space="0" w:color="auto"/>
        <w:right w:val="none" w:sz="0" w:space="0" w:color="auto"/>
      </w:divBdr>
      <w:divsChild>
        <w:div w:id="1697193862">
          <w:marLeft w:val="0"/>
          <w:marRight w:val="0"/>
          <w:marTop w:val="0"/>
          <w:marBottom w:val="0"/>
          <w:divBdr>
            <w:top w:val="none" w:sz="0" w:space="0" w:color="auto"/>
            <w:left w:val="none" w:sz="0" w:space="0" w:color="auto"/>
            <w:bottom w:val="none" w:sz="0" w:space="0" w:color="auto"/>
            <w:right w:val="none" w:sz="0" w:space="0" w:color="auto"/>
          </w:divBdr>
          <w:divsChild>
            <w:div w:id="1238247643">
              <w:marLeft w:val="0"/>
              <w:marRight w:val="0"/>
              <w:marTop w:val="0"/>
              <w:marBottom w:val="0"/>
              <w:divBdr>
                <w:top w:val="none" w:sz="0" w:space="0" w:color="auto"/>
                <w:left w:val="none" w:sz="0" w:space="0" w:color="auto"/>
                <w:bottom w:val="none" w:sz="0" w:space="0" w:color="auto"/>
                <w:right w:val="none" w:sz="0" w:space="0" w:color="auto"/>
              </w:divBdr>
              <w:divsChild>
                <w:div w:id="35811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595446">
      <w:bodyDiv w:val="1"/>
      <w:marLeft w:val="0"/>
      <w:marRight w:val="0"/>
      <w:marTop w:val="0"/>
      <w:marBottom w:val="0"/>
      <w:divBdr>
        <w:top w:val="none" w:sz="0" w:space="0" w:color="auto"/>
        <w:left w:val="none" w:sz="0" w:space="0" w:color="auto"/>
        <w:bottom w:val="none" w:sz="0" w:space="0" w:color="auto"/>
        <w:right w:val="none" w:sz="0" w:space="0" w:color="auto"/>
      </w:divBdr>
      <w:divsChild>
        <w:div w:id="1581985044">
          <w:marLeft w:val="0"/>
          <w:marRight w:val="0"/>
          <w:marTop w:val="0"/>
          <w:marBottom w:val="0"/>
          <w:divBdr>
            <w:top w:val="none" w:sz="0" w:space="0" w:color="auto"/>
            <w:left w:val="none" w:sz="0" w:space="0" w:color="auto"/>
            <w:bottom w:val="none" w:sz="0" w:space="0" w:color="auto"/>
            <w:right w:val="none" w:sz="0" w:space="0" w:color="auto"/>
          </w:divBdr>
          <w:divsChild>
            <w:div w:id="1759405843">
              <w:marLeft w:val="0"/>
              <w:marRight w:val="0"/>
              <w:marTop w:val="0"/>
              <w:marBottom w:val="0"/>
              <w:divBdr>
                <w:top w:val="none" w:sz="0" w:space="0" w:color="auto"/>
                <w:left w:val="none" w:sz="0" w:space="0" w:color="auto"/>
                <w:bottom w:val="none" w:sz="0" w:space="0" w:color="auto"/>
                <w:right w:val="none" w:sz="0" w:space="0" w:color="auto"/>
              </w:divBdr>
              <w:divsChild>
                <w:div w:id="1923685501">
                  <w:marLeft w:val="0"/>
                  <w:marRight w:val="0"/>
                  <w:marTop w:val="0"/>
                  <w:marBottom w:val="0"/>
                  <w:divBdr>
                    <w:top w:val="none" w:sz="0" w:space="0" w:color="auto"/>
                    <w:left w:val="none" w:sz="0" w:space="0" w:color="auto"/>
                    <w:bottom w:val="none" w:sz="0" w:space="0" w:color="auto"/>
                    <w:right w:val="none" w:sz="0" w:space="0" w:color="auto"/>
                  </w:divBdr>
                  <w:divsChild>
                    <w:div w:id="157778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818269">
      <w:bodyDiv w:val="1"/>
      <w:marLeft w:val="0"/>
      <w:marRight w:val="0"/>
      <w:marTop w:val="0"/>
      <w:marBottom w:val="0"/>
      <w:divBdr>
        <w:top w:val="none" w:sz="0" w:space="0" w:color="auto"/>
        <w:left w:val="none" w:sz="0" w:space="0" w:color="auto"/>
        <w:bottom w:val="none" w:sz="0" w:space="0" w:color="auto"/>
        <w:right w:val="none" w:sz="0" w:space="0" w:color="auto"/>
      </w:divBdr>
      <w:divsChild>
        <w:div w:id="231474072">
          <w:marLeft w:val="0"/>
          <w:marRight w:val="0"/>
          <w:marTop w:val="0"/>
          <w:marBottom w:val="0"/>
          <w:divBdr>
            <w:top w:val="none" w:sz="0" w:space="0" w:color="auto"/>
            <w:left w:val="none" w:sz="0" w:space="0" w:color="auto"/>
            <w:bottom w:val="none" w:sz="0" w:space="0" w:color="auto"/>
            <w:right w:val="none" w:sz="0" w:space="0" w:color="auto"/>
          </w:divBdr>
          <w:divsChild>
            <w:div w:id="69038809">
              <w:marLeft w:val="0"/>
              <w:marRight w:val="0"/>
              <w:marTop w:val="0"/>
              <w:marBottom w:val="0"/>
              <w:divBdr>
                <w:top w:val="none" w:sz="0" w:space="0" w:color="auto"/>
                <w:left w:val="none" w:sz="0" w:space="0" w:color="auto"/>
                <w:bottom w:val="none" w:sz="0" w:space="0" w:color="auto"/>
                <w:right w:val="none" w:sz="0" w:space="0" w:color="auto"/>
              </w:divBdr>
              <w:divsChild>
                <w:div w:id="9687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043185">
      <w:bodyDiv w:val="1"/>
      <w:marLeft w:val="0"/>
      <w:marRight w:val="0"/>
      <w:marTop w:val="0"/>
      <w:marBottom w:val="0"/>
      <w:divBdr>
        <w:top w:val="none" w:sz="0" w:space="0" w:color="auto"/>
        <w:left w:val="none" w:sz="0" w:space="0" w:color="auto"/>
        <w:bottom w:val="none" w:sz="0" w:space="0" w:color="auto"/>
        <w:right w:val="none" w:sz="0" w:space="0" w:color="auto"/>
      </w:divBdr>
      <w:divsChild>
        <w:div w:id="1079447859">
          <w:marLeft w:val="0"/>
          <w:marRight w:val="0"/>
          <w:marTop w:val="0"/>
          <w:marBottom w:val="0"/>
          <w:divBdr>
            <w:top w:val="none" w:sz="0" w:space="0" w:color="auto"/>
            <w:left w:val="none" w:sz="0" w:space="0" w:color="auto"/>
            <w:bottom w:val="none" w:sz="0" w:space="0" w:color="auto"/>
            <w:right w:val="none" w:sz="0" w:space="0" w:color="auto"/>
          </w:divBdr>
          <w:divsChild>
            <w:div w:id="502820006">
              <w:marLeft w:val="0"/>
              <w:marRight w:val="0"/>
              <w:marTop w:val="0"/>
              <w:marBottom w:val="0"/>
              <w:divBdr>
                <w:top w:val="none" w:sz="0" w:space="0" w:color="auto"/>
                <w:left w:val="none" w:sz="0" w:space="0" w:color="auto"/>
                <w:bottom w:val="none" w:sz="0" w:space="0" w:color="auto"/>
                <w:right w:val="none" w:sz="0" w:space="0" w:color="auto"/>
              </w:divBdr>
              <w:divsChild>
                <w:div w:id="9676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157979">
      <w:bodyDiv w:val="1"/>
      <w:marLeft w:val="0"/>
      <w:marRight w:val="0"/>
      <w:marTop w:val="0"/>
      <w:marBottom w:val="0"/>
      <w:divBdr>
        <w:top w:val="none" w:sz="0" w:space="0" w:color="auto"/>
        <w:left w:val="none" w:sz="0" w:space="0" w:color="auto"/>
        <w:bottom w:val="none" w:sz="0" w:space="0" w:color="auto"/>
        <w:right w:val="none" w:sz="0" w:space="0" w:color="auto"/>
      </w:divBdr>
      <w:divsChild>
        <w:div w:id="2039692356">
          <w:marLeft w:val="0"/>
          <w:marRight w:val="0"/>
          <w:marTop w:val="0"/>
          <w:marBottom w:val="0"/>
          <w:divBdr>
            <w:top w:val="none" w:sz="0" w:space="0" w:color="auto"/>
            <w:left w:val="none" w:sz="0" w:space="0" w:color="auto"/>
            <w:bottom w:val="none" w:sz="0" w:space="0" w:color="auto"/>
            <w:right w:val="none" w:sz="0" w:space="0" w:color="auto"/>
          </w:divBdr>
          <w:divsChild>
            <w:div w:id="1339502054">
              <w:marLeft w:val="0"/>
              <w:marRight w:val="0"/>
              <w:marTop w:val="0"/>
              <w:marBottom w:val="0"/>
              <w:divBdr>
                <w:top w:val="none" w:sz="0" w:space="0" w:color="auto"/>
                <w:left w:val="none" w:sz="0" w:space="0" w:color="auto"/>
                <w:bottom w:val="none" w:sz="0" w:space="0" w:color="auto"/>
                <w:right w:val="none" w:sz="0" w:space="0" w:color="auto"/>
              </w:divBdr>
              <w:divsChild>
                <w:div w:id="483425110">
                  <w:marLeft w:val="0"/>
                  <w:marRight w:val="0"/>
                  <w:marTop w:val="0"/>
                  <w:marBottom w:val="0"/>
                  <w:divBdr>
                    <w:top w:val="none" w:sz="0" w:space="0" w:color="auto"/>
                    <w:left w:val="none" w:sz="0" w:space="0" w:color="auto"/>
                    <w:bottom w:val="none" w:sz="0" w:space="0" w:color="auto"/>
                    <w:right w:val="none" w:sz="0" w:space="0" w:color="auto"/>
                  </w:divBdr>
                </w:div>
              </w:divsChild>
            </w:div>
            <w:div w:id="2065328929">
              <w:marLeft w:val="0"/>
              <w:marRight w:val="0"/>
              <w:marTop w:val="0"/>
              <w:marBottom w:val="0"/>
              <w:divBdr>
                <w:top w:val="none" w:sz="0" w:space="0" w:color="auto"/>
                <w:left w:val="none" w:sz="0" w:space="0" w:color="auto"/>
                <w:bottom w:val="none" w:sz="0" w:space="0" w:color="auto"/>
                <w:right w:val="none" w:sz="0" w:space="0" w:color="auto"/>
              </w:divBdr>
              <w:divsChild>
                <w:div w:id="140151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918898">
          <w:marLeft w:val="0"/>
          <w:marRight w:val="0"/>
          <w:marTop w:val="0"/>
          <w:marBottom w:val="0"/>
          <w:divBdr>
            <w:top w:val="none" w:sz="0" w:space="0" w:color="auto"/>
            <w:left w:val="none" w:sz="0" w:space="0" w:color="auto"/>
            <w:bottom w:val="none" w:sz="0" w:space="0" w:color="auto"/>
            <w:right w:val="none" w:sz="0" w:space="0" w:color="auto"/>
          </w:divBdr>
          <w:divsChild>
            <w:div w:id="175996173">
              <w:marLeft w:val="0"/>
              <w:marRight w:val="0"/>
              <w:marTop w:val="0"/>
              <w:marBottom w:val="0"/>
              <w:divBdr>
                <w:top w:val="none" w:sz="0" w:space="0" w:color="auto"/>
                <w:left w:val="none" w:sz="0" w:space="0" w:color="auto"/>
                <w:bottom w:val="none" w:sz="0" w:space="0" w:color="auto"/>
                <w:right w:val="none" w:sz="0" w:space="0" w:color="auto"/>
              </w:divBdr>
              <w:divsChild>
                <w:div w:id="323289298">
                  <w:marLeft w:val="0"/>
                  <w:marRight w:val="0"/>
                  <w:marTop w:val="0"/>
                  <w:marBottom w:val="0"/>
                  <w:divBdr>
                    <w:top w:val="none" w:sz="0" w:space="0" w:color="auto"/>
                    <w:left w:val="none" w:sz="0" w:space="0" w:color="auto"/>
                    <w:bottom w:val="none" w:sz="0" w:space="0" w:color="auto"/>
                    <w:right w:val="none" w:sz="0" w:space="0" w:color="auto"/>
                  </w:divBdr>
                </w:div>
              </w:divsChild>
            </w:div>
            <w:div w:id="1139223766">
              <w:marLeft w:val="0"/>
              <w:marRight w:val="0"/>
              <w:marTop w:val="0"/>
              <w:marBottom w:val="0"/>
              <w:divBdr>
                <w:top w:val="none" w:sz="0" w:space="0" w:color="auto"/>
                <w:left w:val="none" w:sz="0" w:space="0" w:color="auto"/>
                <w:bottom w:val="none" w:sz="0" w:space="0" w:color="auto"/>
                <w:right w:val="none" w:sz="0" w:space="0" w:color="auto"/>
              </w:divBdr>
              <w:divsChild>
                <w:div w:id="33541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4566">
      <w:bodyDiv w:val="1"/>
      <w:marLeft w:val="0"/>
      <w:marRight w:val="0"/>
      <w:marTop w:val="0"/>
      <w:marBottom w:val="0"/>
      <w:divBdr>
        <w:top w:val="none" w:sz="0" w:space="0" w:color="auto"/>
        <w:left w:val="none" w:sz="0" w:space="0" w:color="auto"/>
        <w:bottom w:val="none" w:sz="0" w:space="0" w:color="auto"/>
        <w:right w:val="none" w:sz="0" w:space="0" w:color="auto"/>
      </w:divBdr>
      <w:divsChild>
        <w:div w:id="678699673">
          <w:marLeft w:val="0"/>
          <w:marRight w:val="0"/>
          <w:marTop w:val="0"/>
          <w:marBottom w:val="0"/>
          <w:divBdr>
            <w:top w:val="none" w:sz="0" w:space="0" w:color="auto"/>
            <w:left w:val="none" w:sz="0" w:space="0" w:color="auto"/>
            <w:bottom w:val="none" w:sz="0" w:space="0" w:color="auto"/>
            <w:right w:val="none" w:sz="0" w:space="0" w:color="auto"/>
          </w:divBdr>
          <w:divsChild>
            <w:div w:id="12071560">
              <w:marLeft w:val="0"/>
              <w:marRight w:val="0"/>
              <w:marTop w:val="0"/>
              <w:marBottom w:val="0"/>
              <w:divBdr>
                <w:top w:val="none" w:sz="0" w:space="0" w:color="auto"/>
                <w:left w:val="none" w:sz="0" w:space="0" w:color="auto"/>
                <w:bottom w:val="none" w:sz="0" w:space="0" w:color="auto"/>
                <w:right w:val="none" w:sz="0" w:space="0" w:color="auto"/>
              </w:divBdr>
              <w:divsChild>
                <w:div w:id="151160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892853">
      <w:bodyDiv w:val="1"/>
      <w:marLeft w:val="0"/>
      <w:marRight w:val="0"/>
      <w:marTop w:val="0"/>
      <w:marBottom w:val="0"/>
      <w:divBdr>
        <w:top w:val="none" w:sz="0" w:space="0" w:color="auto"/>
        <w:left w:val="none" w:sz="0" w:space="0" w:color="auto"/>
        <w:bottom w:val="none" w:sz="0" w:space="0" w:color="auto"/>
        <w:right w:val="none" w:sz="0" w:space="0" w:color="auto"/>
      </w:divBdr>
      <w:divsChild>
        <w:div w:id="713163462">
          <w:marLeft w:val="0"/>
          <w:marRight w:val="0"/>
          <w:marTop w:val="0"/>
          <w:marBottom w:val="0"/>
          <w:divBdr>
            <w:top w:val="none" w:sz="0" w:space="0" w:color="auto"/>
            <w:left w:val="none" w:sz="0" w:space="0" w:color="auto"/>
            <w:bottom w:val="none" w:sz="0" w:space="0" w:color="auto"/>
            <w:right w:val="none" w:sz="0" w:space="0" w:color="auto"/>
          </w:divBdr>
          <w:divsChild>
            <w:div w:id="1379934965">
              <w:marLeft w:val="0"/>
              <w:marRight w:val="0"/>
              <w:marTop w:val="0"/>
              <w:marBottom w:val="0"/>
              <w:divBdr>
                <w:top w:val="none" w:sz="0" w:space="0" w:color="auto"/>
                <w:left w:val="none" w:sz="0" w:space="0" w:color="auto"/>
                <w:bottom w:val="none" w:sz="0" w:space="0" w:color="auto"/>
                <w:right w:val="none" w:sz="0" w:space="0" w:color="auto"/>
              </w:divBdr>
              <w:divsChild>
                <w:div w:id="119847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07501">
      <w:bodyDiv w:val="1"/>
      <w:marLeft w:val="0"/>
      <w:marRight w:val="0"/>
      <w:marTop w:val="0"/>
      <w:marBottom w:val="0"/>
      <w:divBdr>
        <w:top w:val="none" w:sz="0" w:space="0" w:color="auto"/>
        <w:left w:val="none" w:sz="0" w:space="0" w:color="auto"/>
        <w:bottom w:val="none" w:sz="0" w:space="0" w:color="auto"/>
        <w:right w:val="none" w:sz="0" w:space="0" w:color="auto"/>
      </w:divBdr>
      <w:divsChild>
        <w:div w:id="395013494">
          <w:marLeft w:val="0"/>
          <w:marRight w:val="0"/>
          <w:marTop w:val="0"/>
          <w:marBottom w:val="0"/>
          <w:divBdr>
            <w:top w:val="none" w:sz="0" w:space="0" w:color="auto"/>
            <w:left w:val="none" w:sz="0" w:space="0" w:color="auto"/>
            <w:bottom w:val="none" w:sz="0" w:space="0" w:color="auto"/>
            <w:right w:val="none" w:sz="0" w:space="0" w:color="auto"/>
          </w:divBdr>
          <w:divsChild>
            <w:div w:id="1092819080">
              <w:marLeft w:val="0"/>
              <w:marRight w:val="0"/>
              <w:marTop w:val="0"/>
              <w:marBottom w:val="0"/>
              <w:divBdr>
                <w:top w:val="none" w:sz="0" w:space="0" w:color="auto"/>
                <w:left w:val="none" w:sz="0" w:space="0" w:color="auto"/>
                <w:bottom w:val="none" w:sz="0" w:space="0" w:color="auto"/>
                <w:right w:val="none" w:sz="0" w:space="0" w:color="auto"/>
              </w:divBdr>
              <w:divsChild>
                <w:div w:id="1378973780">
                  <w:marLeft w:val="0"/>
                  <w:marRight w:val="0"/>
                  <w:marTop w:val="0"/>
                  <w:marBottom w:val="0"/>
                  <w:divBdr>
                    <w:top w:val="none" w:sz="0" w:space="0" w:color="auto"/>
                    <w:left w:val="none" w:sz="0" w:space="0" w:color="auto"/>
                    <w:bottom w:val="none" w:sz="0" w:space="0" w:color="auto"/>
                    <w:right w:val="none" w:sz="0" w:space="0" w:color="auto"/>
                  </w:divBdr>
                </w:div>
                <w:div w:id="177459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915737">
      <w:bodyDiv w:val="1"/>
      <w:marLeft w:val="0"/>
      <w:marRight w:val="0"/>
      <w:marTop w:val="0"/>
      <w:marBottom w:val="0"/>
      <w:divBdr>
        <w:top w:val="none" w:sz="0" w:space="0" w:color="auto"/>
        <w:left w:val="none" w:sz="0" w:space="0" w:color="auto"/>
        <w:bottom w:val="none" w:sz="0" w:space="0" w:color="auto"/>
        <w:right w:val="none" w:sz="0" w:space="0" w:color="auto"/>
      </w:divBdr>
      <w:divsChild>
        <w:div w:id="1441946933">
          <w:marLeft w:val="0"/>
          <w:marRight w:val="0"/>
          <w:marTop w:val="0"/>
          <w:marBottom w:val="0"/>
          <w:divBdr>
            <w:top w:val="none" w:sz="0" w:space="0" w:color="auto"/>
            <w:left w:val="none" w:sz="0" w:space="0" w:color="auto"/>
            <w:bottom w:val="none" w:sz="0" w:space="0" w:color="auto"/>
            <w:right w:val="none" w:sz="0" w:space="0" w:color="auto"/>
          </w:divBdr>
          <w:divsChild>
            <w:div w:id="1641879446">
              <w:marLeft w:val="0"/>
              <w:marRight w:val="0"/>
              <w:marTop w:val="0"/>
              <w:marBottom w:val="0"/>
              <w:divBdr>
                <w:top w:val="none" w:sz="0" w:space="0" w:color="auto"/>
                <w:left w:val="none" w:sz="0" w:space="0" w:color="auto"/>
                <w:bottom w:val="none" w:sz="0" w:space="0" w:color="auto"/>
                <w:right w:val="none" w:sz="0" w:space="0" w:color="auto"/>
              </w:divBdr>
              <w:divsChild>
                <w:div w:id="210791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38924">
      <w:bodyDiv w:val="1"/>
      <w:marLeft w:val="0"/>
      <w:marRight w:val="0"/>
      <w:marTop w:val="0"/>
      <w:marBottom w:val="0"/>
      <w:divBdr>
        <w:top w:val="none" w:sz="0" w:space="0" w:color="auto"/>
        <w:left w:val="none" w:sz="0" w:space="0" w:color="auto"/>
        <w:bottom w:val="none" w:sz="0" w:space="0" w:color="auto"/>
        <w:right w:val="none" w:sz="0" w:space="0" w:color="auto"/>
      </w:divBdr>
      <w:divsChild>
        <w:div w:id="373314859">
          <w:marLeft w:val="0"/>
          <w:marRight w:val="0"/>
          <w:marTop w:val="0"/>
          <w:marBottom w:val="0"/>
          <w:divBdr>
            <w:top w:val="none" w:sz="0" w:space="0" w:color="auto"/>
            <w:left w:val="none" w:sz="0" w:space="0" w:color="auto"/>
            <w:bottom w:val="none" w:sz="0" w:space="0" w:color="auto"/>
            <w:right w:val="none" w:sz="0" w:space="0" w:color="auto"/>
          </w:divBdr>
          <w:divsChild>
            <w:div w:id="214703690">
              <w:marLeft w:val="0"/>
              <w:marRight w:val="0"/>
              <w:marTop w:val="0"/>
              <w:marBottom w:val="0"/>
              <w:divBdr>
                <w:top w:val="none" w:sz="0" w:space="0" w:color="auto"/>
                <w:left w:val="none" w:sz="0" w:space="0" w:color="auto"/>
                <w:bottom w:val="none" w:sz="0" w:space="0" w:color="auto"/>
                <w:right w:val="none" w:sz="0" w:space="0" w:color="auto"/>
              </w:divBdr>
              <w:divsChild>
                <w:div w:id="25028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960527">
      <w:bodyDiv w:val="1"/>
      <w:marLeft w:val="0"/>
      <w:marRight w:val="0"/>
      <w:marTop w:val="0"/>
      <w:marBottom w:val="0"/>
      <w:divBdr>
        <w:top w:val="none" w:sz="0" w:space="0" w:color="auto"/>
        <w:left w:val="none" w:sz="0" w:space="0" w:color="auto"/>
        <w:bottom w:val="none" w:sz="0" w:space="0" w:color="auto"/>
        <w:right w:val="none" w:sz="0" w:space="0" w:color="auto"/>
      </w:divBdr>
      <w:divsChild>
        <w:div w:id="981040319">
          <w:marLeft w:val="0"/>
          <w:marRight w:val="0"/>
          <w:marTop w:val="0"/>
          <w:marBottom w:val="0"/>
          <w:divBdr>
            <w:top w:val="none" w:sz="0" w:space="0" w:color="auto"/>
            <w:left w:val="none" w:sz="0" w:space="0" w:color="auto"/>
            <w:bottom w:val="none" w:sz="0" w:space="0" w:color="auto"/>
            <w:right w:val="none" w:sz="0" w:space="0" w:color="auto"/>
          </w:divBdr>
          <w:divsChild>
            <w:div w:id="1737898223">
              <w:marLeft w:val="0"/>
              <w:marRight w:val="0"/>
              <w:marTop w:val="0"/>
              <w:marBottom w:val="0"/>
              <w:divBdr>
                <w:top w:val="none" w:sz="0" w:space="0" w:color="auto"/>
                <w:left w:val="none" w:sz="0" w:space="0" w:color="auto"/>
                <w:bottom w:val="none" w:sz="0" w:space="0" w:color="auto"/>
                <w:right w:val="none" w:sz="0" w:space="0" w:color="auto"/>
              </w:divBdr>
              <w:divsChild>
                <w:div w:id="193987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339294">
      <w:bodyDiv w:val="1"/>
      <w:marLeft w:val="0"/>
      <w:marRight w:val="0"/>
      <w:marTop w:val="0"/>
      <w:marBottom w:val="0"/>
      <w:divBdr>
        <w:top w:val="none" w:sz="0" w:space="0" w:color="auto"/>
        <w:left w:val="none" w:sz="0" w:space="0" w:color="auto"/>
        <w:bottom w:val="none" w:sz="0" w:space="0" w:color="auto"/>
        <w:right w:val="none" w:sz="0" w:space="0" w:color="auto"/>
      </w:divBdr>
      <w:divsChild>
        <w:div w:id="78720089">
          <w:marLeft w:val="0"/>
          <w:marRight w:val="0"/>
          <w:marTop w:val="0"/>
          <w:marBottom w:val="0"/>
          <w:divBdr>
            <w:top w:val="none" w:sz="0" w:space="0" w:color="auto"/>
            <w:left w:val="none" w:sz="0" w:space="0" w:color="auto"/>
            <w:bottom w:val="none" w:sz="0" w:space="0" w:color="auto"/>
            <w:right w:val="none" w:sz="0" w:space="0" w:color="auto"/>
          </w:divBdr>
          <w:divsChild>
            <w:div w:id="584270242">
              <w:marLeft w:val="0"/>
              <w:marRight w:val="0"/>
              <w:marTop w:val="0"/>
              <w:marBottom w:val="0"/>
              <w:divBdr>
                <w:top w:val="none" w:sz="0" w:space="0" w:color="auto"/>
                <w:left w:val="none" w:sz="0" w:space="0" w:color="auto"/>
                <w:bottom w:val="none" w:sz="0" w:space="0" w:color="auto"/>
                <w:right w:val="none" w:sz="0" w:space="0" w:color="auto"/>
              </w:divBdr>
              <w:divsChild>
                <w:div w:id="727731239">
                  <w:marLeft w:val="0"/>
                  <w:marRight w:val="0"/>
                  <w:marTop w:val="0"/>
                  <w:marBottom w:val="0"/>
                  <w:divBdr>
                    <w:top w:val="none" w:sz="0" w:space="0" w:color="auto"/>
                    <w:left w:val="none" w:sz="0" w:space="0" w:color="auto"/>
                    <w:bottom w:val="none" w:sz="0" w:space="0" w:color="auto"/>
                    <w:right w:val="none" w:sz="0" w:space="0" w:color="auto"/>
                  </w:divBdr>
                  <w:divsChild>
                    <w:div w:id="88102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896652">
      <w:bodyDiv w:val="1"/>
      <w:marLeft w:val="0"/>
      <w:marRight w:val="0"/>
      <w:marTop w:val="0"/>
      <w:marBottom w:val="0"/>
      <w:divBdr>
        <w:top w:val="none" w:sz="0" w:space="0" w:color="auto"/>
        <w:left w:val="none" w:sz="0" w:space="0" w:color="auto"/>
        <w:bottom w:val="none" w:sz="0" w:space="0" w:color="auto"/>
        <w:right w:val="none" w:sz="0" w:space="0" w:color="auto"/>
      </w:divBdr>
      <w:divsChild>
        <w:div w:id="74863915">
          <w:marLeft w:val="0"/>
          <w:marRight w:val="0"/>
          <w:marTop w:val="0"/>
          <w:marBottom w:val="0"/>
          <w:divBdr>
            <w:top w:val="none" w:sz="0" w:space="0" w:color="auto"/>
            <w:left w:val="none" w:sz="0" w:space="0" w:color="auto"/>
            <w:bottom w:val="none" w:sz="0" w:space="0" w:color="auto"/>
            <w:right w:val="none" w:sz="0" w:space="0" w:color="auto"/>
          </w:divBdr>
          <w:divsChild>
            <w:div w:id="1190752831">
              <w:marLeft w:val="0"/>
              <w:marRight w:val="0"/>
              <w:marTop w:val="0"/>
              <w:marBottom w:val="0"/>
              <w:divBdr>
                <w:top w:val="none" w:sz="0" w:space="0" w:color="auto"/>
                <w:left w:val="none" w:sz="0" w:space="0" w:color="auto"/>
                <w:bottom w:val="none" w:sz="0" w:space="0" w:color="auto"/>
                <w:right w:val="none" w:sz="0" w:space="0" w:color="auto"/>
              </w:divBdr>
              <w:divsChild>
                <w:div w:id="42299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7764">
      <w:bodyDiv w:val="1"/>
      <w:marLeft w:val="0"/>
      <w:marRight w:val="0"/>
      <w:marTop w:val="0"/>
      <w:marBottom w:val="0"/>
      <w:divBdr>
        <w:top w:val="none" w:sz="0" w:space="0" w:color="auto"/>
        <w:left w:val="none" w:sz="0" w:space="0" w:color="auto"/>
        <w:bottom w:val="none" w:sz="0" w:space="0" w:color="auto"/>
        <w:right w:val="none" w:sz="0" w:space="0" w:color="auto"/>
      </w:divBdr>
      <w:divsChild>
        <w:div w:id="2137991904">
          <w:marLeft w:val="0"/>
          <w:marRight w:val="0"/>
          <w:marTop w:val="0"/>
          <w:marBottom w:val="0"/>
          <w:divBdr>
            <w:top w:val="none" w:sz="0" w:space="0" w:color="auto"/>
            <w:left w:val="none" w:sz="0" w:space="0" w:color="auto"/>
            <w:bottom w:val="none" w:sz="0" w:space="0" w:color="auto"/>
            <w:right w:val="none" w:sz="0" w:space="0" w:color="auto"/>
          </w:divBdr>
          <w:divsChild>
            <w:div w:id="959610445">
              <w:marLeft w:val="0"/>
              <w:marRight w:val="0"/>
              <w:marTop w:val="0"/>
              <w:marBottom w:val="0"/>
              <w:divBdr>
                <w:top w:val="none" w:sz="0" w:space="0" w:color="auto"/>
                <w:left w:val="none" w:sz="0" w:space="0" w:color="auto"/>
                <w:bottom w:val="none" w:sz="0" w:space="0" w:color="auto"/>
                <w:right w:val="none" w:sz="0" w:space="0" w:color="auto"/>
              </w:divBdr>
              <w:divsChild>
                <w:div w:id="156297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1">
      <w:bodyDiv w:val="1"/>
      <w:marLeft w:val="0"/>
      <w:marRight w:val="0"/>
      <w:marTop w:val="0"/>
      <w:marBottom w:val="0"/>
      <w:divBdr>
        <w:top w:val="none" w:sz="0" w:space="0" w:color="auto"/>
        <w:left w:val="none" w:sz="0" w:space="0" w:color="auto"/>
        <w:bottom w:val="none" w:sz="0" w:space="0" w:color="auto"/>
        <w:right w:val="none" w:sz="0" w:space="0" w:color="auto"/>
      </w:divBdr>
      <w:divsChild>
        <w:div w:id="1343436059">
          <w:marLeft w:val="0"/>
          <w:marRight w:val="0"/>
          <w:marTop w:val="0"/>
          <w:marBottom w:val="0"/>
          <w:divBdr>
            <w:top w:val="none" w:sz="0" w:space="0" w:color="auto"/>
            <w:left w:val="none" w:sz="0" w:space="0" w:color="auto"/>
            <w:bottom w:val="none" w:sz="0" w:space="0" w:color="auto"/>
            <w:right w:val="none" w:sz="0" w:space="0" w:color="auto"/>
          </w:divBdr>
          <w:divsChild>
            <w:div w:id="2015839692">
              <w:marLeft w:val="0"/>
              <w:marRight w:val="0"/>
              <w:marTop w:val="0"/>
              <w:marBottom w:val="0"/>
              <w:divBdr>
                <w:top w:val="none" w:sz="0" w:space="0" w:color="auto"/>
                <w:left w:val="none" w:sz="0" w:space="0" w:color="auto"/>
                <w:bottom w:val="none" w:sz="0" w:space="0" w:color="auto"/>
                <w:right w:val="none" w:sz="0" w:space="0" w:color="auto"/>
              </w:divBdr>
              <w:divsChild>
                <w:div w:id="118825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160451">
      <w:bodyDiv w:val="1"/>
      <w:marLeft w:val="0"/>
      <w:marRight w:val="0"/>
      <w:marTop w:val="0"/>
      <w:marBottom w:val="0"/>
      <w:divBdr>
        <w:top w:val="none" w:sz="0" w:space="0" w:color="auto"/>
        <w:left w:val="none" w:sz="0" w:space="0" w:color="auto"/>
        <w:bottom w:val="none" w:sz="0" w:space="0" w:color="auto"/>
        <w:right w:val="none" w:sz="0" w:space="0" w:color="auto"/>
      </w:divBdr>
      <w:divsChild>
        <w:div w:id="6560939">
          <w:marLeft w:val="0"/>
          <w:marRight w:val="0"/>
          <w:marTop w:val="0"/>
          <w:marBottom w:val="0"/>
          <w:divBdr>
            <w:top w:val="none" w:sz="0" w:space="0" w:color="auto"/>
            <w:left w:val="none" w:sz="0" w:space="0" w:color="auto"/>
            <w:bottom w:val="none" w:sz="0" w:space="0" w:color="auto"/>
            <w:right w:val="none" w:sz="0" w:space="0" w:color="auto"/>
          </w:divBdr>
          <w:divsChild>
            <w:div w:id="1489436949">
              <w:marLeft w:val="0"/>
              <w:marRight w:val="0"/>
              <w:marTop w:val="0"/>
              <w:marBottom w:val="0"/>
              <w:divBdr>
                <w:top w:val="none" w:sz="0" w:space="0" w:color="auto"/>
                <w:left w:val="none" w:sz="0" w:space="0" w:color="auto"/>
                <w:bottom w:val="none" w:sz="0" w:space="0" w:color="auto"/>
                <w:right w:val="none" w:sz="0" w:space="0" w:color="auto"/>
              </w:divBdr>
              <w:divsChild>
                <w:div w:id="134794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225008">
      <w:bodyDiv w:val="1"/>
      <w:marLeft w:val="0"/>
      <w:marRight w:val="0"/>
      <w:marTop w:val="0"/>
      <w:marBottom w:val="0"/>
      <w:divBdr>
        <w:top w:val="none" w:sz="0" w:space="0" w:color="auto"/>
        <w:left w:val="none" w:sz="0" w:space="0" w:color="auto"/>
        <w:bottom w:val="none" w:sz="0" w:space="0" w:color="auto"/>
        <w:right w:val="none" w:sz="0" w:space="0" w:color="auto"/>
      </w:divBdr>
      <w:divsChild>
        <w:div w:id="1768192114">
          <w:marLeft w:val="0"/>
          <w:marRight w:val="0"/>
          <w:marTop w:val="0"/>
          <w:marBottom w:val="0"/>
          <w:divBdr>
            <w:top w:val="none" w:sz="0" w:space="0" w:color="auto"/>
            <w:left w:val="none" w:sz="0" w:space="0" w:color="auto"/>
            <w:bottom w:val="none" w:sz="0" w:space="0" w:color="auto"/>
            <w:right w:val="none" w:sz="0" w:space="0" w:color="auto"/>
          </w:divBdr>
          <w:divsChild>
            <w:div w:id="1684895525">
              <w:marLeft w:val="0"/>
              <w:marRight w:val="0"/>
              <w:marTop w:val="0"/>
              <w:marBottom w:val="0"/>
              <w:divBdr>
                <w:top w:val="none" w:sz="0" w:space="0" w:color="auto"/>
                <w:left w:val="none" w:sz="0" w:space="0" w:color="auto"/>
                <w:bottom w:val="none" w:sz="0" w:space="0" w:color="auto"/>
                <w:right w:val="none" w:sz="0" w:space="0" w:color="auto"/>
              </w:divBdr>
              <w:divsChild>
                <w:div w:id="94780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309491">
      <w:bodyDiv w:val="1"/>
      <w:marLeft w:val="0"/>
      <w:marRight w:val="0"/>
      <w:marTop w:val="0"/>
      <w:marBottom w:val="0"/>
      <w:divBdr>
        <w:top w:val="none" w:sz="0" w:space="0" w:color="auto"/>
        <w:left w:val="none" w:sz="0" w:space="0" w:color="auto"/>
        <w:bottom w:val="none" w:sz="0" w:space="0" w:color="auto"/>
        <w:right w:val="none" w:sz="0" w:space="0" w:color="auto"/>
      </w:divBdr>
      <w:divsChild>
        <w:div w:id="1819032269">
          <w:marLeft w:val="0"/>
          <w:marRight w:val="0"/>
          <w:marTop w:val="0"/>
          <w:marBottom w:val="0"/>
          <w:divBdr>
            <w:top w:val="none" w:sz="0" w:space="0" w:color="auto"/>
            <w:left w:val="none" w:sz="0" w:space="0" w:color="auto"/>
            <w:bottom w:val="none" w:sz="0" w:space="0" w:color="auto"/>
            <w:right w:val="none" w:sz="0" w:space="0" w:color="auto"/>
          </w:divBdr>
          <w:divsChild>
            <w:div w:id="1768648378">
              <w:marLeft w:val="0"/>
              <w:marRight w:val="0"/>
              <w:marTop w:val="0"/>
              <w:marBottom w:val="0"/>
              <w:divBdr>
                <w:top w:val="none" w:sz="0" w:space="0" w:color="auto"/>
                <w:left w:val="none" w:sz="0" w:space="0" w:color="auto"/>
                <w:bottom w:val="none" w:sz="0" w:space="0" w:color="auto"/>
                <w:right w:val="none" w:sz="0" w:space="0" w:color="auto"/>
              </w:divBdr>
              <w:divsChild>
                <w:div w:id="80184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677278">
      <w:bodyDiv w:val="1"/>
      <w:marLeft w:val="0"/>
      <w:marRight w:val="0"/>
      <w:marTop w:val="0"/>
      <w:marBottom w:val="0"/>
      <w:divBdr>
        <w:top w:val="none" w:sz="0" w:space="0" w:color="auto"/>
        <w:left w:val="none" w:sz="0" w:space="0" w:color="auto"/>
        <w:bottom w:val="none" w:sz="0" w:space="0" w:color="auto"/>
        <w:right w:val="none" w:sz="0" w:space="0" w:color="auto"/>
      </w:divBdr>
      <w:divsChild>
        <w:div w:id="1715349629">
          <w:marLeft w:val="0"/>
          <w:marRight w:val="0"/>
          <w:marTop w:val="0"/>
          <w:marBottom w:val="0"/>
          <w:divBdr>
            <w:top w:val="none" w:sz="0" w:space="0" w:color="auto"/>
            <w:left w:val="none" w:sz="0" w:space="0" w:color="auto"/>
            <w:bottom w:val="none" w:sz="0" w:space="0" w:color="auto"/>
            <w:right w:val="none" w:sz="0" w:space="0" w:color="auto"/>
          </w:divBdr>
          <w:divsChild>
            <w:div w:id="2015302213">
              <w:marLeft w:val="0"/>
              <w:marRight w:val="0"/>
              <w:marTop w:val="0"/>
              <w:marBottom w:val="0"/>
              <w:divBdr>
                <w:top w:val="none" w:sz="0" w:space="0" w:color="auto"/>
                <w:left w:val="none" w:sz="0" w:space="0" w:color="auto"/>
                <w:bottom w:val="none" w:sz="0" w:space="0" w:color="auto"/>
                <w:right w:val="none" w:sz="0" w:space="0" w:color="auto"/>
              </w:divBdr>
              <w:divsChild>
                <w:div w:id="167021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110103">
      <w:bodyDiv w:val="1"/>
      <w:marLeft w:val="0"/>
      <w:marRight w:val="0"/>
      <w:marTop w:val="0"/>
      <w:marBottom w:val="0"/>
      <w:divBdr>
        <w:top w:val="none" w:sz="0" w:space="0" w:color="auto"/>
        <w:left w:val="none" w:sz="0" w:space="0" w:color="auto"/>
        <w:bottom w:val="none" w:sz="0" w:space="0" w:color="auto"/>
        <w:right w:val="none" w:sz="0" w:space="0" w:color="auto"/>
      </w:divBdr>
      <w:divsChild>
        <w:div w:id="167064018">
          <w:marLeft w:val="0"/>
          <w:marRight w:val="0"/>
          <w:marTop w:val="0"/>
          <w:marBottom w:val="0"/>
          <w:divBdr>
            <w:top w:val="none" w:sz="0" w:space="0" w:color="auto"/>
            <w:left w:val="none" w:sz="0" w:space="0" w:color="auto"/>
            <w:bottom w:val="none" w:sz="0" w:space="0" w:color="auto"/>
            <w:right w:val="none" w:sz="0" w:space="0" w:color="auto"/>
          </w:divBdr>
          <w:divsChild>
            <w:div w:id="1225216276">
              <w:marLeft w:val="0"/>
              <w:marRight w:val="0"/>
              <w:marTop w:val="0"/>
              <w:marBottom w:val="0"/>
              <w:divBdr>
                <w:top w:val="none" w:sz="0" w:space="0" w:color="auto"/>
                <w:left w:val="none" w:sz="0" w:space="0" w:color="auto"/>
                <w:bottom w:val="none" w:sz="0" w:space="0" w:color="auto"/>
                <w:right w:val="none" w:sz="0" w:space="0" w:color="auto"/>
              </w:divBdr>
              <w:divsChild>
                <w:div w:id="115444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783086">
      <w:bodyDiv w:val="1"/>
      <w:marLeft w:val="0"/>
      <w:marRight w:val="0"/>
      <w:marTop w:val="0"/>
      <w:marBottom w:val="0"/>
      <w:divBdr>
        <w:top w:val="none" w:sz="0" w:space="0" w:color="auto"/>
        <w:left w:val="none" w:sz="0" w:space="0" w:color="auto"/>
        <w:bottom w:val="none" w:sz="0" w:space="0" w:color="auto"/>
        <w:right w:val="none" w:sz="0" w:space="0" w:color="auto"/>
      </w:divBdr>
      <w:divsChild>
        <w:div w:id="561722908">
          <w:marLeft w:val="0"/>
          <w:marRight w:val="0"/>
          <w:marTop w:val="0"/>
          <w:marBottom w:val="0"/>
          <w:divBdr>
            <w:top w:val="none" w:sz="0" w:space="0" w:color="auto"/>
            <w:left w:val="none" w:sz="0" w:space="0" w:color="auto"/>
            <w:bottom w:val="none" w:sz="0" w:space="0" w:color="auto"/>
            <w:right w:val="none" w:sz="0" w:space="0" w:color="auto"/>
          </w:divBdr>
          <w:divsChild>
            <w:div w:id="1442997619">
              <w:marLeft w:val="0"/>
              <w:marRight w:val="0"/>
              <w:marTop w:val="0"/>
              <w:marBottom w:val="0"/>
              <w:divBdr>
                <w:top w:val="none" w:sz="0" w:space="0" w:color="auto"/>
                <w:left w:val="none" w:sz="0" w:space="0" w:color="auto"/>
                <w:bottom w:val="none" w:sz="0" w:space="0" w:color="auto"/>
                <w:right w:val="none" w:sz="0" w:space="0" w:color="auto"/>
              </w:divBdr>
              <w:divsChild>
                <w:div w:id="140321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857958">
      <w:bodyDiv w:val="1"/>
      <w:marLeft w:val="0"/>
      <w:marRight w:val="0"/>
      <w:marTop w:val="0"/>
      <w:marBottom w:val="0"/>
      <w:divBdr>
        <w:top w:val="none" w:sz="0" w:space="0" w:color="auto"/>
        <w:left w:val="none" w:sz="0" w:space="0" w:color="auto"/>
        <w:bottom w:val="none" w:sz="0" w:space="0" w:color="auto"/>
        <w:right w:val="none" w:sz="0" w:space="0" w:color="auto"/>
      </w:divBdr>
      <w:divsChild>
        <w:div w:id="614874012">
          <w:marLeft w:val="0"/>
          <w:marRight w:val="0"/>
          <w:marTop w:val="0"/>
          <w:marBottom w:val="0"/>
          <w:divBdr>
            <w:top w:val="none" w:sz="0" w:space="0" w:color="auto"/>
            <w:left w:val="none" w:sz="0" w:space="0" w:color="auto"/>
            <w:bottom w:val="none" w:sz="0" w:space="0" w:color="auto"/>
            <w:right w:val="none" w:sz="0" w:space="0" w:color="auto"/>
          </w:divBdr>
          <w:divsChild>
            <w:div w:id="1406605148">
              <w:marLeft w:val="0"/>
              <w:marRight w:val="0"/>
              <w:marTop w:val="0"/>
              <w:marBottom w:val="0"/>
              <w:divBdr>
                <w:top w:val="none" w:sz="0" w:space="0" w:color="auto"/>
                <w:left w:val="none" w:sz="0" w:space="0" w:color="auto"/>
                <w:bottom w:val="none" w:sz="0" w:space="0" w:color="auto"/>
                <w:right w:val="none" w:sz="0" w:space="0" w:color="auto"/>
              </w:divBdr>
              <w:divsChild>
                <w:div w:id="120397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966740">
      <w:bodyDiv w:val="1"/>
      <w:marLeft w:val="0"/>
      <w:marRight w:val="0"/>
      <w:marTop w:val="0"/>
      <w:marBottom w:val="0"/>
      <w:divBdr>
        <w:top w:val="none" w:sz="0" w:space="0" w:color="auto"/>
        <w:left w:val="none" w:sz="0" w:space="0" w:color="auto"/>
        <w:bottom w:val="none" w:sz="0" w:space="0" w:color="auto"/>
        <w:right w:val="none" w:sz="0" w:space="0" w:color="auto"/>
      </w:divBdr>
      <w:divsChild>
        <w:div w:id="351810847">
          <w:marLeft w:val="0"/>
          <w:marRight w:val="0"/>
          <w:marTop w:val="0"/>
          <w:marBottom w:val="0"/>
          <w:divBdr>
            <w:top w:val="none" w:sz="0" w:space="0" w:color="auto"/>
            <w:left w:val="none" w:sz="0" w:space="0" w:color="auto"/>
            <w:bottom w:val="none" w:sz="0" w:space="0" w:color="auto"/>
            <w:right w:val="none" w:sz="0" w:space="0" w:color="auto"/>
          </w:divBdr>
          <w:divsChild>
            <w:div w:id="1073551489">
              <w:marLeft w:val="0"/>
              <w:marRight w:val="0"/>
              <w:marTop w:val="0"/>
              <w:marBottom w:val="0"/>
              <w:divBdr>
                <w:top w:val="none" w:sz="0" w:space="0" w:color="auto"/>
                <w:left w:val="none" w:sz="0" w:space="0" w:color="auto"/>
                <w:bottom w:val="none" w:sz="0" w:space="0" w:color="auto"/>
                <w:right w:val="none" w:sz="0" w:space="0" w:color="auto"/>
              </w:divBdr>
              <w:divsChild>
                <w:div w:id="145417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9019">
      <w:bodyDiv w:val="1"/>
      <w:marLeft w:val="0"/>
      <w:marRight w:val="0"/>
      <w:marTop w:val="0"/>
      <w:marBottom w:val="0"/>
      <w:divBdr>
        <w:top w:val="none" w:sz="0" w:space="0" w:color="auto"/>
        <w:left w:val="none" w:sz="0" w:space="0" w:color="auto"/>
        <w:bottom w:val="none" w:sz="0" w:space="0" w:color="auto"/>
        <w:right w:val="none" w:sz="0" w:space="0" w:color="auto"/>
      </w:divBdr>
      <w:divsChild>
        <w:div w:id="1942488988">
          <w:marLeft w:val="0"/>
          <w:marRight w:val="0"/>
          <w:marTop w:val="0"/>
          <w:marBottom w:val="0"/>
          <w:divBdr>
            <w:top w:val="none" w:sz="0" w:space="0" w:color="auto"/>
            <w:left w:val="none" w:sz="0" w:space="0" w:color="auto"/>
            <w:bottom w:val="none" w:sz="0" w:space="0" w:color="auto"/>
            <w:right w:val="none" w:sz="0" w:space="0" w:color="auto"/>
          </w:divBdr>
          <w:divsChild>
            <w:div w:id="1592350619">
              <w:marLeft w:val="0"/>
              <w:marRight w:val="0"/>
              <w:marTop w:val="0"/>
              <w:marBottom w:val="0"/>
              <w:divBdr>
                <w:top w:val="none" w:sz="0" w:space="0" w:color="auto"/>
                <w:left w:val="none" w:sz="0" w:space="0" w:color="auto"/>
                <w:bottom w:val="none" w:sz="0" w:space="0" w:color="auto"/>
                <w:right w:val="none" w:sz="0" w:space="0" w:color="auto"/>
              </w:divBdr>
              <w:divsChild>
                <w:div w:id="1871533741">
                  <w:marLeft w:val="0"/>
                  <w:marRight w:val="0"/>
                  <w:marTop w:val="0"/>
                  <w:marBottom w:val="0"/>
                  <w:divBdr>
                    <w:top w:val="none" w:sz="0" w:space="0" w:color="auto"/>
                    <w:left w:val="none" w:sz="0" w:space="0" w:color="auto"/>
                    <w:bottom w:val="none" w:sz="0" w:space="0" w:color="auto"/>
                    <w:right w:val="none" w:sz="0" w:space="0" w:color="auto"/>
                  </w:divBdr>
                  <w:divsChild>
                    <w:div w:id="99453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902947">
      <w:bodyDiv w:val="1"/>
      <w:marLeft w:val="0"/>
      <w:marRight w:val="0"/>
      <w:marTop w:val="0"/>
      <w:marBottom w:val="0"/>
      <w:divBdr>
        <w:top w:val="none" w:sz="0" w:space="0" w:color="auto"/>
        <w:left w:val="none" w:sz="0" w:space="0" w:color="auto"/>
        <w:bottom w:val="none" w:sz="0" w:space="0" w:color="auto"/>
        <w:right w:val="none" w:sz="0" w:space="0" w:color="auto"/>
      </w:divBdr>
      <w:divsChild>
        <w:div w:id="426922189">
          <w:marLeft w:val="0"/>
          <w:marRight w:val="0"/>
          <w:marTop w:val="0"/>
          <w:marBottom w:val="0"/>
          <w:divBdr>
            <w:top w:val="none" w:sz="0" w:space="0" w:color="auto"/>
            <w:left w:val="none" w:sz="0" w:space="0" w:color="auto"/>
            <w:bottom w:val="none" w:sz="0" w:space="0" w:color="auto"/>
            <w:right w:val="none" w:sz="0" w:space="0" w:color="auto"/>
          </w:divBdr>
          <w:divsChild>
            <w:div w:id="939799493">
              <w:marLeft w:val="0"/>
              <w:marRight w:val="0"/>
              <w:marTop w:val="0"/>
              <w:marBottom w:val="0"/>
              <w:divBdr>
                <w:top w:val="none" w:sz="0" w:space="0" w:color="auto"/>
                <w:left w:val="none" w:sz="0" w:space="0" w:color="auto"/>
                <w:bottom w:val="none" w:sz="0" w:space="0" w:color="auto"/>
                <w:right w:val="none" w:sz="0" w:space="0" w:color="auto"/>
              </w:divBdr>
              <w:divsChild>
                <w:div w:id="10554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210137">
      <w:bodyDiv w:val="1"/>
      <w:marLeft w:val="0"/>
      <w:marRight w:val="0"/>
      <w:marTop w:val="0"/>
      <w:marBottom w:val="0"/>
      <w:divBdr>
        <w:top w:val="none" w:sz="0" w:space="0" w:color="auto"/>
        <w:left w:val="none" w:sz="0" w:space="0" w:color="auto"/>
        <w:bottom w:val="none" w:sz="0" w:space="0" w:color="auto"/>
        <w:right w:val="none" w:sz="0" w:space="0" w:color="auto"/>
      </w:divBdr>
    </w:div>
    <w:div w:id="1956981975">
      <w:bodyDiv w:val="1"/>
      <w:marLeft w:val="0"/>
      <w:marRight w:val="0"/>
      <w:marTop w:val="0"/>
      <w:marBottom w:val="0"/>
      <w:divBdr>
        <w:top w:val="none" w:sz="0" w:space="0" w:color="auto"/>
        <w:left w:val="none" w:sz="0" w:space="0" w:color="auto"/>
        <w:bottom w:val="none" w:sz="0" w:space="0" w:color="auto"/>
        <w:right w:val="none" w:sz="0" w:space="0" w:color="auto"/>
      </w:divBdr>
      <w:divsChild>
        <w:div w:id="1890141082">
          <w:marLeft w:val="0"/>
          <w:marRight w:val="0"/>
          <w:marTop w:val="0"/>
          <w:marBottom w:val="0"/>
          <w:divBdr>
            <w:top w:val="none" w:sz="0" w:space="0" w:color="auto"/>
            <w:left w:val="none" w:sz="0" w:space="0" w:color="auto"/>
            <w:bottom w:val="none" w:sz="0" w:space="0" w:color="auto"/>
            <w:right w:val="none" w:sz="0" w:space="0" w:color="auto"/>
          </w:divBdr>
          <w:divsChild>
            <w:div w:id="1252197292">
              <w:marLeft w:val="0"/>
              <w:marRight w:val="0"/>
              <w:marTop w:val="0"/>
              <w:marBottom w:val="0"/>
              <w:divBdr>
                <w:top w:val="none" w:sz="0" w:space="0" w:color="auto"/>
                <w:left w:val="none" w:sz="0" w:space="0" w:color="auto"/>
                <w:bottom w:val="none" w:sz="0" w:space="0" w:color="auto"/>
                <w:right w:val="none" w:sz="0" w:space="0" w:color="auto"/>
              </w:divBdr>
              <w:divsChild>
                <w:div w:id="164465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174966">
      <w:bodyDiv w:val="1"/>
      <w:marLeft w:val="0"/>
      <w:marRight w:val="0"/>
      <w:marTop w:val="0"/>
      <w:marBottom w:val="0"/>
      <w:divBdr>
        <w:top w:val="none" w:sz="0" w:space="0" w:color="auto"/>
        <w:left w:val="none" w:sz="0" w:space="0" w:color="auto"/>
        <w:bottom w:val="none" w:sz="0" w:space="0" w:color="auto"/>
        <w:right w:val="none" w:sz="0" w:space="0" w:color="auto"/>
      </w:divBdr>
      <w:divsChild>
        <w:div w:id="1001086529">
          <w:marLeft w:val="0"/>
          <w:marRight w:val="0"/>
          <w:marTop w:val="0"/>
          <w:marBottom w:val="0"/>
          <w:divBdr>
            <w:top w:val="none" w:sz="0" w:space="0" w:color="auto"/>
            <w:left w:val="none" w:sz="0" w:space="0" w:color="auto"/>
            <w:bottom w:val="none" w:sz="0" w:space="0" w:color="auto"/>
            <w:right w:val="none" w:sz="0" w:space="0" w:color="auto"/>
          </w:divBdr>
          <w:divsChild>
            <w:div w:id="9338637">
              <w:marLeft w:val="0"/>
              <w:marRight w:val="0"/>
              <w:marTop w:val="0"/>
              <w:marBottom w:val="0"/>
              <w:divBdr>
                <w:top w:val="none" w:sz="0" w:space="0" w:color="auto"/>
                <w:left w:val="none" w:sz="0" w:space="0" w:color="auto"/>
                <w:bottom w:val="none" w:sz="0" w:space="0" w:color="auto"/>
                <w:right w:val="none" w:sz="0" w:space="0" w:color="auto"/>
              </w:divBdr>
              <w:divsChild>
                <w:div w:id="173928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656959">
      <w:bodyDiv w:val="1"/>
      <w:marLeft w:val="0"/>
      <w:marRight w:val="0"/>
      <w:marTop w:val="0"/>
      <w:marBottom w:val="0"/>
      <w:divBdr>
        <w:top w:val="none" w:sz="0" w:space="0" w:color="auto"/>
        <w:left w:val="none" w:sz="0" w:space="0" w:color="auto"/>
        <w:bottom w:val="none" w:sz="0" w:space="0" w:color="auto"/>
        <w:right w:val="none" w:sz="0" w:space="0" w:color="auto"/>
      </w:divBdr>
      <w:divsChild>
        <w:div w:id="1893343070">
          <w:marLeft w:val="0"/>
          <w:marRight w:val="0"/>
          <w:marTop w:val="0"/>
          <w:marBottom w:val="0"/>
          <w:divBdr>
            <w:top w:val="none" w:sz="0" w:space="0" w:color="auto"/>
            <w:left w:val="none" w:sz="0" w:space="0" w:color="auto"/>
            <w:bottom w:val="none" w:sz="0" w:space="0" w:color="auto"/>
            <w:right w:val="none" w:sz="0" w:space="0" w:color="auto"/>
          </w:divBdr>
          <w:divsChild>
            <w:div w:id="1990329661">
              <w:marLeft w:val="0"/>
              <w:marRight w:val="0"/>
              <w:marTop w:val="0"/>
              <w:marBottom w:val="0"/>
              <w:divBdr>
                <w:top w:val="none" w:sz="0" w:space="0" w:color="auto"/>
                <w:left w:val="none" w:sz="0" w:space="0" w:color="auto"/>
                <w:bottom w:val="none" w:sz="0" w:space="0" w:color="auto"/>
                <w:right w:val="none" w:sz="0" w:space="0" w:color="auto"/>
              </w:divBdr>
              <w:divsChild>
                <w:div w:id="50718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624315">
      <w:bodyDiv w:val="1"/>
      <w:marLeft w:val="0"/>
      <w:marRight w:val="0"/>
      <w:marTop w:val="0"/>
      <w:marBottom w:val="0"/>
      <w:divBdr>
        <w:top w:val="none" w:sz="0" w:space="0" w:color="auto"/>
        <w:left w:val="none" w:sz="0" w:space="0" w:color="auto"/>
        <w:bottom w:val="none" w:sz="0" w:space="0" w:color="auto"/>
        <w:right w:val="none" w:sz="0" w:space="0" w:color="auto"/>
      </w:divBdr>
      <w:divsChild>
        <w:div w:id="1946958882">
          <w:marLeft w:val="0"/>
          <w:marRight w:val="0"/>
          <w:marTop w:val="0"/>
          <w:marBottom w:val="0"/>
          <w:divBdr>
            <w:top w:val="none" w:sz="0" w:space="0" w:color="auto"/>
            <w:left w:val="none" w:sz="0" w:space="0" w:color="auto"/>
            <w:bottom w:val="none" w:sz="0" w:space="0" w:color="auto"/>
            <w:right w:val="none" w:sz="0" w:space="0" w:color="auto"/>
          </w:divBdr>
          <w:divsChild>
            <w:div w:id="1860241488">
              <w:marLeft w:val="0"/>
              <w:marRight w:val="0"/>
              <w:marTop w:val="0"/>
              <w:marBottom w:val="0"/>
              <w:divBdr>
                <w:top w:val="none" w:sz="0" w:space="0" w:color="auto"/>
                <w:left w:val="none" w:sz="0" w:space="0" w:color="auto"/>
                <w:bottom w:val="none" w:sz="0" w:space="0" w:color="auto"/>
                <w:right w:val="none" w:sz="0" w:space="0" w:color="auto"/>
              </w:divBdr>
              <w:divsChild>
                <w:div w:id="11823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688798">
      <w:bodyDiv w:val="1"/>
      <w:marLeft w:val="0"/>
      <w:marRight w:val="0"/>
      <w:marTop w:val="0"/>
      <w:marBottom w:val="0"/>
      <w:divBdr>
        <w:top w:val="none" w:sz="0" w:space="0" w:color="auto"/>
        <w:left w:val="none" w:sz="0" w:space="0" w:color="auto"/>
        <w:bottom w:val="none" w:sz="0" w:space="0" w:color="auto"/>
        <w:right w:val="none" w:sz="0" w:space="0" w:color="auto"/>
      </w:divBdr>
      <w:divsChild>
        <w:div w:id="1460953468">
          <w:marLeft w:val="0"/>
          <w:marRight w:val="0"/>
          <w:marTop w:val="0"/>
          <w:marBottom w:val="0"/>
          <w:divBdr>
            <w:top w:val="none" w:sz="0" w:space="0" w:color="auto"/>
            <w:left w:val="none" w:sz="0" w:space="0" w:color="auto"/>
            <w:bottom w:val="none" w:sz="0" w:space="0" w:color="auto"/>
            <w:right w:val="none" w:sz="0" w:space="0" w:color="auto"/>
          </w:divBdr>
          <w:divsChild>
            <w:div w:id="1762095718">
              <w:marLeft w:val="0"/>
              <w:marRight w:val="0"/>
              <w:marTop w:val="0"/>
              <w:marBottom w:val="0"/>
              <w:divBdr>
                <w:top w:val="none" w:sz="0" w:space="0" w:color="auto"/>
                <w:left w:val="none" w:sz="0" w:space="0" w:color="auto"/>
                <w:bottom w:val="none" w:sz="0" w:space="0" w:color="auto"/>
                <w:right w:val="none" w:sz="0" w:space="0" w:color="auto"/>
              </w:divBdr>
              <w:divsChild>
                <w:div w:id="183737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541240">
      <w:bodyDiv w:val="1"/>
      <w:marLeft w:val="0"/>
      <w:marRight w:val="0"/>
      <w:marTop w:val="0"/>
      <w:marBottom w:val="0"/>
      <w:divBdr>
        <w:top w:val="none" w:sz="0" w:space="0" w:color="auto"/>
        <w:left w:val="none" w:sz="0" w:space="0" w:color="auto"/>
        <w:bottom w:val="none" w:sz="0" w:space="0" w:color="auto"/>
        <w:right w:val="none" w:sz="0" w:space="0" w:color="auto"/>
      </w:divBdr>
    </w:div>
    <w:div w:id="2043283459">
      <w:bodyDiv w:val="1"/>
      <w:marLeft w:val="0"/>
      <w:marRight w:val="0"/>
      <w:marTop w:val="0"/>
      <w:marBottom w:val="0"/>
      <w:divBdr>
        <w:top w:val="none" w:sz="0" w:space="0" w:color="auto"/>
        <w:left w:val="none" w:sz="0" w:space="0" w:color="auto"/>
        <w:bottom w:val="none" w:sz="0" w:space="0" w:color="auto"/>
        <w:right w:val="none" w:sz="0" w:space="0" w:color="auto"/>
      </w:divBdr>
      <w:divsChild>
        <w:div w:id="430400445">
          <w:marLeft w:val="0"/>
          <w:marRight w:val="0"/>
          <w:marTop w:val="0"/>
          <w:marBottom w:val="0"/>
          <w:divBdr>
            <w:top w:val="none" w:sz="0" w:space="0" w:color="auto"/>
            <w:left w:val="none" w:sz="0" w:space="0" w:color="auto"/>
            <w:bottom w:val="none" w:sz="0" w:space="0" w:color="auto"/>
            <w:right w:val="none" w:sz="0" w:space="0" w:color="auto"/>
          </w:divBdr>
          <w:divsChild>
            <w:div w:id="1651981387">
              <w:marLeft w:val="0"/>
              <w:marRight w:val="0"/>
              <w:marTop w:val="0"/>
              <w:marBottom w:val="0"/>
              <w:divBdr>
                <w:top w:val="none" w:sz="0" w:space="0" w:color="auto"/>
                <w:left w:val="none" w:sz="0" w:space="0" w:color="auto"/>
                <w:bottom w:val="none" w:sz="0" w:space="0" w:color="auto"/>
                <w:right w:val="none" w:sz="0" w:space="0" w:color="auto"/>
              </w:divBdr>
              <w:divsChild>
                <w:div w:id="1582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327335">
      <w:bodyDiv w:val="1"/>
      <w:marLeft w:val="0"/>
      <w:marRight w:val="0"/>
      <w:marTop w:val="0"/>
      <w:marBottom w:val="0"/>
      <w:divBdr>
        <w:top w:val="none" w:sz="0" w:space="0" w:color="auto"/>
        <w:left w:val="none" w:sz="0" w:space="0" w:color="auto"/>
        <w:bottom w:val="none" w:sz="0" w:space="0" w:color="auto"/>
        <w:right w:val="none" w:sz="0" w:space="0" w:color="auto"/>
      </w:divBdr>
      <w:divsChild>
        <w:div w:id="121189356">
          <w:marLeft w:val="0"/>
          <w:marRight w:val="0"/>
          <w:marTop w:val="0"/>
          <w:marBottom w:val="0"/>
          <w:divBdr>
            <w:top w:val="none" w:sz="0" w:space="0" w:color="auto"/>
            <w:left w:val="none" w:sz="0" w:space="0" w:color="auto"/>
            <w:bottom w:val="none" w:sz="0" w:space="0" w:color="auto"/>
            <w:right w:val="none" w:sz="0" w:space="0" w:color="auto"/>
          </w:divBdr>
          <w:divsChild>
            <w:div w:id="422580022">
              <w:marLeft w:val="0"/>
              <w:marRight w:val="0"/>
              <w:marTop w:val="0"/>
              <w:marBottom w:val="0"/>
              <w:divBdr>
                <w:top w:val="none" w:sz="0" w:space="0" w:color="auto"/>
                <w:left w:val="none" w:sz="0" w:space="0" w:color="auto"/>
                <w:bottom w:val="none" w:sz="0" w:space="0" w:color="auto"/>
                <w:right w:val="none" w:sz="0" w:space="0" w:color="auto"/>
              </w:divBdr>
              <w:divsChild>
                <w:div w:id="1969041322">
                  <w:marLeft w:val="0"/>
                  <w:marRight w:val="0"/>
                  <w:marTop w:val="0"/>
                  <w:marBottom w:val="0"/>
                  <w:divBdr>
                    <w:top w:val="none" w:sz="0" w:space="0" w:color="auto"/>
                    <w:left w:val="none" w:sz="0" w:space="0" w:color="auto"/>
                    <w:bottom w:val="none" w:sz="0" w:space="0" w:color="auto"/>
                    <w:right w:val="none" w:sz="0" w:space="0" w:color="auto"/>
                  </w:divBdr>
                  <w:divsChild>
                    <w:div w:id="163147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199039">
      <w:bodyDiv w:val="1"/>
      <w:marLeft w:val="0"/>
      <w:marRight w:val="0"/>
      <w:marTop w:val="0"/>
      <w:marBottom w:val="0"/>
      <w:divBdr>
        <w:top w:val="none" w:sz="0" w:space="0" w:color="auto"/>
        <w:left w:val="none" w:sz="0" w:space="0" w:color="auto"/>
        <w:bottom w:val="none" w:sz="0" w:space="0" w:color="auto"/>
        <w:right w:val="none" w:sz="0" w:space="0" w:color="auto"/>
      </w:divBdr>
      <w:divsChild>
        <w:div w:id="1102073758">
          <w:marLeft w:val="0"/>
          <w:marRight w:val="0"/>
          <w:marTop w:val="0"/>
          <w:marBottom w:val="0"/>
          <w:divBdr>
            <w:top w:val="none" w:sz="0" w:space="0" w:color="auto"/>
            <w:left w:val="none" w:sz="0" w:space="0" w:color="auto"/>
            <w:bottom w:val="none" w:sz="0" w:space="0" w:color="auto"/>
            <w:right w:val="none" w:sz="0" w:space="0" w:color="auto"/>
          </w:divBdr>
          <w:divsChild>
            <w:div w:id="1337919046">
              <w:marLeft w:val="0"/>
              <w:marRight w:val="0"/>
              <w:marTop w:val="0"/>
              <w:marBottom w:val="0"/>
              <w:divBdr>
                <w:top w:val="none" w:sz="0" w:space="0" w:color="auto"/>
                <w:left w:val="none" w:sz="0" w:space="0" w:color="auto"/>
                <w:bottom w:val="none" w:sz="0" w:space="0" w:color="auto"/>
                <w:right w:val="none" w:sz="0" w:space="0" w:color="auto"/>
              </w:divBdr>
              <w:divsChild>
                <w:div w:id="13737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654638">
      <w:bodyDiv w:val="1"/>
      <w:marLeft w:val="0"/>
      <w:marRight w:val="0"/>
      <w:marTop w:val="0"/>
      <w:marBottom w:val="0"/>
      <w:divBdr>
        <w:top w:val="none" w:sz="0" w:space="0" w:color="auto"/>
        <w:left w:val="none" w:sz="0" w:space="0" w:color="auto"/>
        <w:bottom w:val="none" w:sz="0" w:space="0" w:color="auto"/>
        <w:right w:val="none" w:sz="0" w:space="0" w:color="auto"/>
      </w:divBdr>
      <w:divsChild>
        <w:div w:id="1818720981">
          <w:marLeft w:val="0"/>
          <w:marRight w:val="0"/>
          <w:marTop w:val="0"/>
          <w:marBottom w:val="0"/>
          <w:divBdr>
            <w:top w:val="none" w:sz="0" w:space="0" w:color="auto"/>
            <w:left w:val="none" w:sz="0" w:space="0" w:color="auto"/>
            <w:bottom w:val="none" w:sz="0" w:space="0" w:color="auto"/>
            <w:right w:val="none" w:sz="0" w:space="0" w:color="auto"/>
          </w:divBdr>
          <w:divsChild>
            <w:div w:id="476844114">
              <w:marLeft w:val="0"/>
              <w:marRight w:val="0"/>
              <w:marTop w:val="0"/>
              <w:marBottom w:val="0"/>
              <w:divBdr>
                <w:top w:val="none" w:sz="0" w:space="0" w:color="auto"/>
                <w:left w:val="none" w:sz="0" w:space="0" w:color="auto"/>
                <w:bottom w:val="none" w:sz="0" w:space="0" w:color="auto"/>
                <w:right w:val="none" w:sz="0" w:space="0" w:color="auto"/>
              </w:divBdr>
              <w:divsChild>
                <w:div w:id="2107114290">
                  <w:marLeft w:val="0"/>
                  <w:marRight w:val="0"/>
                  <w:marTop w:val="0"/>
                  <w:marBottom w:val="0"/>
                  <w:divBdr>
                    <w:top w:val="none" w:sz="0" w:space="0" w:color="auto"/>
                    <w:left w:val="none" w:sz="0" w:space="0" w:color="auto"/>
                    <w:bottom w:val="none" w:sz="0" w:space="0" w:color="auto"/>
                    <w:right w:val="none" w:sz="0" w:space="0" w:color="auto"/>
                  </w:divBdr>
                </w:div>
              </w:divsChild>
            </w:div>
            <w:div w:id="847060933">
              <w:marLeft w:val="0"/>
              <w:marRight w:val="0"/>
              <w:marTop w:val="0"/>
              <w:marBottom w:val="0"/>
              <w:divBdr>
                <w:top w:val="none" w:sz="0" w:space="0" w:color="auto"/>
                <w:left w:val="none" w:sz="0" w:space="0" w:color="auto"/>
                <w:bottom w:val="none" w:sz="0" w:space="0" w:color="auto"/>
                <w:right w:val="none" w:sz="0" w:space="0" w:color="auto"/>
              </w:divBdr>
              <w:divsChild>
                <w:div w:id="7641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768787">
          <w:marLeft w:val="0"/>
          <w:marRight w:val="0"/>
          <w:marTop w:val="0"/>
          <w:marBottom w:val="0"/>
          <w:divBdr>
            <w:top w:val="none" w:sz="0" w:space="0" w:color="auto"/>
            <w:left w:val="none" w:sz="0" w:space="0" w:color="auto"/>
            <w:bottom w:val="none" w:sz="0" w:space="0" w:color="auto"/>
            <w:right w:val="none" w:sz="0" w:space="0" w:color="auto"/>
          </w:divBdr>
          <w:divsChild>
            <w:div w:id="366832036">
              <w:marLeft w:val="0"/>
              <w:marRight w:val="0"/>
              <w:marTop w:val="0"/>
              <w:marBottom w:val="0"/>
              <w:divBdr>
                <w:top w:val="none" w:sz="0" w:space="0" w:color="auto"/>
                <w:left w:val="none" w:sz="0" w:space="0" w:color="auto"/>
                <w:bottom w:val="none" w:sz="0" w:space="0" w:color="auto"/>
                <w:right w:val="none" w:sz="0" w:space="0" w:color="auto"/>
              </w:divBdr>
              <w:divsChild>
                <w:div w:id="1559823671">
                  <w:marLeft w:val="0"/>
                  <w:marRight w:val="0"/>
                  <w:marTop w:val="0"/>
                  <w:marBottom w:val="0"/>
                  <w:divBdr>
                    <w:top w:val="none" w:sz="0" w:space="0" w:color="auto"/>
                    <w:left w:val="none" w:sz="0" w:space="0" w:color="auto"/>
                    <w:bottom w:val="none" w:sz="0" w:space="0" w:color="auto"/>
                    <w:right w:val="none" w:sz="0" w:space="0" w:color="auto"/>
                  </w:divBdr>
                </w:div>
              </w:divsChild>
            </w:div>
            <w:div w:id="1854487631">
              <w:marLeft w:val="0"/>
              <w:marRight w:val="0"/>
              <w:marTop w:val="0"/>
              <w:marBottom w:val="0"/>
              <w:divBdr>
                <w:top w:val="none" w:sz="0" w:space="0" w:color="auto"/>
                <w:left w:val="none" w:sz="0" w:space="0" w:color="auto"/>
                <w:bottom w:val="none" w:sz="0" w:space="0" w:color="auto"/>
                <w:right w:val="none" w:sz="0" w:space="0" w:color="auto"/>
              </w:divBdr>
              <w:divsChild>
                <w:div w:id="179752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238571">
      <w:bodyDiv w:val="1"/>
      <w:marLeft w:val="0"/>
      <w:marRight w:val="0"/>
      <w:marTop w:val="0"/>
      <w:marBottom w:val="0"/>
      <w:divBdr>
        <w:top w:val="none" w:sz="0" w:space="0" w:color="auto"/>
        <w:left w:val="none" w:sz="0" w:space="0" w:color="auto"/>
        <w:bottom w:val="none" w:sz="0" w:space="0" w:color="auto"/>
        <w:right w:val="none" w:sz="0" w:space="0" w:color="auto"/>
      </w:divBdr>
      <w:divsChild>
        <w:div w:id="369887719">
          <w:marLeft w:val="0"/>
          <w:marRight w:val="0"/>
          <w:marTop w:val="0"/>
          <w:marBottom w:val="0"/>
          <w:divBdr>
            <w:top w:val="none" w:sz="0" w:space="0" w:color="auto"/>
            <w:left w:val="none" w:sz="0" w:space="0" w:color="auto"/>
            <w:bottom w:val="none" w:sz="0" w:space="0" w:color="auto"/>
            <w:right w:val="none" w:sz="0" w:space="0" w:color="auto"/>
          </w:divBdr>
          <w:divsChild>
            <w:div w:id="1255243121">
              <w:marLeft w:val="0"/>
              <w:marRight w:val="0"/>
              <w:marTop w:val="0"/>
              <w:marBottom w:val="0"/>
              <w:divBdr>
                <w:top w:val="none" w:sz="0" w:space="0" w:color="auto"/>
                <w:left w:val="none" w:sz="0" w:space="0" w:color="auto"/>
                <w:bottom w:val="none" w:sz="0" w:space="0" w:color="auto"/>
                <w:right w:val="none" w:sz="0" w:space="0" w:color="auto"/>
              </w:divBdr>
              <w:divsChild>
                <w:div w:id="2022120575">
                  <w:marLeft w:val="0"/>
                  <w:marRight w:val="0"/>
                  <w:marTop w:val="0"/>
                  <w:marBottom w:val="0"/>
                  <w:divBdr>
                    <w:top w:val="none" w:sz="0" w:space="0" w:color="auto"/>
                    <w:left w:val="none" w:sz="0" w:space="0" w:color="auto"/>
                    <w:bottom w:val="none" w:sz="0" w:space="0" w:color="auto"/>
                    <w:right w:val="none" w:sz="0" w:space="0" w:color="auto"/>
                  </w:divBdr>
                  <w:divsChild>
                    <w:div w:id="124344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775558">
      <w:bodyDiv w:val="1"/>
      <w:marLeft w:val="0"/>
      <w:marRight w:val="0"/>
      <w:marTop w:val="0"/>
      <w:marBottom w:val="0"/>
      <w:divBdr>
        <w:top w:val="none" w:sz="0" w:space="0" w:color="auto"/>
        <w:left w:val="none" w:sz="0" w:space="0" w:color="auto"/>
        <w:bottom w:val="none" w:sz="0" w:space="0" w:color="auto"/>
        <w:right w:val="none" w:sz="0" w:space="0" w:color="auto"/>
      </w:divBdr>
      <w:divsChild>
        <w:div w:id="2012246577">
          <w:marLeft w:val="0"/>
          <w:marRight w:val="0"/>
          <w:marTop w:val="0"/>
          <w:marBottom w:val="0"/>
          <w:divBdr>
            <w:top w:val="none" w:sz="0" w:space="0" w:color="auto"/>
            <w:left w:val="none" w:sz="0" w:space="0" w:color="auto"/>
            <w:bottom w:val="none" w:sz="0" w:space="0" w:color="auto"/>
            <w:right w:val="none" w:sz="0" w:space="0" w:color="auto"/>
          </w:divBdr>
          <w:divsChild>
            <w:div w:id="659621641">
              <w:marLeft w:val="0"/>
              <w:marRight w:val="0"/>
              <w:marTop w:val="0"/>
              <w:marBottom w:val="0"/>
              <w:divBdr>
                <w:top w:val="none" w:sz="0" w:space="0" w:color="auto"/>
                <w:left w:val="none" w:sz="0" w:space="0" w:color="auto"/>
                <w:bottom w:val="none" w:sz="0" w:space="0" w:color="auto"/>
                <w:right w:val="none" w:sz="0" w:space="0" w:color="auto"/>
              </w:divBdr>
              <w:divsChild>
                <w:div w:id="133877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570510">
      <w:bodyDiv w:val="1"/>
      <w:marLeft w:val="0"/>
      <w:marRight w:val="0"/>
      <w:marTop w:val="0"/>
      <w:marBottom w:val="0"/>
      <w:divBdr>
        <w:top w:val="none" w:sz="0" w:space="0" w:color="auto"/>
        <w:left w:val="none" w:sz="0" w:space="0" w:color="auto"/>
        <w:bottom w:val="none" w:sz="0" w:space="0" w:color="auto"/>
        <w:right w:val="none" w:sz="0" w:space="0" w:color="auto"/>
      </w:divBdr>
      <w:divsChild>
        <w:div w:id="426733329">
          <w:marLeft w:val="0"/>
          <w:marRight w:val="0"/>
          <w:marTop w:val="0"/>
          <w:marBottom w:val="0"/>
          <w:divBdr>
            <w:top w:val="none" w:sz="0" w:space="0" w:color="auto"/>
            <w:left w:val="none" w:sz="0" w:space="0" w:color="auto"/>
            <w:bottom w:val="none" w:sz="0" w:space="0" w:color="auto"/>
            <w:right w:val="none" w:sz="0" w:space="0" w:color="auto"/>
          </w:divBdr>
          <w:divsChild>
            <w:div w:id="731538216">
              <w:marLeft w:val="0"/>
              <w:marRight w:val="0"/>
              <w:marTop w:val="0"/>
              <w:marBottom w:val="0"/>
              <w:divBdr>
                <w:top w:val="none" w:sz="0" w:space="0" w:color="auto"/>
                <w:left w:val="none" w:sz="0" w:space="0" w:color="auto"/>
                <w:bottom w:val="none" w:sz="0" w:space="0" w:color="auto"/>
                <w:right w:val="none" w:sz="0" w:space="0" w:color="auto"/>
              </w:divBdr>
              <w:divsChild>
                <w:div w:id="1205367557">
                  <w:marLeft w:val="0"/>
                  <w:marRight w:val="0"/>
                  <w:marTop w:val="0"/>
                  <w:marBottom w:val="0"/>
                  <w:divBdr>
                    <w:top w:val="none" w:sz="0" w:space="0" w:color="auto"/>
                    <w:left w:val="none" w:sz="0" w:space="0" w:color="auto"/>
                    <w:bottom w:val="none" w:sz="0" w:space="0" w:color="auto"/>
                    <w:right w:val="none" w:sz="0" w:space="0" w:color="auto"/>
                  </w:divBdr>
                  <w:divsChild>
                    <w:div w:id="8817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075051">
      <w:bodyDiv w:val="1"/>
      <w:marLeft w:val="0"/>
      <w:marRight w:val="0"/>
      <w:marTop w:val="0"/>
      <w:marBottom w:val="0"/>
      <w:divBdr>
        <w:top w:val="none" w:sz="0" w:space="0" w:color="auto"/>
        <w:left w:val="none" w:sz="0" w:space="0" w:color="auto"/>
        <w:bottom w:val="none" w:sz="0" w:space="0" w:color="auto"/>
        <w:right w:val="none" w:sz="0" w:space="0" w:color="auto"/>
      </w:divBdr>
      <w:divsChild>
        <w:div w:id="453717675">
          <w:marLeft w:val="0"/>
          <w:marRight w:val="0"/>
          <w:marTop w:val="0"/>
          <w:marBottom w:val="0"/>
          <w:divBdr>
            <w:top w:val="none" w:sz="0" w:space="0" w:color="auto"/>
            <w:left w:val="none" w:sz="0" w:space="0" w:color="auto"/>
            <w:bottom w:val="none" w:sz="0" w:space="0" w:color="auto"/>
            <w:right w:val="none" w:sz="0" w:space="0" w:color="auto"/>
          </w:divBdr>
          <w:divsChild>
            <w:div w:id="2119833766">
              <w:marLeft w:val="0"/>
              <w:marRight w:val="0"/>
              <w:marTop w:val="0"/>
              <w:marBottom w:val="0"/>
              <w:divBdr>
                <w:top w:val="none" w:sz="0" w:space="0" w:color="auto"/>
                <w:left w:val="none" w:sz="0" w:space="0" w:color="auto"/>
                <w:bottom w:val="none" w:sz="0" w:space="0" w:color="auto"/>
                <w:right w:val="none" w:sz="0" w:space="0" w:color="auto"/>
              </w:divBdr>
              <w:divsChild>
                <w:div w:id="52691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282813">
      <w:bodyDiv w:val="1"/>
      <w:marLeft w:val="0"/>
      <w:marRight w:val="0"/>
      <w:marTop w:val="0"/>
      <w:marBottom w:val="0"/>
      <w:divBdr>
        <w:top w:val="none" w:sz="0" w:space="0" w:color="auto"/>
        <w:left w:val="none" w:sz="0" w:space="0" w:color="auto"/>
        <w:bottom w:val="none" w:sz="0" w:space="0" w:color="auto"/>
        <w:right w:val="none" w:sz="0" w:space="0" w:color="auto"/>
      </w:divBdr>
      <w:divsChild>
        <w:div w:id="554006953">
          <w:marLeft w:val="0"/>
          <w:marRight w:val="0"/>
          <w:marTop w:val="0"/>
          <w:marBottom w:val="0"/>
          <w:divBdr>
            <w:top w:val="none" w:sz="0" w:space="0" w:color="auto"/>
            <w:left w:val="none" w:sz="0" w:space="0" w:color="auto"/>
            <w:bottom w:val="none" w:sz="0" w:space="0" w:color="auto"/>
            <w:right w:val="none" w:sz="0" w:space="0" w:color="auto"/>
          </w:divBdr>
          <w:divsChild>
            <w:div w:id="1608462487">
              <w:marLeft w:val="0"/>
              <w:marRight w:val="0"/>
              <w:marTop w:val="0"/>
              <w:marBottom w:val="0"/>
              <w:divBdr>
                <w:top w:val="none" w:sz="0" w:space="0" w:color="auto"/>
                <w:left w:val="none" w:sz="0" w:space="0" w:color="auto"/>
                <w:bottom w:val="none" w:sz="0" w:space="0" w:color="auto"/>
                <w:right w:val="none" w:sz="0" w:space="0" w:color="auto"/>
              </w:divBdr>
              <w:divsChild>
                <w:div w:id="188063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28457">
      <w:bodyDiv w:val="1"/>
      <w:marLeft w:val="0"/>
      <w:marRight w:val="0"/>
      <w:marTop w:val="0"/>
      <w:marBottom w:val="0"/>
      <w:divBdr>
        <w:top w:val="none" w:sz="0" w:space="0" w:color="auto"/>
        <w:left w:val="none" w:sz="0" w:space="0" w:color="auto"/>
        <w:bottom w:val="none" w:sz="0" w:space="0" w:color="auto"/>
        <w:right w:val="none" w:sz="0" w:space="0" w:color="auto"/>
      </w:divBdr>
      <w:divsChild>
        <w:div w:id="383532366">
          <w:marLeft w:val="0"/>
          <w:marRight w:val="0"/>
          <w:marTop w:val="0"/>
          <w:marBottom w:val="0"/>
          <w:divBdr>
            <w:top w:val="none" w:sz="0" w:space="0" w:color="auto"/>
            <w:left w:val="none" w:sz="0" w:space="0" w:color="auto"/>
            <w:bottom w:val="none" w:sz="0" w:space="0" w:color="auto"/>
            <w:right w:val="none" w:sz="0" w:space="0" w:color="auto"/>
          </w:divBdr>
          <w:divsChild>
            <w:div w:id="784957406">
              <w:marLeft w:val="0"/>
              <w:marRight w:val="0"/>
              <w:marTop w:val="0"/>
              <w:marBottom w:val="0"/>
              <w:divBdr>
                <w:top w:val="none" w:sz="0" w:space="0" w:color="auto"/>
                <w:left w:val="none" w:sz="0" w:space="0" w:color="auto"/>
                <w:bottom w:val="none" w:sz="0" w:space="0" w:color="auto"/>
                <w:right w:val="none" w:sz="0" w:space="0" w:color="auto"/>
              </w:divBdr>
              <w:divsChild>
                <w:div w:id="1221483958">
                  <w:marLeft w:val="0"/>
                  <w:marRight w:val="0"/>
                  <w:marTop w:val="0"/>
                  <w:marBottom w:val="0"/>
                  <w:divBdr>
                    <w:top w:val="none" w:sz="0" w:space="0" w:color="auto"/>
                    <w:left w:val="none" w:sz="0" w:space="0" w:color="auto"/>
                    <w:bottom w:val="none" w:sz="0" w:space="0" w:color="auto"/>
                    <w:right w:val="none" w:sz="0" w:space="0" w:color="auto"/>
                  </w:divBdr>
                  <w:divsChild>
                    <w:div w:id="135450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015219">
      <w:bodyDiv w:val="1"/>
      <w:marLeft w:val="0"/>
      <w:marRight w:val="0"/>
      <w:marTop w:val="0"/>
      <w:marBottom w:val="0"/>
      <w:divBdr>
        <w:top w:val="none" w:sz="0" w:space="0" w:color="auto"/>
        <w:left w:val="none" w:sz="0" w:space="0" w:color="auto"/>
        <w:bottom w:val="none" w:sz="0" w:space="0" w:color="auto"/>
        <w:right w:val="none" w:sz="0" w:space="0" w:color="auto"/>
      </w:divBdr>
      <w:divsChild>
        <w:div w:id="623777677">
          <w:marLeft w:val="0"/>
          <w:marRight w:val="0"/>
          <w:marTop w:val="0"/>
          <w:marBottom w:val="0"/>
          <w:divBdr>
            <w:top w:val="none" w:sz="0" w:space="0" w:color="auto"/>
            <w:left w:val="none" w:sz="0" w:space="0" w:color="auto"/>
            <w:bottom w:val="none" w:sz="0" w:space="0" w:color="auto"/>
            <w:right w:val="none" w:sz="0" w:space="0" w:color="auto"/>
          </w:divBdr>
          <w:divsChild>
            <w:div w:id="459417997">
              <w:marLeft w:val="0"/>
              <w:marRight w:val="0"/>
              <w:marTop w:val="0"/>
              <w:marBottom w:val="0"/>
              <w:divBdr>
                <w:top w:val="none" w:sz="0" w:space="0" w:color="auto"/>
                <w:left w:val="none" w:sz="0" w:space="0" w:color="auto"/>
                <w:bottom w:val="none" w:sz="0" w:space="0" w:color="auto"/>
                <w:right w:val="none" w:sz="0" w:space="0" w:color="auto"/>
              </w:divBdr>
              <w:divsChild>
                <w:div w:id="65059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799964">
      <w:bodyDiv w:val="1"/>
      <w:marLeft w:val="0"/>
      <w:marRight w:val="0"/>
      <w:marTop w:val="0"/>
      <w:marBottom w:val="0"/>
      <w:divBdr>
        <w:top w:val="none" w:sz="0" w:space="0" w:color="auto"/>
        <w:left w:val="none" w:sz="0" w:space="0" w:color="auto"/>
        <w:bottom w:val="none" w:sz="0" w:space="0" w:color="auto"/>
        <w:right w:val="none" w:sz="0" w:space="0" w:color="auto"/>
      </w:divBdr>
      <w:divsChild>
        <w:div w:id="2080056930">
          <w:marLeft w:val="0"/>
          <w:marRight w:val="0"/>
          <w:marTop w:val="0"/>
          <w:marBottom w:val="0"/>
          <w:divBdr>
            <w:top w:val="none" w:sz="0" w:space="0" w:color="auto"/>
            <w:left w:val="none" w:sz="0" w:space="0" w:color="auto"/>
            <w:bottom w:val="none" w:sz="0" w:space="0" w:color="auto"/>
            <w:right w:val="none" w:sz="0" w:space="0" w:color="auto"/>
          </w:divBdr>
          <w:divsChild>
            <w:div w:id="550383062">
              <w:marLeft w:val="0"/>
              <w:marRight w:val="0"/>
              <w:marTop w:val="0"/>
              <w:marBottom w:val="0"/>
              <w:divBdr>
                <w:top w:val="none" w:sz="0" w:space="0" w:color="auto"/>
                <w:left w:val="none" w:sz="0" w:space="0" w:color="auto"/>
                <w:bottom w:val="none" w:sz="0" w:space="0" w:color="auto"/>
                <w:right w:val="none" w:sz="0" w:space="0" w:color="auto"/>
              </w:divBdr>
              <w:divsChild>
                <w:div w:id="16235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eetorda.com/uploads/2/3/2/5/23256940/84686335.pdf" TargetMode="External"/><Relationship Id="rId21" Type="http://schemas.openxmlformats.org/officeDocument/2006/relationships/hyperlink" Target="https://www.jstor.org/stable/20065137" TargetMode="External"/><Relationship Id="rId42" Type="http://schemas.openxmlformats.org/officeDocument/2006/relationships/hyperlink" Target="https://www.tandfonline.com/doi/abs/10.1080/09620210701667103" TargetMode="External"/><Relationship Id="rId63" Type="http://schemas.openxmlformats.org/officeDocument/2006/relationships/hyperlink" Target="https://journals.sagepub.com/doi/abs/10.1177/1469787418791026" TargetMode="External"/><Relationship Id="rId84" Type="http://schemas.openxmlformats.org/officeDocument/2006/relationships/hyperlink" Target="https://www.tandfonline.com/doi/abs/10.1080/03098770500103135" TargetMode="External"/><Relationship Id="rId138" Type="http://schemas.openxmlformats.org/officeDocument/2006/relationships/hyperlink" Target="https://www.tandfonline.com/doi/abs/10.1080/03075070500340036" TargetMode="External"/><Relationship Id="rId107" Type="http://schemas.openxmlformats.org/officeDocument/2006/relationships/hyperlink" Target="https://ro.uow.edu.au/edupapers/1173/" TargetMode="External"/><Relationship Id="rId11" Type="http://schemas.openxmlformats.org/officeDocument/2006/relationships/image" Target="media/image1.png"/><Relationship Id="rId32" Type="http://schemas.openxmlformats.org/officeDocument/2006/relationships/hyperlink" Target="https://www.tandfonline.com/doi/abs/10.1080/03075079.2013.801428" TargetMode="External"/><Relationship Id="rId53" Type="http://schemas.openxmlformats.org/officeDocument/2006/relationships/image" Target="media/image5.png"/><Relationship Id="rId74" Type="http://schemas.openxmlformats.org/officeDocument/2006/relationships/hyperlink" Target="https://www.tandfonline.com/doi/abs/10.1080/14480220.2015.1082926" TargetMode="External"/><Relationship Id="rId128" Type="http://schemas.openxmlformats.org/officeDocument/2006/relationships/hyperlink" Target="https://www.tandfonline.com/doi/abs/10.1080/03075079.2016.1242567?journalCode=cshe20" TargetMode="External"/><Relationship Id="rId5" Type="http://schemas.openxmlformats.org/officeDocument/2006/relationships/webSettings" Target="webSettings.xml"/><Relationship Id="rId90" Type="http://schemas.openxmlformats.org/officeDocument/2006/relationships/hyperlink" Target="https://www.tandfonline.com/doi/abs/10.1080/13562517.2010.507303" TargetMode="External"/><Relationship Id="rId95" Type="http://schemas.openxmlformats.org/officeDocument/2006/relationships/hyperlink" Target="https://www.tandfonline.com/doi/abs/10.1080/13562517.2015.1062360?journalCode=cthe20" TargetMode="External"/><Relationship Id="rId22" Type="http://schemas.openxmlformats.org/officeDocument/2006/relationships/hyperlink" Target="https://doi-org.wwwproxy1.library.unsw.edu.au/10.1080/03098770902856652" TargetMode="External"/><Relationship Id="rId27" Type="http://schemas.openxmlformats.org/officeDocument/2006/relationships/hyperlink" Target="https://www.tandfonline.com/doi/abs/10.1080/13562517.2018.1536042?journalCode=cthe20" TargetMode="External"/><Relationship Id="rId43" Type="http://schemas.openxmlformats.org/officeDocument/2006/relationships/hyperlink" Target="http://oro.open.ac.uk/33563/" TargetMode="External"/><Relationship Id="rId48" Type="http://schemas.openxmlformats.org/officeDocument/2006/relationships/hyperlink" Target="https://fyhejournal.com/article/view/235.html" TargetMode="External"/><Relationship Id="rId64" Type="http://schemas.openxmlformats.org/officeDocument/2006/relationships/hyperlink" Target="https://www.tandfonline.com/doi/abs/10.1080/13562517.2018.1511538?journalCode=cthe20" TargetMode="External"/><Relationship Id="rId69" Type="http://schemas.openxmlformats.org/officeDocument/2006/relationships/hyperlink" Target="https://doi.org/10.1080/03075079.2019.1695112" TargetMode="External"/><Relationship Id="rId113" Type="http://schemas.openxmlformats.org/officeDocument/2006/relationships/hyperlink" Target="https://www.tandfonline.com/doi/abs/10.1080/0309877X.2017.1302563?journalCode=cjfh20" TargetMode="External"/><Relationship Id="rId118" Type="http://schemas.openxmlformats.org/officeDocument/2006/relationships/hyperlink" Target="https://www.taylorfrancis.com/books/e/9780203867617/chapters/10.4324/9780203867617-16" TargetMode="External"/><Relationship Id="rId134" Type="http://schemas.openxmlformats.org/officeDocument/2006/relationships/hyperlink" Target="https://www.tandfonline.com/doi/abs/10.1080/0309877X.2017.1311993?journalCode=cjfh20" TargetMode="External"/><Relationship Id="rId139" Type="http://schemas.openxmlformats.org/officeDocument/2006/relationships/hyperlink" Target="https://journals.sagepub.com/doi/abs/10.1177/1474022216628302?journalCode=ahha" TargetMode="External"/><Relationship Id="rId80" Type="http://schemas.openxmlformats.org/officeDocument/2006/relationships/hyperlink" Target="https://www.tandfonline.com/doi/abs/10.1080/0309877X.2014.895305" TargetMode="External"/><Relationship Id="rId85" Type="http://schemas.openxmlformats.org/officeDocument/2006/relationships/hyperlink" Target="https://www.tandfonline.com/doi/abs/10.1080/1360144X.2011.568747" TargetMode="External"/><Relationship Id="rId12" Type="http://schemas.openxmlformats.org/officeDocument/2006/relationships/hyperlink" Target="https://link.springer.com/article/10.1007/s10734-012-9604-6" TargetMode="External"/><Relationship Id="rId17" Type="http://schemas.openxmlformats.org/officeDocument/2006/relationships/hyperlink" Target="https://www.tandfonline.com/doi/full/10.1080/02671522.2019.1633561" TargetMode="External"/><Relationship Id="rId33" Type="http://schemas.openxmlformats.org/officeDocument/2006/relationships/hyperlink" Target="https://journal.aldinhe.ac.uk/index.php/jldhe/article/view/66" TargetMode="External"/><Relationship Id="rId38" Type="http://schemas.openxmlformats.org/officeDocument/2006/relationships/hyperlink" Target="https://www.tandfonline.com/doi/abs/10.1080/03075079.2011.588326" TargetMode="External"/><Relationship Id="rId59" Type="http://schemas.openxmlformats.org/officeDocument/2006/relationships/image" Target="media/image6.png"/><Relationship Id="rId103" Type="http://schemas.openxmlformats.org/officeDocument/2006/relationships/hyperlink" Target="https://ro.uow.edu.au/cgi/viewcontent.cgi?article=1534&amp;context=asdpapers" TargetMode="External"/><Relationship Id="rId108" Type="http://schemas.openxmlformats.org/officeDocument/2006/relationships/hyperlink" Target="https://link.springer.com/content/pdf/10.1007%2Fb100507.pdf" TargetMode="External"/><Relationship Id="rId124" Type="http://schemas.openxmlformats.org/officeDocument/2006/relationships/hyperlink" Target="https://journals.sagepub.com/doi/10.1177/1474022205056173" TargetMode="External"/><Relationship Id="rId129" Type="http://schemas.openxmlformats.org/officeDocument/2006/relationships/hyperlink" Target="https://www.tandfonline.com/doi/abs/10.1080/1367626042000268908" TargetMode="External"/><Relationship Id="rId54" Type="http://schemas.openxmlformats.org/officeDocument/2006/relationships/hyperlink" Target="https://research-information.bris.ac.uk/en/publications/transitions-in-the-lifecourse-the-role-of-identity-agency-and-structure(94e2a5f0-4603-4b46-9555-0c324079bdd8).html" TargetMode="External"/><Relationship Id="rId70" Type="http://schemas.openxmlformats.org/officeDocument/2006/relationships/hyperlink" Target="https://doi.org/10.1080/07294360.2020.1721442" TargetMode="External"/><Relationship Id="rId75" Type="http://schemas.openxmlformats.org/officeDocument/2006/relationships/hyperlink" Target="https://www.tandfonline.com/doi/abs/10.1080/0309877X.2018.1491957?journalCode=cjfh20" TargetMode="External"/><Relationship Id="rId91" Type="http://schemas.openxmlformats.org/officeDocument/2006/relationships/hyperlink" Target="https://www.sciencedirect.com/science/article/abs/pii/S0260691713003365" TargetMode="External"/><Relationship Id="rId96" Type="http://schemas.openxmlformats.org/officeDocument/2006/relationships/hyperlink" Target="https://www.tandfonline.com/doi/abs/10.1080/13603116.2014.945973" TargetMode="External"/><Relationship Id="rId140" Type="http://schemas.openxmlformats.org/officeDocument/2006/relationships/hyperlink" Target="https://onlinelibrary.wiley.com/doi/abs/10.1111/j.1468-2273.2007.00361.x"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tandfonline.com/doi/abs/10.1080/02671520802048646" TargetMode="External"/><Relationship Id="rId28" Type="http://schemas.openxmlformats.org/officeDocument/2006/relationships/hyperlink" Target="https://www.tandfonline.com/doi/abs/10.1080/13538322.2011.614468" TargetMode="External"/><Relationship Id="rId49" Type="http://schemas.openxmlformats.org/officeDocument/2006/relationships/hyperlink" Target="https://www.tandfonline.com/doi/abs/10.1080/13562517.2017.1319812?journalCode=cthe20" TargetMode="External"/><Relationship Id="rId114" Type="http://schemas.openxmlformats.org/officeDocument/2006/relationships/hyperlink" Target="https://www.tandfonline.com/doi/full/10.1080/01425692.2017.1409101" TargetMode="External"/><Relationship Id="rId119" Type="http://schemas.openxmlformats.org/officeDocument/2006/relationships/hyperlink" Target="file://localhost/DOI/%2010.1111:ejed.12298" TargetMode="External"/><Relationship Id="rId44" Type="http://schemas.openxmlformats.org/officeDocument/2006/relationships/hyperlink" Target="https://journal.aldinhe.ac.uk/index.php/jldhe/article/view/64" TargetMode="External"/><Relationship Id="rId60" Type="http://schemas.openxmlformats.org/officeDocument/2006/relationships/hyperlink" Target="https://dro.deakin.edu.au/eserv/DU:30043256/gale-goodpractice-2011.pdf" TargetMode="External"/><Relationship Id="rId65" Type="http://schemas.openxmlformats.org/officeDocument/2006/relationships/hyperlink" Target="https://www.tandfonline.com/doi/abs/10.1080/07294360.2015.1137879" TargetMode="External"/><Relationship Id="rId81" Type="http://schemas.openxmlformats.org/officeDocument/2006/relationships/hyperlink" Target="https://www.tandfonline.com/doi/abs/10.1080/13562510903314988" TargetMode="External"/><Relationship Id="rId86" Type="http://schemas.openxmlformats.org/officeDocument/2006/relationships/hyperlink" Target="https://link.springer.com/article/10.1007/s10734-013-9705-x" TargetMode="External"/><Relationship Id="rId130" Type="http://schemas.openxmlformats.org/officeDocument/2006/relationships/hyperlink" Target="https://link.springer.com/article/10.1007/s10734-016-0101-1" TargetMode="External"/><Relationship Id="rId135" Type="http://schemas.openxmlformats.org/officeDocument/2006/relationships/hyperlink" Target="https://www.tandfonline.com/doi/abs/10.1080/13562517.2017.1301906?journalCode=cthe20" TargetMode="External"/><Relationship Id="rId13" Type="http://schemas.openxmlformats.org/officeDocument/2006/relationships/hyperlink" Target="https://www.tandfonline.com/doi/abs/10.1080/13562517.2016.1207625" TargetMode="External"/><Relationship Id="rId18" Type="http://schemas.openxmlformats.org/officeDocument/2006/relationships/hyperlink" Target="https://doi.org/10.1080/02671522.2019.1633561" TargetMode="External"/><Relationship Id="rId39" Type="http://schemas.openxmlformats.org/officeDocument/2006/relationships/hyperlink" Target="https://www.tandfonline.com/doi/abs/10.1080/09620210500200129" TargetMode="External"/><Relationship Id="rId109" Type="http://schemas.openxmlformats.org/officeDocument/2006/relationships/hyperlink" Target="https://www.tandfonline.com/doi/abs/10.1080/03075070802601929" TargetMode="External"/><Relationship Id="rId34" Type="http://schemas.openxmlformats.org/officeDocument/2006/relationships/hyperlink" Target="https://www.tandfonline.com/doi/abs/10.1080/13676261.2017.1373754?journalCode=cjys20" TargetMode="External"/><Relationship Id="rId50" Type="http://schemas.openxmlformats.org/officeDocument/2006/relationships/hyperlink" Target="https://www.tandfonline.com/doi/abs/10.1080/01425692.2016.1150154" TargetMode="External"/><Relationship Id="rId55" Type="http://schemas.openxmlformats.org/officeDocument/2006/relationships/hyperlink" Target="https://www.semanticscholar.org/paper/Transitions-in-lifelong-learning%3A-public-issues%2C-Field/0938a026d582dd6bdf35074e2e0942f388c8136d" TargetMode="External"/><Relationship Id="rId76" Type="http://schemas.openxmlformats.org/officeDocument/2006/relationships/hyperlink" Target="https://srhe.tandfonline.com/doi/abs/10.1080/14703291003718893" TargetMode="External"/><Relationship Id="rId97" Type="http://schemas.openxmlformats.org/officeDocument/2006/relationships/hyperlink" Target="https://www.tandfonline.com/doi/abs/10.1080/0309877X.2013.817005" TargetMode="External"/><Relationship Id="rId104" Type="http://schemas.openxmlformats.org/officeDocument/2006/relationships/hyperlink" Target="https://journals.sagepub.com/doi/10.1177/0741713607302686" TargetMode="External"/><Relationship Id="rId120" Type="http://schemas.openxmlformats.org/officeDocument/2006/relationships/hyperlink" Target="https://www.tandfonline.com/doi/abs/10.1080/14703297.2013.778068?journalCode=riie20" TargetMode="External"/><Relationship Id="rId125" Type="http://schemas.openxmlformats.org/officeDocument/2006/relationships/hyperlink" Target="https://www.tandfonline.com/doi/abs/10.1080/01425692.2012.632867" TargetMode="External"/><Relationship Id="rId141" Type="http://schemas.openxmlformats.org/officeDocument/2006/relationships/hyperlink" Target="https://www.ingentaconnect.com/content/ioep/clre/2009/00000007/00000003/art00004" TargetMode="External"/><Relationship Id="rId146"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hyperlink" Target="https://www.tandfonline.com/doi/full/10.1080/13586840701442927" TargetMode="External"/><Relationship Id="rId92" Type="http://schemas.openxmlformats.org/officeDocument/2006/relationships/hyperlink" Target="https://core.ac.uk/download/pdf/62634135.pdf" TargetMode="External"/><Relationship Id="rId2" Type="http://schemas.openxmlformats.org/officeDocument/2006/relationships/numbering" Target="numbering.xml"/><Relationship Id="rId29" Type="http://schemas.openxmlformats.org/officeDocument/2006/relationships/image" Target="media/image3.png"/><Relationship Id="rId24" Type="http://schemas.openxmlformats.org/officeDocument/2006/relationships/hyperlink" Target="https://www.tandfonline.com/doi/abs/10.1080/0309877X.2014.953460" TargetMode="External"/><Relationship Id="rId40" Type="http://schemas.openxmlformats.org/officeDocument/2006/relationships/hyperlink" Target="https://www.tandfonline.com/doi/abs/10.1080/03075070802373040" TargetMode="External"/><Relationship Id="rId45" Type="http://schemas.openxmlformats.org/officeDocument/2006/relationships/hyperlink" Target="https://journals.sagepub.com/doi/10.2304/eerj.2009.8.2.276" TargetMode="External"/><Relationship Id="rId66" Type="http://schemas.openxmlformats.org/officeDocument/2006/relationships/hyperlink" Target="https://www.tandfonline.com/doi/abs/10.1080/0309877X.2017.1404560" TargetMode="External"/><Relationship Id="rId87" Type="http://schemas.openxmlformats.org/officeDocument/2006/relationships/hyperlink" Target="https://www.tandfonline.com/doi/abs/10.1080/03098771003695494" TargetMode="External"/><Relationship Id="rId110" Type="http://schemas.openxmlformats.org/officeDocument/2006/relationships/hyperlink" Target="https://www.tandfonline.com/doi/abs/10.2989/16073610709486445" TargetMode="External"/><Relationship Id="rId115" Type="http://schemas.openxmlformats.org/officeDocument/2006/relationships/hyperlink" Target="https://journal.aall.org.au/index.php/jall/article/view/396" TargetMode="External"/><Relationship Id="rId131" Type="http://schemas.openxmlformats.org/officeDocument/2006/relationships/hyperlink" Target="https://www.tandfonline.com/doi/abs/10.1080/01411920902836360" TargetMode="External"/><Relationship Id="rId136" Type="http://schemas.openxmlformats.org/officeDocument/2006/relationships/hyperlink" Target="https://www.sciencedirect.com/science/article/pii/S0883035517313393" TargetMode="External"/><Relationship Id="rId61" Type="http://schemas.openxmlformats.org/officeDocument/2006/relationships/hyperlink" Target="http://dro.deakin.edu.au/eserv/DU:30051426/gale-navigatingstudent-2014.pdf" TargetMode="External"/><Relationship Id="rId82" Type="http://schemas.openxmlformats.org/officeDocument/2006/relationships/hyperlink" Target="https://www.tandfonline.com/doi/abs/10.1080/13562517.2011.570437" TargetMode="External"/><Relationship Id="rId19" Type="http://schemas.openxmlformats.org/officeDocument/2006/relationships/hyperlink" Target="https://www.berghahnjournals.com/view/journals/latiss/9/2/latiss090203.xml" TargetMode="External"/><Relationship Id="rId14" Type="http://schemas.openxmlformats.org/officeDocument/2006/relationships/hyperlink" Target="https://www.tandfonline.com/doi/abs/10.1080/03075079.2017.1383376?journalCode=cshe20" TargetMode="External"/><Relationship Id="rId30" Type="http://schemas.openxmlformats.org/officeDocument/2006/relationships/image" Target="media/image4.png"/><Relationship Id="rId35" Type="http://schemas.openxmlformats.org/officeDocument/2006/relationships/hyperlink" Target="https://fyhejournal.com/article/view/174.html" TargetMode="External"/><Relationship Id="rId56" Type="http://schemas.openxmlformats.org/officeDocument/2006/relationships/hyperlink" Target="https://srhe.tandfonline.com/doi/abs/10.1080/02602930903308241" TargetMode="External"/><Relationship Id="rId77" Type="http://schemas.openxmlformats.org/officeDocument/2006/relationships/hyperlink" Target="https://www-jstor-org.wwwproxy1.library.unsw.edu.au/stable/3595445?seq=1" TargetMode="External"/><Relationship Id="rId100" Type="http://schemas.openxmlformats.org/officeDocument/2006/relationships/hyperlink" Target="https://doi-org.wwwproxy1.library.unsw.edu.au/10.1016/j.ijer.2017.11.007" TargetMode="External"/><Relationship Id="rId105" Type="http://schemas.openxmlformats.org/officeDocument/2006/relationships/hyperlink" Target="https://journals.sagepub.com/doi/abs/10.1177/1469787408100193?journalCode=alha" TargetMode="External"/><Relationship Id="rId126" Type="http://schemas.openxmlformats.org/officeDocument/2006/relationships/hyperlink" Target="https://www.tandfonline.com/doi/full/10.1080/03075079.2019.1647411" TargetMode="External"/><Relationship Id="rId147" Type="http://schemas.openxmlformats.org/officeDocument/2006/relationships/customXml" Target="../customXml/item3.xml"/><Relationship Id="rId8" Type="http://schemas.openxmlformats.org/officeDocument/2006/relationships/footer" Target="footer1.xml"/><Relationship Id="rId51" Type="http://schemas.openxmlformats.org/officeDocument/2006/relationships/hyperlink" Target="https://www.tandfonline.com/doi/abs/10.1080/0309877X.2016.1224327" TargetMode="External"/><Relationship Id="rId72" Type="http://schemas.openxmlformats.org/officeDocument/2006/relationships/hyperlink" Target="https://www.semanticscholar.org/paper/Thriving-in-transition%3A-A-model-for-student-support-Harris-Barnett/f1859023272cf42a47de8909fb3b7871f4a6356f" TargetMode="External"/><Relationship Id="rId93" Type="http://schemas.openxmlformats.org/officeDocument/2006/relationships/hyperlink" Target="https://www.tandfonline.com/doi/abs/10.1080/07294360.2014.911250?journalCode=cher20" TargetMode="External"/><Relationship Id="rId98" Type="http://schemas.openxmlformats.org/officeDocument/2006/relationships/hyperlink" Target="https://www.tandfonline.com/doi/abs/10.1080/07294360.2010.487200" TargetMode="External"/><Relationship Id="rId121" Type="http://schemas.openxmlformats.org/officeDocument/2006/relationships/hyperlink" Target="https://www.tandfonline.com/doi/abs/10.1080/0309877042000206741" TargetMode="External"/><Relationship Id="rId142" Type="http://schemas.openxmlformats.org/officeDocument/2006/relationships/hyperlink" Target="https://journals.sagepub.com/doi/10.1177/2332858418782195" TargetMode="External"/><Relationship Id="rId3" Type="http://schemas.openxmlformats.org/officeDocument/2006/relationships/styles" Target="styles.xml"/><Relationship Id="rId25" Type="http://schemas.openxmlformats.org/officeDocument/2006/relationships/image" Target="media/image2.png"/><Relationship Id="rId46" Type="http://schemas.openxmlformats.org/officeDocument/2006/relationships/hyperlink" Target="https://doi.org/10.1080/00131857.2018.1561366" TargetMode="External"/><Relationship Id="rId67" Type="http://schemas.openxmlformats.org/officeDocument/2006/relationships/hyperlink" Target="https://www.ingentaconnect.com/contentone/ioep/clre/2009/00000007/00000002/art00008?crawler=true" TargetMode="External"/><Relationship Id="rId116" Type="http://schemas.openxmlformats.org/officeDocument/2006/relationships/image" Target="media/image7.png"/><Relationship Id="rId137" Type="http://schemas.openxmlformats.org/officeDocument/2006/relationships/hyperlink" Target="https://www.tandfonline.com/doi/abs/10.1080/13583883.2012.742557" TargetMode="External"/><Relationship Id="rId20" Type="http://schemas.openxmlformats.org/officeDocument/2006/relationships/hyperlink" Target="https://www.tandfonline.com/doi/abs/10.5172/ijpl.2012.7.1.41" TargetMode="External"/><Relationship Id="rId41" Type="http://schemas.openxmlformats.org/officeDocument/2006/relationships/hyperlink" Target="https://www.tandfonline.com/doi/abs/10.1080/03075079.2014.942271" TargetMode="External"/><Relationship Id="rId62" Type="http://schemas.openxmlformats.org/officeDocument/2006/relationships/hyperlink" Target="https://www.tandfonline.com/doi/abs/10.1080/03075079.2012.721351" TargetMode="External"/><Relationship Id="rId83" Type="http://schemas.openxmlformats.org/officeDocument/2006/relationships/hyperlink" Target="https://www.herdsa.org.au/herdsa-review-higher-education-vol-2/51-86" TargetMode="External"/><Relationship Id="rId88" Type="http://schemas.openxmlformats.org/officeDocument/2006/relationships/hyperlink" Target="https://www.researchgate.net/publication/316040114_Transition_through_immersion_in_HE_An_evaluation_of_how_a_transition_and_immersion_programme_for_school_pupils_embeds_a_culture_of_the_university_experience_for_key_stakeholders" TargetMode="External"/><Relationship Id="rId111" Type="http://schemas.openxmlformats.org/officeDocument/2006/relationships/hyperlink" Target="https://webarchive.nla.gov.au/awa/20100415091231/http://pandora.nla.gov.au/pan/122841/20161127-0002/www.aair.org.au/app/webroot/media/pdf/JIR/Journal+of+Institutional+Research+in+Australasia+and+JIR/Volume+9%2C+No.+1+May+2000/Peel.pdf" TargetMode="External"/><Relationship Id="rId132" Type="http://schemas.openxmlformats.org/officeDocument/2006/relationships/hyperlink" Target="https://link.springer.com/article/10.1007/s10734-016-0098-5" TargetMode="External"/><Relationship Id="rId15" Type="http://schemas.openxmlformats.org/officeDocument/2006/relationships/hyperlink" Target="https://journals.sagepub.com/doi/abs/10.1177/1474022217722433" TargetMode="External"/><Relationship Id="rId36" Type="http://schemas.openxmlformats.org/officeDocument/2006/relationships/hyperlink" Target="https://www.tandfonline.com/doi/abs/10.1080/01425692.2015.1073101?journalCode=cbse20" TargetMode="External"/><Relationship Id="rId57" Type="http://schemas.openxmlformats.org/officeDocument/2006/relationships/hyperlink" Target="https://www.tandfonline.com/doi/abs/10.1080/02660830.2013.11661642" TargetMode="External"/><Relationship Id="rId106" Type="http://schemas.openxmlformats.org/officeDocument/2006/relationships/hyperlink" Target="file://localhost/doi/10.1080:09518398.2013.771226" TargetMode="External"/><Relationship Id="rId127" Type="http://schemas.openxmlformats.org/officeDocument/2006/relationships/hyperlink" Target="https://studentsuccessjournal.org/article/view/458" TargetMode="External"/><Relationship Id="rId10" Type="http://schemas.openxmlformats.org/officeDocument/2006/relationships/hyperlink" Target="https://scholarworks.wmich.edu/books/15/" TargetMode="External"/><Relationship Id="rId31" Type="http://schemas.openxmlformats.org/officeDocument/2006/relationships/hyperlink" Target="https://link.springer.com/article/10.1007/s10734-008-9188-3" TargetMode="External"/><Relationship Id="rId52" Type="http://schemas.openxmlformats.org/officeDocument/2006/relationships/hyperlink" Target="https://www.tandfonline.com/doi/abs/10.1080/0309877X.2019.1614543?journalCode=cjfh20" TargetMode="External"/><Relationship Id="rId73" Type="http://schemas.openxmlformats.org/officeDocument/2006/relationships/hyperlink" Target="https://www.tandfonline.com/doi/abs/10.1080/13562517.2017.1414792" TargetMode="External"/><Relationship Id="rId78" Type="http://schemas.openxmlformats.org/officeDocument/2006/relationships/hyperlink" Target="https://link.springer.com/article/10.1007/s13384-011-0044-6" TargetMode="External"/><Relationship Id="rId94" Type="http://schemas.openxmlformats.org/officeDocument/2006/relationships/hyperlink" Target="https://www.tandfonline.com/doi/abs/10.1080/0309877X.2015.1100712?scroll=top&amp;needAccess=true&amp;journalCode=cjfh20" TargetMode="External"/><Relationship Id="rId99" Type="http://schemas.openxmlformats.org/officeDocument/2006/relationships/hyperlink" Target="https://www.tandfonline.com/doi/abs/10.1080/0309877X.2010.484057" TargetMode="External"/><Relationship Id="rId101" Type="http://schemas.openxmlformats.org/officeDocument/2006/relationships/hyperlink" Target="https://www.tandfonline.com/doi/abs/10.1080/07294360.2011.556108" TargetMode="External"/><Relationship Id="rId122" Type="http://schemas.openxmlformats.org/officeDocument/2006/relationships/hyperlink" Target="https://www.tandfonline.com/doi/abs/10.1080/13676260600983684" TargetMode="External"/><Relationship Id="rId143" Type="http://schemas.openxmlformats.org/officeDocument/2006/relationships/hyperlink" Target="https://www.tandfonline.com/doi/abs/10.1080/13676261.2012.744814" TargetMode="External"/><Relationship Id="rId148"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journals.sagepub.com/doi/full/10.1177/1474022216628303" TargetMode="External"/><Relationship Id="rId26" Type="http://schemas.openxmlformats.org/officeDocument/2006/relationships/hyperlink" Target="https://www.tandfonline.com/doi/abs/10.1080/07294360.2013.832157" TargetMode="External"/><Relationship Id="rId47" Type="http://schemas.openxmlformats.org/officeDocument/2006/relationships/hyperlink" Target="https://orbilu.uni.lu/handle/10993/12916" TargetMode="External"/><Relationship Id="rId68" Type="http://schemas.openxmlformats.org/officeDocument/2006/relationships/hyperlink" Target="https://doi.org/10.1080/03075079.2019.1691162" TargetMode="External"/><Relationship Id="rId89" Type="http://schemas.openxmlformats.org/officeDocument/2006/relationships/hyperlink" Target="https://link.springer.com/article/10.1007/s10734-012-9595-3" TargetMode="External"/><Relationship Id="rId112" Type="http://schemas.openxmlformats.org/officeDocument/2006/relationships/hyperlink" Target="https://fyhejournal.com/article/view/190.html" TargetMode="External"/><Relationship Id="rId133" Type="http://schemas.openxmlformats.org/officeDocument/2006/relationships/hyperlink" Target="https://www.tandfonline.com/doi/abs/10.1080/02602938.2018.1524000?journalCode=caeh20" TargetMode="External"/><Relationship Id="rId16" Type="http://schemas.openxmlformats.org/officeDocument/2006/relationships/hyperlink" Target="https://www.tandfonline.com/doi/full/10.1080/0158037X.2019.1683533" TargetMode="External"/><Relationship Id="rId37" Type="http://schemas.openxmlformats.org/officeDocument/2006/relationships/hyperlink" Target="https://www.tandfonline.com/doi/abs/10.1080/01425690802700123" TargetMode="External"/><Relationship Id="rId58" Type="http://schemas.openxmlformats.org/officeDocument/2006/relationships/hyperlink" Target="https://papers.uab.cat/article/view/v79-furlong-cartmel-biggart/pdf-en" TargetMode="External"/><Relationship Id="rId79" Type="http://schemas.openxmlformats.org/officeDocument/2006/relationships/hyperlink" Target="https://www.tandfonline.com/doi/abs/10.1080/0309877X.2017.1323195?journalCode=cjfh20" TargetMode="External"/><Relationship Id="rId102" Type="http://schemas.openxmlformats.org/officeDocument/2006/relationships/hyperlink" Target="https://www.tandfonline.com/doi/abs/10.1080/13562517.2016.1221810?journalCode=cthe20" TargetMode="External"/><Relationship Id="rId123" Type="http://schemas.openxmlformats.org/officeDocument/2006/relationships/hyperlink" Target="https://journals.sagepub.com/doi/abs/10.1177/1474022214531502" TargetMode="External"/><Relationship Id="rId14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6B731A94F1FC749A8D3460CFAC3CB2B" ma:contentTypeVersion="10" ma:contentTypeDescription="Create a new document." ma:contentTypeScope="" ma:versionID="76c0f3b379f65b0721248850c442cef6">
  <xsd:schema xmlns:xsd="http://www.w3.org/2001/XMLSchema" xmlns:xs="http://www.w3.org/2001/XMLSchema" xmlns:p="http://schemas.microsoft.com/office/2006/metadata/properties" xmlns:ns2="d029d9bc-3817-44f0-8f4f-1c8996818aa5" targetNamespace="http://schemas.microsoft.com/office/2006/metadata/properties" ma:root="true" ma:fieldsID="e3eb59e7cb470d08bb9f0bb01f22cba6" ns2:_="">
    <xsd:import namespace="d029d9bc-3817-44f0-8f4f-1c8996818aa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29d9bc-3817-44f0-8f4f-1c8996818a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CEDC3BD-4416-7045-B77D-DA0C1900BFFE}">
  <ds:schemaRefs>
    <ds:schemaRef ds:uri="http://schemas.openxmlformats.org/officeDocument/2006/bibliography"/>
  </ds:schemaRefs>
</ds:datastoreItem>
</file>

<file path=customXml/itemProps2.xml><?xml version="1.0" encoding="utf-8"?>
<ds:datastoreItem xmlns:ds="http://schemas.openxmlformats.org/officeDocument/2006/customXml" ds:itemID="{D92CE573-1A04-44BF-990F-AE3FAE481456}"/>
</file>

<file path=customXml/itemProps3.xml><?xml version="1.0" encoding="utf-8"?>
<ds:datastoreItem xmlns:ds="http://schemas.openxmlformats.org/officeDocument/2006/customXml" ds:itemID="{7FD63EAA-6ECB-41ED-A68A-B89187D34891}"/>
</file>

<file path=customXml/itemProps4.xml><?xml version="1.0" encoding="utf-8"?>
<ds:datastoreItem xmlns:ds="http://schemas.openxmlformats.org/officeDocument/2006/customXml" ds:itemID="{A0CD6F8E-34D0-4124-BBB7-E45407123BBD}"/>
</file>

<file path=docProps/app.xml><?xml version="1.0" encoding="utf-8"?>
<Properties xmlns="http://schemas.openxmlformats.org/officeDocument/2006/extended-properties" xmlns:vt="http://schemas.openxmlformats.org/officeDocument/2006/docPropsVTypes">
  <Template>Normal.dotm</Template>
  <TotalTime>795</TotalTime>
  <Pages>144</Pages>
  <Words>65248</Words>
  <Characters>371915</Characters>
  <Application>Microsoft Office Word</Application>
  <DocSecurity>0</DocSecurity>
  <Lines>3099</Lines>
  <Paragraphs>872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Baker</dc:creator>
  <cp:keywords/>
  <dc:description/>
  <cp:lastModifiedBy>Sally Baker</cp:lastModifiedBy>
  <cp:revision>23</cp:revision>
  <cp:lastPrinted>2020-04-26T05:22:00Z</cp:lastPrinted>
  <dcterms:created xsi:type="dcterms:W3CDTF">2020-02-24T09:05:00Z</dcterms:created>
  <dcterms:modified xsi:type="dcterms:W3CDTF">2020-05-09T23:47:00Z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0x01010026B731A94F1FC749A8D3460CFAC3CB2B</vt:lpwstr>
  </property>
</Properties>
</file>