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C2ACE" w14:textId="60297E05" w:rsidR="006C71AB" w:rsidRPr="009E630F" w:rsidRDefault="006C71AB" w:rsidP="006C71AB">
      <w:pPr>
        <w:jc w:val="center"/>
        <w:rPr>
          <w:rFonts w:ascii="Gill Sans MT" w:hAnsi="Gill Sans MT"/>
        </w:rPr>
      </w:pPr>
    </w:p>
    <w:p w14:paraId="3E630CBC" w14:textId="77777777" w:rsidR="006C71AB" w:rsidRPr="009E630F" w:rsidRDefault="006C71AB" w:rsidP="006C71AB">
      <w:pPr>
        <w:jc w:val="center"/>
        <w:rPr>
          <w:rFonts w:ascii="Gill Sans MT" w:hAnsi="Gill Sans MT"/>
        </w:rPr>
      </w:pPr>
    </w:p>
    <w:p w14:paraId="78EC5159" w14:textId="5F288F0E" w:rsidR="006C71AB" w:rsidRPr="009E630F" w:rsidRDefault="004347D3" w:rsidP="006C71AB">
      <w:pPr>
        <w:pStyle w:val="Heading3"/>
        <w:numPr>
          <w:ilvl w:val="0"/>
          <w:numId w:val="0"/>
        </w:numPr>
        <w:spacing w:before="0" w:line="240" w:lineRule="auto"/>
        <w:ind w:left="720" w:hanging="720"/>
        <w:jc w:val="center"/>
        <w:rPr>
          <w:rFonts w:ascii="Gill Sans MT" w:hAnsi="Gill Sans MT"/>
          <w:sz w:val="24"/>
        </w:rPr>
      </w:pPr>
      <w:r w:rsidRPr="009E630F">
        <w:rPr>
          <w:rFonts w:ascii="Gill Sans MT" w:hAnsi="Gill Sans MT"/>
          <w:sz w:val="24"/>
        </w:rPr>
        <w:t xml:space="preserve">Reviews of </w:t>
      </w:r>
      <w:r w:rsidR="00CE1401">
        <w:rPr>
          <w:rFonts w:ascii="Gill Sans MT" w:hAnsi="Gill Sans MT"/>
          <w:sz w:val="24"/>
        </w:rPr>
        <w:t>E</w:t>
      </w:r>
      <w:r w:rsidRPr="009E630F">
        <w:rPr>
          <w:rFonts w:ascii="Gill Sans MT" w:hAnsi="Gill Sans MT"/>
          <w:sz w:val="24"/>
        </w:rPr>
        <w:t xml:space="preserve">quity/ </w:t>
      </w:r>
      <w:r w:rsidR="00CE1401">
        <w:rPr>
          <w:rFonts w:ascii="Gill Sans MT" w:hAnsi="Gill Sans MT"/>
          <w:sz w:val="24"/>
        </w:rPr>
        <w:t>W</w:t>
      </w:r>
      <w:r w:rsidRPr="009E630F">
        <w:rPr>
          <w:rFonts w:ascii="Gill Sans MT" w:hAnsi="Gill Sans MT"/>
          <w:sz w:val="24"/>
        </w:rPr>
        <w:t xml:space="preserve">idening </w:t>
      </w:r>
      <w:r w:rsidR="00CE1401">
        <w:rPr>
          <w:rFonts w:ascii="Gill Sans MT" w:hAnsi="Gill Sans MT"/>
          <w:sz w:val="24"/>
        </w:rPr>
        <w:t>P</w:t>
      </w:r>
      <w:r w:rsidRPr="009E630F">
        <w:rPr>
          <w:rFonts w:ascii="Gill Sans MT" w:hAnsi="Gill Sans MT"/>
          <w:sz w:val="24"/>
        </w:rPr>
        <w:t>articipation</w:t>
      </w:r>
      <w:r w:rsidR="007F00F1" w:rsidRPr="009E630F">
        <w:rPr>
          <w:rFonts w:ascii="Gill Sans MT" w:hAnsi="Gill Sans MT"/>
          <w:sz w:val="24"/>
        </w:rPr>
        <w:t xml:space="preserve"> in Australia</w:t>
      </w:r>
    </w:p>
    <w:p w14:paraId="1CF9C75C" w14:textId="77777777" w:rsidR="006C71AB" w:rsidRPr="009E630F" w:rsidRDefault="006C71AB" w:rsidP="006C71AB">
      <w:pPr>
        <w:jc w:val="center"/>
        <w:rPr>
          <w:rFonts w:ascii="Gill Sans MT" w:hAnsi="Gill Sans MT"/>
          <w:sz w:val="24"/>
        </w:rPr>
      </w:pPr>
      <w:r w:rsidRPr="009E630F">
        <w:rPr>
          <w:rFonts w:ascii="Gill Sans MT" w:hAnsi="Gill Sans MT"/>
          <w:sz w:val="24"/>
        </w:rPr>
        <w:t>Literature review</w:t>
      </w:r>
    </w:p>
    <w:p w14:paraId="1B8F5CCF" w14:textId="77777777" w:rsidR="00DA21C4" w:rsidRPr="009E630F" w:rsidRDefault="00DA21C4" w:rsidP="006C71AB">
      <w:pPr>
        <w:jc w:val="center"/>
        <w:rPr>
          <w:rFonts w:ascii="Gill Sans MT" w:hAnsi="Gill Sans MT"/>
        </w:rPr>
      </w:pPr>
    </w:p>
    <w:p w14:paraId="41C3AAE0" w14:textId="41142E1A" w:rsidR="00DA21C4" w:rsidRPr="009E630F" w:rsidRDefault="00DA21C4" w:rsidP="00DA21C4">
      <w:pPr>
        <w:jc w:val="both"/>
        <w:rPr>
          <w:rFonts w:ascii="Gill Sans MT" w:hAnsi="Gill Sans MT"/>
          <w:color w:val="000000"/>
          <w:szCs w:val="22"/>
          <w:lang w:val="en-AU"/>
        </w:rPr>
      </w:pPr>
      <w:r w:rsidRPr="009E630F">
        <w:rPr>
          <w:rFonts w:ascii="Gill Sans MT" w:hAnsi="Gill Sans MT"/>
        </w:rPr>
        <w:t xml:space="preserve">There is a body of work that traces the history, evolution and development of equity in Australian higher education policy. The work of </w:t>
      </w:r>
      <w:r w:rsidRPr="009E630F">
        <w:rPr>
          <w:rFonts w:ascii="Gill Sans MT" w:hAnsi="Gill Sans MT"/>
          <w:lang w:val="en-US"/>
        </w:rPr>
        <w:t>Gale &amp; Tranter (2011) was very useful in this regard, presenting a h</w:t>
      </w:r>
      <w:proofErr w:type="spellStart"/>
      <w:r w:rsidRPr="009E630F">
        <w:rPr>
          <w:rFonts w:ascii="Gill Sans MT" w:hAnsi="Gill Sans MT"/>
          <w:color w:val="000000"/>
          <w:szCs w:val="22"/>
          <w:lang w:val="en-AU"/>
        </w:rPr>
        <w:t>istoric</w:t>
      </w:r>
      <w:proofErr w:type="spellEnd"/>
      <w:r w:rsidRPr="009E630F">
        <w:rPr>
          <w:rFonts w:ascii="Gill Sans MT" w:hAnsi="Gill Sans MT"/>
          <w:color w:val="000000"/>
          <w:szCs w:val="22"/>
          <w:lang w:val="en-AU"/>
        </w:rPr>
        <w:t xml:space="preserve"> overview of Australian higher education through the lens of equity/ social justice as well as tracing how higher policy is shaped by (and shapes) social and economic drivers, policies and social justice intentions. Their exploration of the evolution of Australian higher education highlights how little is known about higher education prior to World War II, other than noting the establishment of state capital universities from 1850 (the University of Sydney) onwards. There has been a marked increase in the number of students entering higher education, growing from 15,600 students studying in seven universities in 1945 to 1,373, 230 students (domestic and international) in 2014 (Australian Government, 2016). There have been several policy drivers behind these increased numbers, which can broadly be categorised under neoliberal and social justice imperatives.</w:t>
      </w:r>
    </w:p>
    <w:p w14:paraId="0A7F20A1" w14:textId="77777777" w:rsidR="00DA21C4" w:rsidRPr="009E630F" w:rsidRDefault="00DA21C4" w:rsidP="00DA21C4">
      <w:pPr>
        <w:rPr>
          <w:rFonts w:ascii="Gill Sans MT" w:hAnsi="Gill Sans MT"/>
          <w:color w:val="000000"/>
          <w:szCs w:val="22"/>
          <w:lang w:val="en-AU"/>
        </w:rPr>
      </w:pPr>
    </w:p>
    <w:p w14:paraId="404F8EA2" w14:textId="77777777" w:rsidR="00BA55C8" w:rsidRPr="009E630F" w:rsidRDefault="00BA55C8" w:rsidP="00BA55C8">
      <w:pPr>
        <w:jc w:val="both"/>
        <w:rPr>
          <w:rFonts w:ascii="Gill Sans MT" w:hAnsi="Gill Sans MT"/>
          <w:color w:val="000000"/>
          <w:szCs w:val="22"/>
          <w:lang w:val="en-AU"/>
        </w:rPr>
      </w:pPr>
      <w:r w:rsidRPr="009E630F">
        <w:rPr>
          <w:rFonts w:ascii="Gill Sans MT" w:hAnsi="Gill Sans MT"/>
          <w:color w:val="000000"/>
          <w:szCs w:val="22"/>
          <w:lang w:val="en-AU"/>
        </w:rPr>
        <w:t>However, as discussed later, the growth in student numbers – and the project of widening participation – has been achieved through increases in both under-represented student groups and from the ‘traditional’ audience of higher education – the middle and upper classes. According to Gale &amp; Tranter (2011), this has resulted in a situation whereby “equity in higher education has now become as much a matter of economic necessity as a matter of social justice” (p.32). The ties between education and the economy were first made explicit in the Dawkins reforms of the late 1980s, which</w:t>
      </w:r>
      <w:r w:rsidRPr="009E630F">
        <w:rPr>
          <w:rFonts w:ascii="Gill Sans MT" w:hAnsi="Gill Sans MT"/>
          <w:color w:val="000000"/>
          <w:szCs w:val="22"/>
        </w:rPr>
        <w:t xml:space="preserve"> “injected neoliberal logic into every sector of the education system” (Connell, 2013b: 104). The two major advances in the Dawkins reforms - the creation of the unified system (resulting from the merging of universities and Colleges of Advanced Education) and the introduction of the Higher Education Contribution Scheme (HECS) – foregrounded the individual benefits of higher education as a way of justifying the passing part of the financial responsibility for funding higher education to the student. As Gale &amp; Tranter (2011) surmise, </w:t>
      </w:r>
      <w:r w:rsidRPr="009E630F">
        <w:rPr>
          <w:rFonts w:ascii="Gill Sans MT" w:hAnsi="Gill Sans MT"/>
          <w:color w:val="000000"/>
          <w:szCs w:val="22"/>
          <w:lang w:val="en-AU"/>
        </w:rPr>
        <w:t xml:space="preserve">the “private gains of higher education became paramount in policy discourse, replacing the previous emphasis on the overall public good” (p.36). This opened space for neoliberal discourses and practices to spread throughout the sector, with the subsequent Howard government making further cuts to public spending (in the form of a reduced threshold and increased student contributions) on the basis that both industry and individuals profited (see </w:t>
      </w:r>
      <w:proofErr w:type="spellStart"/>
      <w:r w:rsidRPr="009E630F">
        <w:rPr>
          <w:rFonts w:ascii="Gill Sans MT" w:hAnsi="Gill Sans MT"/>
          <w:color w:val="000000"/>
          <w:szCs w:val="22"/>
          <w:lang w:val="en-AU"/>
        </w:rPr>
        <w:t>Marginson</w:t>
      </w:r>
      <w:proofErr w:type="spellEnd"/>
      <w:r w:rsidRPr="009E630F">
        <w:rPr>
          <w:rFonts w:ascii="Gill Sans MT" w:hAnsi="Gill Sans MT"/>
          <w:color w:val="000000"/>
          <w:szCs w:val="22"/>
          <w:lang w:val="en-AU"/>
        </w:rPr>
        <w:t>, 2004 for detailed discussion). The market-gain arguments for diminishing public contribution to the project of higher education have continued through subsequent governments to the present day.</w:t>
      </w:r>
    </w:p>
    <w:p w14:paraId="471FC095" w14:textId="77777777" w:rsidR="00BA55C8" w:rsidRPr="009E630F" w:rsidRDefault="00BA55C8" w:rsidP="00BA55C8">
      <w:pPr>
        <w:jc w:val="both"/>
        <w:rPr>
          <w:rFonts w:ascii="Gill Sans MT" w:hAnsi="Gill Sans MT"/>
          <w:color w:val="000000"/>
          <w:szCs w:val="22"/>
          <w:lang w:val="en-AU"/>
        </w:rPr>
      </w:pPr>
    </w:p>
    <w:p w14:paraId="282BE4E7" w14:textId="6C13B394" w:rsidR="00BA55C8" w:rsidRPr="009E630F" w:rsidRDefault="00BA55C8" w:rsidP="00BA55C8">
      <w:pPr>
        <w:jc w:val="both"/>
        <w:rPr>
          <w:rFonts w:ascii="Gill Sans MT" w:hAnsi="Gill Sans MT"/>
          <w:lang w:val="en-US"/>
        </w:rPr>
      </w:pPr>
      <w:r w:rsidRPr="009E630F">
        <w:rPr>
          <w:rFonts w:ascii="Gill Sans MT" w:hAnsi="Gill Sans MT"/>
          <w:color w:val="000000"/>
          <w:szCs w:val="22"/>
          <w:lang w:val="en-AU"/>
        </w:rPr>
        <w:t>However, despite neoliberal discourses and the push of responsibility to the individual proliferating over nearly three decades, the focus on equity and widening participation has remained constant, albeit in part because of the economic imperative to widen participation to contribute to Australia’s future economic growth and productivity. The Dawkins reforms may have opened the door to the neoliberal forces that have continued to shape higher education for over two decades, but they also formally identified six social groups were/are under-represented in university study</w:t>
      </w:r>
      <w:r w:rsidRPr="009E630F">
        <w:rPr>
          <w:rStyle w:val="FootnoteReference"/>
          <w:rFonts w:ascii="Gill Sans MT" w:hAnsi="Gill Sans MT"/>
          <w:color w:val="000000"/>
          <w:szCs w:val="22"/>
          <w:lang w:val="en-AU"/>
        </w:rPr>
        <w:footnoteReference w:id="1"/>
      </w:r>
      <w:r w:rsidRPr="009E630F">
        <w:rPr>
          <w:rFonts w:ascii="Gill Sans MT" w:hAnsi="Gill Sans MT"/>
          <w:color w:val="000000"/>
          <w:szCs w:val="22"/>
          <w:lang w:val="en-AU"/>
        </w:rPr>
        <w:t xml:space="preserve">. This identification named, and therefore inscribed in policy and funding, a need to focus attention of opening access (as opposed to increasing numbers) for groups who had been traditionally less likely to seek entrance to higher education. However, since their inscription in policy in 1990, these six equity groups have remained ‘the’ equity groups, albeit with a narrowed focus to three groups (low SES, </w:t>
      </w:r>
      <w:r w:rsidRPr="009E630F">
        <w:rPr>
          <w:rFonts w:ascii="Gill Sans MT" w:hAnsi="Gill Sans MT"/>
          <w:color w:val="000000"/>
          <w:szCs w:val="22"/>
          <w:lang w:val="en-AU"/>
        </w:rPr>
        <w:lastRenderedPageBreak/>
        <w:t xml:space="preserve">Indigenous and rural and remote students), on the basis that women, NESB and people with disabilities had showed improved participation rates by 2002. Other ‘equity’ groups have also been suggested, for example men in non-traditional areas was a suggested group in the Nelson review of 2002; however, as </w:t>
      </w:r>
      <w:r w:rsidRPr="009E630F">
        <w:rPr>
          <w:rFonts w:ascii="Gill Sans MT" w:hAnsi="Gill Sans MT"/>
        </w:rPr>
        <w:t>Harvey, Andrewartha &amp; McNamara (2015) note, “</w:t>
      </w:r>
      <w:r w:rsidRPr="009E630F">
        <w:rPr>
          <w:rFonts w:ascii="Gill Sans MT" w:hAnsi="Gill Sans MT"/>
          <w:lang w:val="en-US"/>
        </w:rPr>
        <w:t>Remarkably, there has been little change to the groups in the 25 years since they were first canvassed” (p.185). This, it is argued, ill-reflects the changing needs and profile of an increasingly diverse and multicultural Australian society. Coates &amp; Krause (2005) examined the options for identifying new equity groups based on a review of ten years of equity data and found that the existing ways of collecting data were prohibitive for identifying new groups. They found that summative</w:t>
      </w:r>
      <w:r w:rsidRPr="009E630F">
        <w:rPr>
          <w:rFonts w:ascii="Gill Sans MT" w:hAnsi="Gill Sans MT"/>
          <w:color w:val="000000"/>
          <w:szCs w:val="22"/>
          <w:lang w:val="en-AU"/>
        </w:rPr>
        <w:t xml:space="preserve"> and diagnostic</w:t>
      </w:r>
      <w:r w:rsidRPr="009E630F">
        <w:rPr>
          <w:rFonts w:ascii="Gill Sans MT" w:hAnsi="Gill Sans MT"/>
          <w:lang w:val="en-US"/>
        </w:rPr>
        <w:t xml:space="preserve"> roles </w:t>
      </w:r>
      <w:r w:rsidRPr="009E630F">
        <w:rPr>
          <w:rFonts w:ascii="Gill Sans MT" w:hAnsi="Gill Sans MT"/>
          <w:color w:val="000000"/>
          <w:szCs w:val="22"/>
          <w:lang w:val="en-AU"/>
        </w:rPr>
        <w:t>of performance indicators</w:t>
      </w:r>
      <w:r w:rsidRPr="009E630F">
        <w:rPr>
          <w:rFonts w:ascii="Gill Sans MT" w:hAnsi="Gill Sans MT"/>
          <w:lang w:val="en-US"/>
        </w:rPr>
        <w:t xml:space="preserve"> </w:t>
      </w:r>
      <w:r w:rsidRPr="009E630F">
        <w:rPr>
          <w:rFonts w:ascii="Gill Sans MT" w:hAnsi="Gill Sans MT"/>
          <w:color w:val="000000"/>
          <w:szCs w:val="22"/>
          <w:lang w:val="en-AU"/>
        </w:rPr>
        <w:t>(which produce a picture of performance of higher education) are often in conflict, as the need for generalisability at the national/systemic level does not always help institutions to be locally responsive and vice versa.</w:t>
      </w:r>
    </w:p>
    <w:p w14:paraId="36F9446A" w14:textId="77777777" w:rsidR="00BA55C8" w:rsidRPr="009E630F" w:rsidRDefault="00BA55C8" w:rsidP="00BA55C8">
      <w:pPr>
        <w:jc w:val="both"/>
        <w:rPr>
          <w:rFonts w:ascii="Gill Sans MT" w:hAnsi="Gill Sans MT"/>
          <w:lang w:val="en-US"/>
        </w:rPr>
      </w:pPr>
    </w:p>
    <w:p w14:paraId="13C26FD3" w14:textId="77777777" w:rsidR="00BA55C8" w:rsidRPr="009E630F" w:rsidRDefault="00BA55C8" w:rsidP="00BA55C8">
      <w:pPr>
        <w:jc w:val="both"/>
        <w:rPr>
          <w:rFonts w:ascii="Gill Sans MT" w:hAnsi="Gill Sans MT"/>
          <w:sz w:val="23"/>
          <w:szCs w:val="23"/>
        </w:rPr>
      </w:pPr>
      <w:r w:rsidRPr="009E630F">
        <w:rPr>
          <w:rFonts w:ascii="Gill Sans MT" w:hAnsi="Gill Sans MT"/>
          <w:lang w:val="en-US"/>
        </w:rPr>
        <w:t>In their 2015 paper, Whitty &amp; Clements (2015) examine efforts to widen access to higher education in the UK and Australia from the dual lenses of q</w:t>
      </w:r>
      <w:proofErr w:type="spellStart"/>
      <w:r w:rsidRPr="009E630F">
        <w:rPr>
          <w:rFonts w:ascii="Gill Sans MT" w:hAnsi="Gill Sans MT"/>
          <w:color w:val="000000"/>
          <w:szCs w:val="22"/>
          <w:lang w:val="en-AU"/>
        </w:rPr>
        <w:t>uantitative</w:t>
      </w:r>
      <w:proofErr w:type="spellEnd"/>
      <w:r w:rsidRPr="009E630F">
        <w:rPr>
          <w:rFonts w:ascii="Gill Sans MT" w:hAnsi="Gill Sans MT"/>
          <w:color w:val="000000"/>
          <w:szCs w:val="22"/>
          <w:lang w:val="en-AU"/>
        </w:rPr>
        <w:t xml:space="preserve"> and qualitative inequality. Quantitative inequality examines inequity at the level of how participation and access are measured, with </w:t>
      </w:r>
      <w:r w:rsidRPr="009E630F">
        <w:rPr>
          <w:rFonts w:ascii="Gill Sans MT" w:hAnsi="Gill Sans MT"/>
          <w:sz w:val="23"/>
          <w:szCs w:val="23"/>
        </w:rPr>
        <w:t>‘Maximally Maintained Inequality’ leading to saturation from ‘traditional’ sources of students [see also, Pitman, 2015; Gidley et al. 2010). ‘Qualitative inequality’</w:t>
      </w:r>
      <w:r w:rsidRPr="009E630F">
        <w:rPr>
          <w:rFonts w:ascii="Gill Sans MT" w:hAnsi="Gill Sans MT"/>
          <w:color w:val="000000"/>
          <w:szCs w:val="22"/>
          <w:lang w:val="en-AU"/>
        </w:rPr>
        <w:t>, on the other hand, can be explained by the theory of ‘</w:t>
      </w:r>
      <w:r w:rsidRPr="009E630F">
        <w:rPr>
          <w:rFonts w:ascii="Gill Sans MT" w:hAnsi="Gill Sans MT"/>
          <w:sz w:val="23"/>
          <w:szCs w:val="23"/>
        </w:rPr>
        <w:t xml:space="preserve">Effectively Maintained Inequality’, whereby the more privileged look for new ways to enhance advantage (see also the argument made by Marginson, 2004, 2011 about wealthy Australians seeking to maintain their positional advantage by attending high ranking foreign universities). Gale &amp; Parker (2013) take a similar view, arguing that </w:t>
      </w:r>
      <w:r w:rsidRPr="009E630F">
        <w:rPr>
          <w:rFonts w:ascii="Gill Sans MT" w:hAnsi="Gill Sans MT"/>
          <w:color w:val="000000"/>
          <w:szCs w:val="22"/>
          <w:lang w:val="en-AU"/>
        </w:rPr>
        <w:t>despite equity being on the agenda for two decades, questions are still “</w:t>
      </w:r>
      <w:r w:rsidRPr="009E630F">
        <w:rPr>
          <w:rFonts w:ascii="Gill Sans MT" w:hAnsi="Gill Sans MT"/>
          <w:color w:val="000000"/>
          <w:szCs w:val="22"/>
          <w:lang w:val="en-US"/>
        </w:rPr>
        <w:t>emerging about its usefulness in pursuing social justice in HE into the future. The concerns are with both the quantitative and qualitative aspects of equity” (p.59)</w:t>
      </w:r>
    </w:p>
    <w:p w14:paraId="2548B8E9" w14:textId="77777777" w:rsidR="00BA55C8" w:rsidRPr="009E630F" w:rsidRDefault="00BA55C8" w:rsidP="00BA55C8">
      <w:pPr>
        <w:jc w:val="both"/>
        <w:rPr>
          <w:rFonts w:ascii="Gill Sans MT" w:hAnsi="Gill Sans MT"/>
          <w:lang w:val="en-US"/>
        </w:rPr>
      </w:pPr>
    </w:p>
    <w:p w14:paraId="71EA9284" w14:textId="77777777" w:rsidR="00BA55C8" w:rsidRPr="009E630F" w:rsidRDefault="00BA55C8" w:rsidP="00BA55C8">
      <w:pPr>
        <w:jc w:val="both"/>
        <w:rPr>
          <w:rFonts w:ascii="Gill Sans MT" w:hAnsi="Gill Sans MT"/>
          <w:lang w:val="en-US"/>
        </w:rPr>
      </w:pPr>
      <w:r w:rsidRPr="009E630F">
        <w:rPr>
          <w:rFonts w:ascii="Gill Sans MT" w:hAnsi="Gill Sans MT"/>
          <w:lang w:val="en-US"/>
        </w:rPr>
        <w:t xml:space="preserve">An alternative approach to reviewing equity in higher education takes a different approach. </w:t>
      </w:r>
    </w:p>
    <w:p w14:paraId="4F03C3EB" w14:textId="77777777" w:rsidR="00BA55C8" w:rsidRPr="009E630F" w:rsidRDefault="00BA55C8" w:rsidP="00BA55C8">
      <w:pPr>
        <w:jc w:val="both"/>
        <w:rPr>
          <w:rFonts w:ascii="Gill Sans MT" w:hAnsi="Gill Sans MT"/>
          <w:color w:val="000000"/>
          <w:szCs w:val="22"/>
          <w:lang w:val="en-US"/>
        </w:rPr>
      </w:pPr>
      <w:r w:rsidRPr="009E630F">
        <w:rPr>
          <w:rFonts w:ascii="Gill Sans MT" w:hAnsi="Gill Sans MT"/>
          <w:lang w:val="en-US"/>
        </w:rPr>
        <w:t xml:space="preserve">Lamb et al. (2015) examined the </w:t>
      </w:r>
      <w:r w:rsidRPr="009E630F">
        <w:rPr>
          <w:rFonts w:ascii="Gill Sans MT" w:hAnsi="Gill Sans MT"/>
          <w:color w:val="000000"/>
          <w:szCs w:val="22"/>
          <w:lang w:val="en-AU"/>
        </w:rPr>
        <w:t>notion of Australia as a fair and egalitarian society through the opportunities available to different social groups at four milestones in contemporary education system. The milestones used as points of measurement are</w:t>
      </w:r>
      <w:r w:rsidRPr="009E630F">
        <w:rPr>
          <w:rFonts w:ascii="Gill Sans MT" w:hAnsi="Gill Sans MT"/>
          <w:color w:val="000000"/>
          <w:szCs w:val="22"/>
          <w:lang w:val="en-US"/>
        </w:rPr>
        <w:t>: early years (children who as ‘developmentally ready’ at start of school), middle years (Year 7 children), senior school years (completers of HSC/ Year 12), and early adulthood (24 year olds in education, training or work). Lamb et al. (2015) measured opportunities across five domains: physical health and wellbeing, social competence, emotional maturity, language and cognitive skills, and communication skills. The major findings include the figure that, on average, 78% of students ‘succeed at milestones’, meaning a quarter do not, with boys more likely than girls to miss milestones (by 1.82 times). In terms of opportunities by equity groups, Indigenous students are 2.07 times more likely to miss out on milestones and low SES students are 2.08 times more likely to miss out on milestones. The authors attribute these sizeable differences to school readiness in the first milestone, and call for better quality of early childcare for low SES areas so as to address the opportunity gaps for low SES and Indigenous communities. Lamb et al. (2015) describe current childcare provision as a ‘game of chance’ because it serves needs of parents rather than meeting the rights of the child to learn and be supported. Moreover, Lamb et al. argue that governments should fund public schooling accordingly to ameliorate intergenerational disadvantage and policies need to consider contextual/ environmental factors.</w:t>
      </w:r>
    </w:p>
    <w:p w14:paraId="5E7FF2D9" w14:textId="77777777" w:rsidR="00BA55C8" w:rsidRPr="009E630F" w:rsidRDefault="00BA55C8" w:rsidP="00BA55C8">
      <w:pPr>
        <w:jc w:val="both"/>
        <w:rPr>
          <w:rFonts w:ascii="Gill Sans MT" w:hAnsi="Gill Sans MT"/>
          <w:color w:val="000000"/>
          <w:szCs w:val="22"/>
          <w:lang w:val="en-US"/>
        </w:rPr>
      </w:pPr>
    </w:p>
    <w:p w14:paraId="6D945EEC" w14:textId="77777777" w:rsidR="00BA55C8" w:rsidRPr="009E630F" w:rsidRDefault="00BA55C8" w:rsidP="00BA55C8">
      <w:pPr>
        <w:jc w:val="both"/>
        <w:rPr>
          <w:rFonts w:ascii="Gill Sans MT" w:hAnsi="Gill Sans MT"/>
          <w:b/>
          <w:color w:val="000000"/>
          <w:szCs w:val="22"/>
          <w:lang w:val="en-US"/>
        </w:rPr>
      </w:pPr>
      <w:r w:rsidRPr="009E630F">
        <w:rPr>
          <w:rFonts w:ascii="Gill Sans MT" w:hAnsi="Gill Sans MT"/>
          <w:b/>
          <w:color w:val="000000"/>
          <w:szCs w:val="22"/>
          <w:lang w:val="en-US"/>
        </w:rPr>
        <w:t>References</w:t>
      </w:r>
    </w:p>
    <w:p w14:paraId="700A79BE" w14:textId="77777777" w:rsidR="00BA55C8" w:rsidRPr="009E630F" w:rsidRDefault="00BA55C8" w:rsidP="00BA55C8">
      <w:pPr>
        <w:ind w:left="720" w:hanging="720"/>
        <w:rPr>
          <w:rFonts w:ascii="Gill Sans MT" w:hAnsi="Gill Sans MT"/>
        </w:rPr>
      </w:pPr>
      <w:r w:rsidRPr="009E630F">
        <w:rPr>
          <w:rFonts w:ascii="Gill Sans MT" w:hAnsi="Gill Sans MT"/>
        </w:rPr>
        <w:t xml:space="preserve">Coates, H. &amp; Krause, K.L. (2005). Investigating Ten Years of Equity Policy in Australian Higher Education. </w:t>
      </w:r>
      <w:r w:rsidRPr="009E630F">
        <w:rPr>
          <w:rFonts w:ascii="Gill Sans MT" w:hAnsi="Gill Sans MT"/>
          <w:i/>
        </w:rPr>
        <w:t xml:space="preserve">Journal of Higher Education Policy and Management, </w:t>
      </w:r>
      <w:r w:rsidRPr="009E630F">
        <w:rPr>
          <w:rFonts w:ascii="Gill Sans MT" w:hAnsi="Gill Sans MT"/>
        </w:rPr>
        <w:t>27(1): 35-47.</w:t>
      </w:r>
    </w:p>
    <w:p w14:paraId="5CED7185" w14:textId="77777777" w:rsidR="00BA55C8" w:rsidRPr="009E630F" w:rsidRDefault="00BA55C8" w:rsidP="00BA55C8">
      <w:pPr>
        <w:ind w:left="720" w:hanging="720"/>
        <w:rPr>
          <w:rFonts w:ascii="Gill Sans MT" w:hAnsi="Gill Sans MT"/>
        </w:rPr>
      </w:pPr>
      <w:r w:rsidRPr="009E630F">
        <w:rPr>
          <w:rFonts w:ascii="Gill Sans MT" w:hAnsi="Gill Sans MT"/>
        </w:rPr>
        <w:t xml:space="preserve">Connell, R. (2013b). The neoliberal cascade and education: an essay on the market agenda and its consequences. </w:t>
      </w:r>
      <w:r w:rsidRPr="009E630F">
        <w:rPr>
          <w:rFonts w:ascii="Gill Sans MT" w:hAnsi="Gill Sans MT"/>
          <w:i/>
        </w:rPr>
        <w:t xml:space="preserve">Critical Studies in Education, </w:t>
      </w:r>
      <w:r w:rsidRPr="009E630F">
        <w:rPr>
          <w:rFonts w:ascii="Gill Sans MT" w:hAnsi="Gill Sans MT"/>
        </w:rPr>
        <w:t>54(2): 99-112.</w:t>
      </w:r>
    </w:p>
    <w:p w14:paraId="1C28F321" w14:textId="77777777" w:rsidR="00BA55C8" w:rsidRPr="009E630F" w:rsidRDefault="00BA55C8" w:rsidP="00BA55C8">
      <w:pPr>
        <w:ind w:left="720" w:hanging="720"/>
        <w:rPr>
          <w:rFonts w:ascii="Gill Sans MT" w:hAnsi="Gill Sans MT"/>
          <w:szCs w:val="22"/>
        </w:rPr>
      </w:pPr>
      <w:r w:rsidRPr="009E630F">
        <w:rPr>
          <w:rFonts w:ascii="Gill Sans MT" w:hAnsi="Gill Sans MT"/>
          <w:szCs w:val="22"/>
        </w:rPr>
        <w:lastRenderedPageBreak/>
        <w:t xml:space="preserve">Gale, T. &amp; Tranter, D. (2011). Social justice in Australian higher education policy: an historical and conceptual account of student participation, </w:t>
      </w:r>
      <w:r w:rsidRPr="009E630F">
        <w:rPr>
          <w:rFonts w:ascii="Gill Sans MT" w:hAnsi="Gill Sans MT"/>
          <w:i/>
          <w:szCs w:val="22"/>
        </w:rPr>
        <w:t>Critical Studies in Education</w:t>
      </w:r>
      <w:r w:rsidRPr="009E630F">
        <w:rPr>
          <w:rFonts w:ascii="Gill Sans MT" w:hAnsi="Gill Sans MT"/>
          <w:szCs w:val="22"/>
        </w:rPr>
        <w:t>, 52(1): 29-46.</w:t>
      </w:r>
    </w:p>
    <w:p w14:paraId="6A03FD78" w14:textId="77777777" w:rsidR="00BA55C8" w:rsidRPr="009E630F" w:rsidRDefault="00BA55C8" w:rsidP="00BA55C8">
      <w:pPr>
        <w:ind w:left="720" w:hanging="720"/>
        <w:rPr>
          <w:rFonts w:ascii="Gill Sans MT" w:hAnsi="Gill Sans MT"/>
          <w:szCs w:val="22"/>
          <w:lang w:val="en-US"/>
        </w:rPr>
      </w:pPr>
      <w:r w:rsidRPr="009E630F">
        <w:rPr>
          <w:rFonts w:ascii="Gill Sans MT" w:hAnsi="Gill Sans MT"/>
          <w:szCs w:val="22"/>
          <w:lang w:val="en-US"/>
        </w:rPr>
        <w:t xml:space="preserve">Gale, T. &amp; Parker, S. (2013). </w:t>
      </w:r>
      <w:r w:rsidRPr="009E630F">
        <w:rPr>
          <w:rFonts w:ascii="Gill Sans MT" w:hAnsi="Gill Sans MT"/>
          <w:i/>
          <w:szCs w:val="22"/>
          <w:lang w:val="en-US"/>
        </w:rPr>
        <w:t>Widening participation in Australian higher education: Report to the Higher Education Funding Council of England (HEFCE) and the Office of Fair Access (OFFA), England</w:t>
      </w:r>
      <w:r w:rsidRPr="009E630F">
        <w:rPr>
          <w:rFonts w:ascii="Gill Sans MT" w:hAnsi="Gill Sans MT"/>
          <w:szCs w:val="22"/>
          <w:lang w:val="en-US"/>
        </w:rPr>
        <w:t>. Leicester, UK: CFE Research.</w:t>
      </w:r>
    </w:p>
    <w:p w14:paraId="361FE58C" w14:textId="77777777" w:rsidR="00BA55C8" w:rsidRPr="009E630F" w:rsidRDefault="00BA55C8" w:rsidP="00BA55C8">
      <w:pPr>
        <w:ind w:left="720" w:hanging="720"/>
        <w:rPr>
          <w:rFonts w:ascii="Gill Sans MT" w:hAnsi="Gill Sans MT"/>
          <w:szCs w:val="22"/>
        </w:rPr>
      </w:pPr>
      <w:r w:rsidRPr="009E630F">
        <w:rPr>
          <w:rFonts w:ascii="Gill Sans MT" w:hAnsi="Gill Sans MT"/>
          <w:szCs w:val="22"/>
        </w:rPr>
        <w:t xml:space="preserve">Harvey, A.; Andrewartha, A.; McNamara, P. (2015). A forgotten cohort? Including people from out-of-home care in Australian higher education policy, </w:t>
      </w:r>
      <w:r w:rsidRPr="009E630F">
        <w:rPr>
          <w:rFonts w:ascii="Gill Sans MT" w:hAnsi="Gill Sans MT"/>
          <w:i/>
          <w:szCs w:val="22"/>
        </w:rPr>
        <w:t xml:space="preserve">Australian Journal of Education, </w:t>
      </w:r>
      <w:r w:rsidRPr="009E630F">
        <w:rPr>
          <w:rFonts w:ascii="Gill Sans MT" w:hAnsi="Gill Sans MT"/>
          <w:szCs w:val="22"/>
        </w:rPr>
        <w:t>59(2): 182-195.</w:t>
      </w:r>
    </w:p>
    <w:p w14:paraId="00B5F67E" w14:textId="77777777" w:rsidR="00BA55C8" w:rsidRPr="009E630F" w:rsidRDefault="00BA55C8" w:rsidP="00BA55C8">
      <w:pPr>
        <w:ind w:left="720" w:hanging="720"/>
        <w:rPr>
          <w:rFonts w:ascii="Gill Sans MT" w:hAnsi="Gill Sans MT" w:cstheme="minorHAnsi"/>
          <w:szCs w:val="22"/>
        </w:rPr>
      </w:pPr>
      <w:r w:rsidRPr="009E630F">
        <w:rPr>
          <w:rFonts w:ascii="Gill Sans MT" w:hAnsi="Gill Sans MT" w:cstheme="minorHAnsi"/>
          <w:szCs w:val="22"/>
        </w:rPr>
        <w:t xml:space="preserve">Lamb, S.; Jackson, J.; </w:t>
      </w:r>
      <w:proofErr w:type="spellStart"/>
      <w:r w:rsidRPr="009E630F">
        <w:rPr>
          <w:rFonts w:ascii="Gill Sans MT" w:hAnsi="Gill Sans MT" w:cstheme="minorHAnsi"/>
          <w:szCs w:val="22"/>
        </w:rPr>
        <w:t>Walstab</w:t>
      </w:r>
      <w:proofErr w:type="spellEnd"/>
      <w:r w:rsidRPr="009E630F">
        <w:rPr>
          <w:rFonts w:ascii="Gill Sans MT" w:hAnsi="Gill Sans MT" w:cstheme="minorHAnsi"/>
          <w:szCs w:val="22"/>
        </w:rPr>
        <w:t xml:space="preserve">, A.; &amp; </w:t>
      </w:r>
      <w:proofErr w:type="spellStart"/>
      <w:r w:rsidRPr="009E630F">
        <w:rPr>
          <w:rFonts w:ascii="Gill Sans MT" w:hAnsi="Gill Sans MT" w:cstheme="minorHAnsi"/>
          <w:szCs w:val="22"/>
        </w:rPr>
        <w:t>Huo</w:t>
      </w:r>
      <w:proofErr w:type="spellEnd"/>
      <w:r w:rsidRPr="009E630F">
        <w:rPr>
          <w:rFonts w:ascii="Gill Sans MT" w:hAnsi="Gill Sans MT" w:cstheme="minorHAnsi"/>
          <w:szCs w:val="22"/>
        </w:rPr>
        <w:t xml:space="preserve">, S. (2015). </w:t>
      </w:r>
      <w:r w:rsidRPr="009E630F">
        <w:rPr>
          <w:rFonts w:ascii="Gill Sans MT" w:hAnsi="Gill Sans MT" w:cstheme="minorHAnsi"/>
          <w:i/>
          <w:iCs/>
          <w:szCs w:val="22"/>
        </w:rPr>
        <w:t>Educational opportunity in Australia 2015: Who succeeds and who misses out</w:t>
      </w:r>
      <w:r w:rsidRPr="009E630F">
        <w:rPr>
          <w:rFonts w:ascii="Gill Sans MT" w:hAnsi="Gill Sans MT" w:cstheme="minorHAnsi"/>
          <w:szCs w:val="22"/>
        </w:rPr>
        <w:t>, Centre for International Research on Education Systems, Victoria University, for the Mitchell Institute, Melbourne: Mitchell Institute.</w:t>
      </w:r>
    </w:p>
    <w:p w14:paraId="5FBDEFF3" w14:textId="77777777" w:rsidR="00BA55C8" w:rsidRPr="009E630F" w:rsidRDefault="00BA55C8" w:rsidP="00BA55C8">
      <w:pPr>
        <w:ind w:left="720" w:hanging="720"/>
        <w:rPr>
          <w:rFonts w:ascii="Gill Sans MT" w:hAnsi="Gill Sans MT"/>
          <w:szCs w:val="22"/>
        </w:rPr>
      </w:pPr>
      <w:r w:rsidRPr="009E630F">
        <w:rPr>
          <w:rFonts w:ascii="Gill Sans MT" w:hAnsi="Gill Sans MT"/>
          <w:szCs w:val="22"/>
        </w:rPr>
        <w:t xml:space="preserve">Marginson, S. (2004). National and Global Competition in Higher Education, </w:t>
      </w:r>
      <w:r w:rsidRPr="009E630F">
        <w:rPr>
          <w:rFonts w:ascii="Gill Sans MT" w:hAnsi="Gill Sans MT"/>
          <w:i/>
          <w:szCs w:val="22"/>
        </w:rPr>
        <w:t xml:space="preserve">The Australian Educational Researcher, </w:t>
      </w:r>
      <w:r w:rsidRPr="009E630F">
        <w:rPr>
          <w:rFonts w:ascii="Gill Sans MT" w:hAnsi="Gill Sans MT"/>
          <w:szCs w:val="22"/>
        </w:rPr>
        <w:t>31(2): 1-28.</w:t>
      </w:r>
    </w:p>
    <w:p w14:paraId="14AB359E" w14:textId="77777777" w:rsidR="00BA55C8" w:rsidRPr="009E630F" w:rsidRDefault="00BA55C8" w:rsidP="00BA55C8">
      <w:pPr>
        <w:ind w:left="720" w:hanging="720"/>
        <w:rPr>
          <w:rFonts w:ascii="Gill Sans MT" w:hAnsi="Gill Sans MT"/>
          <w:szCs w:val="22"/>
        </w:rPr>
      </w:pPr>
      <w:r w:rsidRPr="009E630F">
        <w:rPr>
          <w:rFonts w:ascii="Gill Sans MT" w:hAnsi="Gill Sans MT"/>
          <w:szCs w:val="22"/>
        </w:rPr>
        <w:t xml:space="preserve">Marginson, S. (2011). Equity, status and freedom: A note on higher education. </w:t>
      </w:r>
      <w:r w:rsidRPr="009E630F">
        <w:rPr>
          <w:rFonts w:ascii="Gill Sans MT" w:hAnsi="Gill Sans MT"/>
          <w:i/>
          <w:szCs w:val="22"/>
        </w:rPr>
        <w:t xml:space="preserve">Cambridge Journal of Education, </w:t>
      </w:r>
      <w:r w:rsidRPr="009E630F">
        <w:rPr>
          <w:rFonts w:ascii="Gill Sans MT" w:hAnsi="Gill Sans MT"/>
          <w:szCs w:val="22"/>
        </w:rPr>
        <w:t>41(1): 23-36.</w:t>
      </w:r>
    </w:p>
    <w:p w14:paraId="0734A267" w14:textId="77777777" w:rsidR="00BA55C8" w:rsidRPr="009E630F" w:rsidRDefault="00BA55C8" w:rsidP="00BA55C8">
      <w:pPr>
        <w:ind w:left="720" w:hanging="720"/>
        <w:rPr>
          <w:rFonts w:ascii="Gill Sans MT" w:hAnsi="Gill Sans MT"/>
          <w:color w:val="000000"/>
          <w:szCs w:val="22"/>
          <w:lang w:val="en-US"/>
        </w:rPr>
      </w:pPr>
      <w:r w:rsidRPr="009E630F">
        <w:rPr>
          <w:rFonts w:ascii="Gill Sans MT" w:hAnsi="Gill Sans MT"/>
          <w:szCs w:val="22"/>
        </w:rPr>
        <w:t xml:space="preserve">Whitty, G. &amp; Clements, N. (2015). Getting into Uni in England and Australia: who you know, what you know or knowing the </w:t>
      </w:r>
      <w:proofErr w:type="gramStart"/>
      <w:r w:rsidRPr="009E630F">
        <w:rPr>
          <w:rFonts w:ascii="Gill Sans MT" w:hAnsi="Gill Sans MT"/>
          <w:szCs w:val="22"/>
        </w:rPr>
        <w:t>ropes?,</w:t>
      </w:r>
      <w:proofErr w:type="gramEnd"/>
      <w:r w:rsidRPr="009E630F">
        <w:rPr>
          <w:rFonts w:ascii="Gill Sans MT" w:hAnsi="Gill Sans MT"/>
          <w:szCs w:val="22"/>
        </w:rPr>
        <w:t xml:space="preserve"> </w:t>
      </w:r>
      <w:r w:rsidRPr="009E630F">
        <w:rPr>
          <w:rFonts w:ascii="Gill Sans MT" w:hAnsi="Gill Sans MT"/>
          <w:i/>
          <w:szCs w:val="22"/>
        </w:rPr>
        <w:t xml:space="preserve">International Studies in Widening Participation, </w:t>
      </w:r>
      <w:r w:rsidRPr="009E630F">
        <w:rPr>
          <w:rFonts w:ascii="Gill Sans MT" w:hAnsi="Gill Sans MT"/>
          <w:szCs w:val="22"/>
        </w:rPr>
        <w:t>2(2): 44-55.</w:t>
      </w:r>
    </w:p>
    <w:p w14:paraId="5A62BDA5" w14:textId="1B619666" w:rsidR="00DA21C4" w:rsidRPr="009E630F" w:rsidRDefault="00BA55C8" w:rsidP="00BA55C8">
      <w:pPr>
        <w:rPr>
          <w:rFonts w:ascii="Gill Sans MT" w:eastAsiaTheme="majorEastAsia" w:hAnsi="Gill Sans MT" w:cstheme="majorBidi"/>
          <w:b/>
          <w:bCs/>
          <w:sz w:val="24"/>
          <w:szCs w:val="26"/>
        </w:rPr>
      </w:pPr>
      <w:r w:rsidRPr="009E630F">
        <w:rPr>
          <w:rFonts w:ascii="Gill Sans MT" w:hAnsi="Gill Sans MT"/>
        </w:rPr>
        <w:br w:type="page"/>
      </w:r>
    </w:p>
    <w:p w14:paraId="1823F7E2" w14:textId="77777777" w:rsidR="00DA21C4" w:rsidRPr="009E630F" w:rsidRDefault="00DA21C4" w:rsidP="006C71AB">
      <w:pPr>
        <w:jc w:val="center"/>
        <w:rPr>
          <w:rFonts w:ascii="Gill Sans MT" w:hAnsi="Gill Sans MT"/>
        </w:rPr>
        <w:sectPr w:rsidR="00DA21C4" w:rsidRPr="009E630F" w:rsidSect="006C71AB">
          <w:footerReference w:type="default" r:id="rId10"/>
          <w:pgSz w:w="11900" w:h="16840"/>
          <w:pgMar w:top="1440" w:right="1800" w:bottom="1440" w:left="1800" w:header="708" w:footer="708" w:gutter="0"/>
          <w:cols w:space="708"/>
          <w:docGrid w:linePitch="360"/>
        </w:sectPr>
      </w:pPr>
    </w:p>
    <w:p w14:paraId="3561C9FF" w14:textId="32D47C21" w:rsidR="006C71AB" w:rsidRPr="009E630F" w:rsidRDefault="006C71AB" w:rsidP="006C71AB">
      <w:pPr>
        <w:jc w:val="center"/>
        <w:rPr>
          <w:rFonts w:ascii="Gill Sans MT" w:hAnsi="Gill Sans MT"/>
        </w:rPr>
      </w:pPr>
    </w:p>
    <w:p w14:paraId="038F109C" w14:textId="362A9C30" w:rsidR="006C71AB" w:rsidRPr="009E630F" w:rsidRDefault="005B5B5E" w:rsidP="006C71AB">
      <w:pPr>
        <w:jc w:val="center"/>
        <w:rPr>
          <w:rFonts w:ascii="Gill Sans MT" w:hAnsi="Gill Sans MT"/>
          <w:b/>
          <w:sz w:val="28"/>
          <w:szCs w:val="28"/>
        </w:rPr>
      </w:pPr>
      <w:r w:rsidRPr="009E630F">
        <w:rPr>
          <w:rFonts w:ascii="Gill Sans MT" w:hAnsi="Gill Sans MT"/>
          <w:b/>
          <w:sz w:val="28"/>
          <w:szCs w:val="28"/>
        </w:rPr>
        <w:t>Equity and Higher Education A</w:t>
      </w:r>
      <w:r w:rsidR="006C71AB" w:rsidRPr="009E630F">
        <w:rPr>
          <w:rFonts w:ascii="Gill Sans MT" w:hAnsi="Gill Sans MT"/>
          <w:b/>
          <w:sz w:val="28"/>
          <w:szCs w:val="28"/>
        </w:rPr>
        <w:t xml:space="preserve">nnotated </w:t>
      </w:r>
      <w:r w:rsidRPr="009E630F">
        <w:rPr>
          <w:rFonts w:ascii="Gill Sans MT" w:hAnsi="Gill Sans MT"/>
          <w:b/>
          <w:sz w:val="28"/>
          <w:szCs w:val="28"/>
        </w:rPr>
        <w:t>Bibliography S</w:t>
      </w:r>
      <w:r w:rsidR="006C71AB" w:rsidRPr="009E630F">
        <w:rPr>
          <w:rFonts w:ascii="Gill Sans MT" w:hAnsi="Gill Sans MT"/>
          <w:b/>
          <w:sz w:val="28"/>
          <w:szCs w:val="28"/>
        </w:rPr>
        <w:t>eries</w:t>
      </w:r>
    </w:p>
    <w:p w14:paraId="227CE367" w14:textId="60FBD7B8" w:rsidR="006C71AB" w:rsidRPr="009E630F" w:rsidRDefault="005B5B5E" w:rsidP="006C71AB">
      <w:pPr>
        <w:jc w:val="center"/>
        <w:rPr>
          <w:rFonts w:ascii="Gill Sans MT" w:hAnsi="Gill Sans MT"/>
          <w:b/>
          <w:sz w:val="28"/>
          <w:szCs w:val="28"/>
        </w:rPr>
      </w:pPr>
      <w:r w:rsidRPr="009E630F">
        <w:rPr>
          <w:rFonts w:ascii="Gill Sans MT" w:hAnsi="Gill Sans MT"/>
          <w:b/>
          <w:sz w:val="28"/>
          <w:szCs w:val="28"/>
        </w:rPr>
        <w:t>Reviews of Equity/ Widening P</w:t>
      </w:r>
      <w:r w:rsidR="004347D3" w:rsidRPr="009E630F">
        <w:rPr>
          <w:rFonts w:ascii="Gill Sans MT" w:hAnsi="Gill Sans MT"/>
          <w:b/>
          <w:sz w:val="28"/>
          <w:szCs w:val="28"/>
        </w:rPr>
        <w:t>articipation</w:t>
      </w:r>
      <w:r w:rsidRPr="009E630F">
        <w:rPr>
          <w:rFonts w:ascii="Gill Sans MT" w:hAnsi="Gill Sans MT"/>
          <w:b/>
          <w:sz w:val="28"/>
          <w:szCs w:val="28"/>
        </w:rPr>
        <w:t xml:space="preserve"> and Higher Education</w:t>
      </w:r>
    </w:p>
    <w:p w14:paraId="2C2C98C5" w14:textId="77777777" w:rsidR="006C71AB" w:rsidRPr="009E630F" w:rsidRDefault="006C71AB" w:rsidP="006C71AB">
      <w:pPr>
        <w:rPr>
          <w:rFonts w:ascii="Gill Sans MT" w:hAnsi="Gill Sans MT"/>
        </w:rPr>
      </w:pPr>
    </w:p>
    <w:p w14:paraId="45ED99CE" w14:textId="77777777" w:rsidR="006C71AB" w:rsidRPr="009E630F" w:rsidRDefault="006C71AB" w:rsidP="006C71AB">
      <w:pPr>
        <w:rPr>
          <w:rFonts w:ascii="Gill Sans MT" w:hAnsi="Gill Sans MT"/>
        </w:rPr>
      </w:pPr>
    </w:p>
    <w:tbl>
      <w:tblPr>
        <w:tblStyle w:val="TableGrid"/>
        <w:tblW w:w="15593" w:type="dxa"/>
        <w:tblInd w:w="-743" w:type="dxa"/>
        <w:tblLook w:val="04A0" w:firstRow="1" w:lastRow="0" w:firstColumn="1" w:lastColumn="0" w:noHBand="0" w:noVBand="1"/>
      </w:tblPr>
      <w:tblGrid>
        <w:gridCol w:w="5529"/>
        <w:gridCol w:w="10064"/>
      </w:tblGrid>
      <w:tr w:rsidR="006C71AB" w:rsidRPr="009E630F" w14:paraId="72F9DD4A" w14:textId="77777777" w:rsidTr="000C6DDE">
        <w:tc>
          <w:tcPr>
            <w:tcW w:w="5529" w:type="dxa"/>
          </w:tcPr>
          <w:p w14:paraId="47323E51" w14:textId="77777777" w:rsidR="006C71AB" w:rsidRPr="009E630F" w:rsidRDefault="006C71AB" w:rsidP="000C6DDE">
            <w:pPr>
              <w:ind w:left="720" w:hanging="720"/>
              <w:jc w:val="center"/>
              <w:rPr>
                <w:rFonts w:ascii="Gill Sans MT" w:eastAsia="Times New Roman" w:hAnsi="Gill Sans MT" w:cs="Times New Roman"/>
                <w:b/>
                <w:bCs/>
                <w:color w:val="000000"/>
                <w:szCs w:val="22"/>
                <w:lang w:val="en-AU"/>
              </w:rPr>
            </w:pPr>
            <w:r w:rsidRPr="009E630F">
              <w:rPr>
                <w:rFonts w:ascii="Gill Sans MT" w:eastAsia="Times New Roman" w:hAnsi="Gill Sans MT" w:cs="Times New Roman"/>
                <w:b/>
                <w:bCs/>
                <w:color w:val="000000"/>
                <w:szCs w:val="22"/>
                <w:lang w:val="en-AU"/>
              </w:rPr>
              <w:t>Citation</w:t>
            </w:r>
          </w:p>
          <w:p w14:paraId="6D8D7207" w14:textId="77777777" w:rsidR="006C71AB" w:rsidRPr="009E630F" w:rsidRDefault="006C71AB" w:rsidP="000C6DDE">
            <w:pPr>
              <w:jc w:val="center"/>
              <w:rPr>
                <w:rFonts w:ascii="Gill Sans MT" w:hAnsi="Gill Sans MT"/>
                <w:szCs w:val="22"/>
              </w:rPr>
            </w:pPr>
          </w:p>
        </w:tc>
        <w:tc>
          <w:tcPr>
            <w:tcW w:w="10064" w:type="dxa"/>
          </w:tcPr>
          <w:p w14:paraId="665C771E" w14:textId="77777777" w:rsidR="006C71AB" w:rsidRPr="009E630F" w:rsidRDefault="006C71AB" w:rsidP="000C6DDE">
            <w:pPr>
              <w:jc w:val="center"/>
              <w:rPr>
                <w:rFonts w:ascii="Gill Sans MT" w:eastAsia="Times New Roman" w:hAnsi="Gill Sans MT" w:cs="Times New Roman"/>
                <w:b/>
                <w:bCs/>
                <w:color w:val="000000"/>
                <w:szCs w:val="22"/>
                <w:lang w:val="en-AU"/>
              </w:rPr>
            </w:pPr>
            <w:r w:rsidRPr="009E630F">
              <w:rPr>
                <w:rFonts w:ascii="Gill Sans MT" w:eastAsia="Times New Roman" w:hAnsi="Gill Sans MT" w:cs="Times New Roman"/>
                <w:b/>
                <w:bCs/>
                <w:color w:val="000000"/>
                <w:szCs w:val="22"/>
                <w:lang w:val="en-AU"/>
              </w:rPr>
              <w:t>Annotation</w:t>
            </w:r>
          </w:p>
          <w:p w14:paraId="0452AE6A" w14:textId="77777777" w:rsidR="006C71AB" w:rsidRPr="009E630F" w:rsidRDefault="006C71AB" w:rsidP="000C6DDE">
            <w:pPr>
              <w:jc w:val="center"/>
              <w:rPr>
                <w:rFonts w:ascii="Gill Sans MT" w:hAnsi="Gill Sans MT"/>
                <w:szCs w:val="22"/>
              </w:rPr>
            </w:pPr>
          </w:p>
        </w:tc>
      </w:tr>
      <w:tr w:rsidR="009E630F" w:rsidRPr="009E630F" w14:paraId="26FE564F" w14:textId="77777777" w:rsidTr="000C6DDE">
        <w:tc>
          <w:tcPr>
            <w:tcW w:w="5529" w:type="dxa"/>
          </w:tcPr>
          <w:p w14:paraId="796425F6" w14:textId="25E27279" w:rsidR="009E630F" w:rsidRPr="005B7547" w:rsidRDefault="009E630F" w:rsidP="009E630F">
            <w:pPr>
              <w:rPr>
                <w:rFonts w:ascii="Gill Sans MT" w:hAnsi="Gill Sans MT"/>
                <w:szCs w:val="22"/>
              </w:rPr>
            </w:pPr>
            <w:r w:rsidRPr="005B7547">
              <w:rPr>
                <w:rFonts w:ascii="Gill Sans MT" w:hAnsi="Gill Sans MT"/>
                <w:szCs w:val="22"/>
              </w:rPr>
              <w:t xml:space="preserve">Beckley, A. (2014). </w:t>
            </w:r>
            <w:hyperlink r:id="rId11" w:history="1">
              <w:r w:rsidRPr="00CA6562">
                <w:rPr>
                  <w:rStyle w:val="Hyperlink"/>
                  <w:rFonts w:ascii="Gill Sans MT" w:hAnsi="Gill Sans MT"/>
                  <w:szCs w:val="22"/>
                </w:rPr>
                <w:t>Widening participation to disadvantaged groups: one university’s approach towards targeting and evaluation,</w:t>
              </w:r>
            </w:hyperlink>
            <w:r w:rsidRPr="005B7547">
              <w:rPr>
                <w:rFonts w:ascii="Gill Sans MT" w:hAnsi="Gill Sans MT"/>
                <w:szCs w:val="22"/>
              </w:rPr>
              <w:t xml:space="preserve"> </w:t>
            </w:r>
            <w:r w:rsidRPr="005B7547">
              <w:rPr>
                <w:rFonts w:ascii="Gill Sans MT" w:hAnsi="Gill Sans MT"/>
                <w:i/>
                <w:szCs w:val="22"/>
              </w:rPr>
              <w:t>International Studies in Widening Participation</w:t>
            </w:r>
            <w:r w:rsidRPr="005B7547">
              <w:rPr>
                <w:rFonts w:ascii="Gill Sans MT" w:hAnsi="Gill Sans MT"/>
                <w:szCs w:val="22"/>
              </w:rPr>
              <w:t>, 1(2)</w:t>
            </w:r>
            <w:r>
              <w:rPr>
                <w:rFonts w:ascii="Gill Sans MT" w:hAnsi="Gill Sans MT"/>
                <w:szCs w:val="22"/>
              </w:rPr>
              <w:t>,</w:t>
            </w:r>
            <w:r w:rsidRPr="005B7547">
              <w:rPr>
                <w:rFonts w:ascii="Gill Sans MT" w:hAnsi="Gill Sans MT"/>
                <w:szCs w:val="22"/>
              </w:rPr>
              <w:t xml:space="preserve"> 2</w:t>
            </w:r>
            <w:r>
              <w:rPr>
                <w:rFonts w:ascii="Gill Sans MT" w:hAnsi="Gill Sans MT"/>
                <w:szCs w:val="22"/>
              </w:rPr>
              <w:t>–</w:t>
            </w:r>
            <w:r w:rsidRPr="005B7547">
              <w:rPr>
                <w:rFonts w:ascii="Gill Sans MT" w:hAnsi="Gill Sans MT"/>
                <w:szCs w:val="22"/>
              </w:rPr>
              <w:t>14.</w:t>
            </w:r>
          </w:p>
          <w:p w14:paraId="121135FF" w14:textId="77777777" w:rsidR="009E630F" w:rsidRPr="005B7547" w:rsidRDefault="009E630F" w:rsidP="009E630F">
            <w:pPr>
              <w:rPr>
                <w:rFonts w:ascii="Gill Sans MT" w:hAnsi="Gill Sans MT"/>
                <w:szCs w:val="22"/>
              </w:rPr>
            </w:pPr>
          </w:p>
          <w:p w14:paraId="39513335" w14:textId="77777777" w:rsidR="009E630F" w:rsidRPr="005B7547" w:rsidRDefault="009E630F" w:rsidP="009E630F">
            <w:pPr>
              <w:rPr>
                <w:rFonts w:ascii="Gill Sans MT" w:hAnsi="Gill Sans MT"/>
                <w:szCs w:val="22"/>
              </w:rPr>
            </w:pPr>
            <w:r w:rsidRPr="005B7547">
              <w:rPr>
                <w:rFonts w:ascii="Gill Sans MT" w:hAnsi="Gill Sans MT"/>
                <w:szCs w:val="22"/>
              </w:rPr>
              <w:t>AUS</w:t>
            </w:r>
          </w:p>
          <w:p w14:paraId="7B263B3D" w14:textId="77777777" w:rsidR="009E630F" w:rsidRPr="009A1CE0" w:rsidRDefault="009E630F" w:rsidP="009E630F">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04BB7BD7" w14:textId="77777777" w:rsidR="009E630F" w:rsidRPr="005B7547" w:rsidRDefault="009E630F" w:rsidP="009E630F">
            <w:pPr>
              <w:rPr>
                <w:rFonts w:ascii="Gill Sans MT" w:hAnsi="Gill Sans MT"/>
                <w:szCs w:val="22"/>
              </w:rPr>
            </w:pPr>
          </w:p>
          <w:p w14:paraId="76AB5657" w14:textId="278A9124" w:rsidR="009E630F" w:rsidRPr="009E630F" w:rsidRDefault="009E630F" w:rsidP="009E630F">
            <w:pPr>
              <w:rPr>
                <w:rFonts w:ascii="Gill Sans MT" w:hAnsi="Gill Sans MT"/>
                <w:i/>
                <w:szCs w:val="22"/>
              </w:rPr>
            </w:pPr>
            <w:r w:rsidRPr="005B7547">
              <w:rPr>
                <w:rFonts w:ascii="Gill Sans MT" w:hAnsi="Gill Sans MT"/>
                <w:szCs w:val="22"/>
              </w:rPr>
              <w:t xml:space="preserve">Keywords: </w:t>
            </w:r>
            <w:r w:rsidRPr="005B7547">
              <w:rPr>
                <w:rFonts w:ascii="Gill Sans MT" w:hAnsi="Gill Sans MT"/>
                <w:i/>
                <w:szCs w:val="22"/>
              </w:rPr>
              <w:t>evaluation</w:t>
            </w:r>
          </w:p>
        </w:tc>
        <w:tc>
          <w:tcPr>
            <w:tcW w:w="10064" w:type="dxa"/>
          </w:tcPr>
          <w:p w14:paraId="2D4ACEA4"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Sets out a case for WP in terms of being “essential for future economic and social well-being” of Australia (abstract) – to get “‘value for money’… to ensure sustainability and to record rationale behind funding decisions” (p.3)</w:t>
            </w:r>
          </w:p>
          <w:p w14:paraId="29E62EF7"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To present the case for evaluation to “ensure optimum learning” from WP (abstract); to describe the 3-tier approach taken at WSU: appropriate project management tools; careful and sensitive targeting of students; non-intrusive and confidential evaluation</w:t>
            </w:r>
          </w:p>
          <w:p w14:paraId="7EA474D8"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WP activities in WSU = access/ retention focused. Access = direct work with schools/colleges, aspiration raising, support (p.4): range of interventions from Years 3, 5-12. Pathways/VET program = “identifies alternative pathways” (p.4). Aspiration raising = events for targeted groups (indigenous, OOHC, Aus Rules Football</w:t>
            </w:r>
          </w:p>
          <w:p w14:paraId="06238EBD"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UWS evaluative approach: based on HEFCE model (?) which has 4 parts: “basic monitoring; assessment of targeting; measurement of outcomes; assessment of value for money (HEFCE, 2007)” (p.5). Beckley lists motivations for evaluation as (cites UTS, 2012):</w:t>
            </w:r>
          </w:p>
          <w:p w14:paraId="1D279D56" w14:textId="77777777" w:rsidR="009E630F" w:rsidRPr="005B7547" w:rsidRDefault="009E630F" w:rsidP="009E630F">
            <w:pPr>
              <w:pStyle w:val="ListParagraph"/>
              <w:numPr>
                <w:ilvl w:val="0"/>
                <w:numId w:val="18"/>
              </w:numPr>
              <w:rPr>
                <w:rFonts w:ascii="Gill Sans MT" w:hAnsi="Gill Sans MT"/>
                <w:color w:val="000000"/>
                <w:szCs w:val="22"/>
                <w:lang w:val="en-AU"/>
              </w:rPr>
            </w:pPr>
            <w:r w:rsidRPr="005B7547">
              <w:rPr>
                <w:rFonts w:ascii="Gill Sans MT" w:hAnsi="Gill Sans MT"/>
                <w:color w:val="000000"/>
                <w:szCs w:val="22"/>
                <w:lang w:val="en-AU"/>
              </w:rPr>
              <w:t xml:space="preserve">students’ aspirations and motivation for higher education are enhanced; </w:t>
            </w:r>
          </w:p>
          <w:p w14:paraId="13CBBA52" w14:textId="77777777" w:rsidR="009E630F" w:rsidRPr="005B7547" w:rsidRDefault="009E630F" w:rsidP="009E630F">
            <w:pPr>
              <w:pStyle w:val="ListParagraph"/>
              <w:numPr>
                <w:ilvl w:val="0"/>
                <w:numId w:val="18"/>
              </w:numPr>
              <w:rPr>
                <w:rFonts w:ascii="Gill Sans MT" w:hAnsi="Gill Sans MT"/>
                <w:color w:val="000000"/>
                <w:szCs w:val="22"/>
                <w:lang w:val="en-AU"/>
              </w:rPr>
            </w:pPr>
            <w:r w:rsidRPr="005B7547">
              <w:rPr>
                <w:rFonts w:ascii="Gill Sans MT" w:hAnsi="Gill Sans MT"/>
                <w:color w:val="000000"/>
                <w:szCs w:val="22"/>
                <w:lang w:val="en-AU"/>
              </w:rPr>
              <w:t xml:space="preserve">students’ knowledge about university increases including access pathways, university life and career options; </w:t>
            </w:r>
          </w:p>
          <w:p w14:paraId="09B7999C" w14:textId="77777777" w:rsidR="009E630F" w:rsidRPr="005B7547" w:rsidRDefault="009E630F" w:rsidP="009E630F">
            <w:pPr>
              <w:pStyle w:val="ListParagraph"/>
              <w:numPr>
                <w:ilvl w:val="0"/>
                <w:numId w:val="18"/>
              </w:numPr>
              <w:rPr>
                <w:rFonts w:ascii="Gill Sans MT" w:hAnsi="Gill Sans MT"/>
                <w:color w:val="000000"/>
                <w:szCs w:val="22"/>
                <w:lang w:val="en-AU"/>
              </w:rPr>
            </w:pPr>
            <w:r w:rsidRPr="005B7547">
              <w:rPr>
                <w:rFonts w:ascii="Gill Sans MT" w:hAnsi="Gill Sans MT"/>
                <w:color w:val="000000"/>
                <w:szCs w:val="22"/>
                <w:lang w:val="en-AU"/>
              </w:rPr>
              <w:t xml:space="preserve">students’ academic potential is enhanced; </w:t>
            </w:r>
          </w:p>
          <w:p w14:paraId="638CA387" w14:textId="77777777" w:rsidR="009E630F" w:rsidRPr="005B7547" w:rsidRDefault="009E630F" w:rsidP="009E630F">
            <w:pPr>
              <w:pStyle w:val="ListParagraph"/>
              <w:numPr>
                <w:ilvl w:val="0"/>
                <w:numId w:val="18"/>
              </w:numPr>
              <w:rPr>
                <w:rFonts w:ascii="Gill Sans MT" w:hAnsi="Gill Sans MT"/>
                <w:color w:val="000000"/>
                <w:szCs w:val="22"/>
                <w:lang w:val="en-AU"/>
              </w:rPr>
            </w:pPr>
            <w:r w:rsidRPr="005B7547">
              <w:rPr>
                <w:rFonts w:ascii="Gill Sans MT" w:hAnsi="Gill Sans MT"/>
                <w:color w:val="000000"/>
                <w:szCs w:val="22"/>
                <w:lang w:val="en-AU"/>
              </w:rPr>
              <w:t xml:space="preserve">students’ family knowledge about higher education is broadened; </w:t>
            </w:r>
          </w:p>
          <w:p w14:paraId="256A522E" w14:textId="77777777" w:rsidR="009E630F" w:rsidRPr="005B7547" w:rsidRDefault="009E630F" w:rsidP="009E630F">
            <w:pPr>
              <w:pStyle w:val="ListParagraph"/>
              <w:numPr>
                <w:ilvl w:val="0"/>
                <w:numId w:val="18"/>
              </w:numPr>
              <w:rPr>
                <w:rFonts w:ascii="Gill Sans MT" w:hAnsi="Gill Sans MT"/>
                <w:color w:val="000000"/>
                <w:szCs w:val="22"/>
                <w:lang w:val="en-AU"/>
              </w:rPr>
            </w:pPr>
            <w:r w:rsidRPr="005B7547">
              <w:rPr>
                <w:rFonts w:ascii="Gill Sans MT" w:hAnsi="Gill Sans MT"/>
                <w:color w:val="000000"/>
                <w:szCs w:val="22"/>
                <w:lang w:val="en-AU"/>
              </w:rPr>
              <w:t>widening participation projects are valued by community partners and stakeholders (p.5)</w:t>
            </w:r>
          </w:p>
          <w:p w14:paraId="7ADF63E8"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 xml:space="preserve">Targeting: it is “good practice to have accurate and responsive targeting processes that can identify the focus for the participants of the project” so as to comply with gov’t funding </w:t>
            </w:r>
            <w:proofErr w:type="spellStart"/>
            <w:r w:rsidRPr="005B7547">
              <w:rPr>
                <w:rFonts w:ascii="Gill Sans MT" w:hAnsi="Gill Sans MT"/>
                <w:color w:val="000000"/>
                <w:szCs w:val="22"/>
                <w:lang w:val="en-AU"/>
              </w:rPr>
              <w:t>reqs</w:t>
            </w:r>
            <w:proofErr w:type="spellEnd"/>
            <w:r w:rsidRPr="005B7547">
              <w:rPr>
                <w:rFonts w:ascii="Gill Sans MT" w:hAnsi="Gill Sans MT"/>
                <w:color w:val="000000"/>
                <w:szCs w:val="22"/>
                <w:lang w:val="en-AU"/>
              </w:rPr>
              <w:t xml:space="preserve"> (p.7) for easy completion, compliance with ethics and precision of reporting. All evaluation = via surveys (?) = all include demographic Qs “to enable accuracy, comparison of data and long-term tracking” (p.6) = standardised questions for quant measurement + qualitative evaluation collected for ‘balance’. Notes that different groups may be more </w:t>
            </w:r>
            <w:r w:rsidRPr="005B7547">
              <w:rPr>
                <w:rFonts w:ascii="Gill Sans MT" w:hAnsi="Gill Sans MT"/>
                <w:color w:val="000000"/>
                <w:szCs w:val="22"/>
                <w:lang w:val="en-AU"/>
              </w:rPr>
              <w:lastRenderedPageBreak/>
              <w:t>expensive (e.g. OOHC; see p.8)</w:t>
            </w:r>
          </w:p>
          <w:p w14:paraId="6708BA22"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 xml:space="preserve">Cost-benefit: “WP programs are subject to cost-benefit analyses by means of detailed management consideration of funding for programs based on the number of students benefitting, the perceived outcomes and the relative cost in terms of finance and resources, including opportunity costs. Cost benefit analyses are usually applied to the subject of ‘economic returns to education’” (p.8) </w:t>
            </w:r>
          </w:p>
          <w:p w14:paraId="54D9981F"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Argues for WP on basis that current enrolment patterns won’t meet Bradley targets. Concludes with “These are overwhelmingly convincing arguments for universities to pursue WP programs and persist with equity and diversity themes; demographics illustrate that to get the numbers of students to maintain organizational and government growth goals, students from LSES backgrounds must be recruited for purely commercial reasons let alone philanthropic aspirations” (p.11)</w:t>
            </w:r>
          </w:p>
          <w:p w14:paraId="261C4E8E" w14:textId="3AADBB13" w:rsidR="009E630F" w:rsidRPr="009E630F" w:rsidRDefault="009E630F" w:rsidP="009E630F">
            <w:pPr>
              <w:rPr>
                <w:rFonts w:ascii="Gill Sans MT" w:hAnsi="Gill Sans MT"/>
                <w:b/>
                <w:color w:val="000000"/>
                <w:szCs w:val="22"/>
                <w:lang w:val="en-AU"/>
              </w:rPr>
            </w:pPr>
            <w:r w:rsidRPr="005B7547">
              <w:rPr>
                <w:rFonts w:ascii="Gill Sans MT" w:hAnsi="Gill Sans MT"/>
                <w:b/>
                <w:color w:val="000000"/>
                <w:szCs w:val="22"/>
                <w:lang w:val="en-AU"/>
              </w:rPr>
              <w:t xml:space="preserve">Core argument: </w:t>
            </w:r>
            <w:r w:rsidRPr="005B7547">
              <w:rPr>
                <w:rFonts w:ascii="Gill Sans MT" w:hAnsi="Gill Sans MT"/>
                <w:color w:val="000000"/>
                <w:szCs w:val="22"/>
                <w:lang w:val="en-AU"/>
              </w:rPr>
              <w:t>Evaluation of WP is worthwhile because it permits managers to “highlight the success of their work” (p.10)</w:t>
            </w:r>
          </w:p>
        </w:tc>
      </w:tr>
      <w:tr w:rsidR="009E630F" w:rsidRPr="009E630F" w14:paraId="4D1A18F4" w14:textId="77777777" w:rsidTr="000C6DDE">
        <w:tc>
          <w:tcPr>
            <w:tcW w:w="5529" w:type="dxa"/>
          </w:tcPr>
          <w:p w14:paraId="15826000" w14:textId="77777777" w:rsidR="009E630F" w:rsidRPr="005B7547" w:rsidRDefault="009E630F" w:rsidP="009E630F">
            <w:pPr>
              <w:rPr>
                <w:rFonts w:ascii="Gill Sans MT" w:hAnsi="Gill Sans MT"/>
                <w:szCs w:val="22"/>
              </w:rPr>
            </w:pPr>
            <w:r w:rsidRPr="005B7547">
              <w:rPr>
                <w:rFonts w:ascii="Gill Sans MT" w:hAnsi="Gill Sans MT"/>
                <w:szCs w:val="22"/>
              </w:rPr>
              <w:lastRenderedPageBreak/>
              <w:t xml:space="preserve">Butcher, J.; Corfield, R. &amp; Rose-Adams, J. (2012). </w:t>
            </w:r>
            <w:hyperlink r:id="rId12" w:history="1">
              <w:r w:rsidRPr="00773B5D">
                <w:rPr>
                  <w:rStyle w:val="Hyperlink"/>
                  <w:rFonts w:ascii="Gill Sans MT" w:hAnsi="Gill Sans MT"/>
                  <w:szCs w:val="22"/>
                </w:rPr>
                <w:t>Contextualised approaches to widening participation: a comparative case study of two UK universities</w:t>
              </w:r>
            </w:hyperlink>
            <w:r w:rsidRPr="005B7547">
              <w:rPr>
                <w:rFonts w:ascii="Gill Sans MT" w:hAnsi="Gill Sans MT"/>
                <w:szCs w:val="22"/>
              </w:rPr>
              <w:t xml:space="preserve">, </w:t>
            </w:r>
            <w:r w:rsidRPr="005B7547">
              <w:rPr>
                <w:rFonts w:ascii="Gill Sans MT" w:hAnsi="Gill Sans MT"/>
                <w:i/>
                <w:szCs w:val="22"/>
              </w:rPr>
              <w:t xml:space="preserve">Widening Participation and Lifelong Learning, </w:t>
            </w:r>
            <w:r w:rsidRPr="005B7547">
              <w:rPr>
                <w:rFonts w:ascii="Gill Sans MT" w:hAnsi="Gill Sans MT"/>
                <w:szCs w:val="22"/>
              </w:rPr>
              <w:t>13(</w:t>
            </w:r>
            <w:proofErr w:type="gramStart"/>
            <w:r w:rsidRPr="005B7547">
              <w:rPr>
                <w:rFonts w:ascii="Gill Sans MT" w:hAnsi="Gill Sans MT"/>
                <w:szCs w:val="22"/>
              </w:rPr>
              <w:t>SI</w:t>
            </w:r>
            <w:r>
              <w:rPr>
                <w:rFonts w:ascii="Gill Sans MT" w:hAnsi="Gill Sans MT"/>
                <w:szCs w:val="22"/>
              </w:rPr>
              <w:t>,</w:t>
            </w:r>
            <w:r w:rsidRPr="005B7547">
              <w:rPr>
                <w:rFonts w:ascii="Gill Sans MT" w:hAnsi="Gill Sans MT"/>
                <w:szCs w:val="22"/>
              </w:rPr>
              <w:t>:</w:t>
            </w:r>
            <w:proofErr w:type="gramEnd"/>
            <w:r w:rsidRPr="005B7547">
              <w:rPr>
                <w:rFonts w:ascii="Gill Sans MT" w:hAnsi="Gill Sans MT"/>
                <w:szCs w:val="22"/>
              </w:rPr>
              <w:t xml:space="preserve"> 51</w:t>
            </w:r>
            <w:r>
              <w:rPr>
                <w:rFonts w:ascii="Gill Sans MT" w:hAnsi="Gill Sans MT"/>
                <w:szCs w:val="22"/>
              </w:rPr>
              <w:t>–</w:t>
            </w:r>
            <w:r w:rsidRPr="005B7547">
              <w:rPr>
                <w:rFonts w:ascii="Gill Sans MT" w:hAnsi="Gill Sans MT"/>
                <w:szCs w:val="22"/>
              </w:rPr>
              <w:t>70.</w:t>
            </w:r>
          </w:p>
          <w:p w14:paraId="45A9995C" w14:textId="77777777" w:rsidR="009E630F" w:rsidRPr="005B7547" w:rsidRDefault="009E630F" w:rsidP="009E630F">
            <w:pPr>
              <w:rPr>
                <w:rFonts w:ascii="Gill Sans MT" w:hAnsi="Gill Sans MT"/>
                <w:szCs w:val="22"/>
              </w:rPr>
            </w:pPr>
          </w:p>
          <w:p w14:paraId="166D26D8" w14:textId="77777777" w:rsidR="009E630F" w:rsidRPr="005B7547" w:rsidRDefault="009E630F" w:rsidP="009E630F">
            <w:pPr>
              <w:rPr>
                <w:rFonts w:ascii="Gill Sans MT" w:hAnsi="Gill Sans MT"/>
                <w:szCs w:val="22"/>
              </w:rPr>
            </w:pPr>
            <w:r w:rsidRPr="005B7547">
              <w:rPr>
                <w:rFonts w:ascii="Gill Sans MT" w:hAnsi="Gill Sans MT"/>
                <w:szCs w:val="22"/>
              </w:rPr>
              <w:t>UK</w:t>
            </w:r>
          </w:p>
          <w:p w14:paraId="7477E21D" w14:textId="77777777" w:rsidR="009E630F" w:rsidRPr="009A1CE0" w:rsidRDefault="009E630F" w:rsidP="009E630F">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362A74D6" w14:textId="77777777" w:rsidR="009E630F" w:rsidRPr="005B7547" w:rsidRDefault="009E630F" w:rsidP="009E630F">
            <w:pPr>
              <w:rPr>
                <w:rFonts w:ascii="Gill Sans MT" w:hAnsi="Gill Sans MT"/>
                <w:szCs w:val="22"/>
              </w:rPr>
            </w:pPr>
          </w:p>
          <w:p w14:paraId="37ECCC44" w14:textId="15D10ACA" w:rsidR="009E630F" w:rsidRPr="005B7547" w:rsidRDefault="009E630F" w:rsidP="009E630F">
            <w:pPr>
              <w:rPr>
                <w:rFonts w:ascii="Gill Sans MT" w:hAnsi="Gill Sans MT"/>
                <w:szCs w:val="22"/>
              </w:rPr>
            </w:pPr>
            <w:r>
              <w:rPr>
                <w:rFonts w:ascii="Gill Sans MT" w:hAnsi="Gill Sans MT" w:cs="Times New Roman"/>
                <w:color w:val="211D1E"/>
                <w:szCs w:val="22"/>
              </w:rPr>
              <w:t>Keywords</w:t>
            </w:r>
            <w:r w:rsidRPr="005B7547">
              <w:rPr>
                <w:rFonts w:ascii="Gill Sans MT" w:hAnsi="Gill Sans MT" w:cs="Times New Roman"/>
                <w:b/>
                <w:bCs/>
                <w:color w:val="211D1E"/>
                <w:szCs w:val="22"/>
              </w:rPr>
              <w:t xml:space="preserve">: </w:t>
            </w:r>
            <w:r w:rsidRPr="005B7547">
              <w:rPr>
                <w:rFonts w:ascii="Gill Sans MT" w:hAnsi="Gill Sans MT" w:cs="Times New Roman"/>
                <w:i/>
                <w:color w:val="211D1E"/>
                <w:szCs w:val="22"/>
              </w:rPr>
              <w:t>strategy; discipline; leadership; policy; practice; comparative.</w:t>
            </w:r>
          </w:p>
        </w:tc>
        <w:tc>
          <w:tcPr>
            <w:tcW w:w="10064" w:type="dxa"/>
          </w:tcPr>
          <w:p w14:paraId="0F97A115" w14:textId="77777777" w:rsidR="009E630F" w:rsidRPr="005B7547" w:rsidRDefault="009E630F" w:rsidP="009E630F">
            <w:pPr>
              <w:rPr>
                <w:rFonts w:ascii="Gill Sans MT" w:hAnsi="Gill Sans MT"/>
                <w:color w:val="000000"/>
                <w:szCs w:val="22"/>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Examines staff perspectives on WP from two different UK universities (Northampton = post-1992 and OU = distance/open university). WP in UK = traced back to Robbins Report (1963) but has been particularly dominant in preceding 15 years (New Labour gov’t). Equity groups [term not used in paper] in UK = BME, students with disabilities, ‘disadvantaged social and economic backgrounds’, FinF, OOHC, part-time, non-traditional qualifications. New universities in particular attracted higher funding during New Labour years; post-Conservative-Liberal gov’t, funding = cut (e.g. EMA, increased student fees). Paper based on hypothesis that leadership perspectives on WP = “</w:t>
            </w:r>
            <w:r w:rsidRPr="005B7547">
              <w:rPr>
                <w:rFonts w:ascii="Gill Sans MT" w:hAnsi="Gill Sans MT"/>
                <w:color w:val="000000"/>
                <w:szCs w:val="22"/>
              </w:rPr>
              <w:t xml:space="preserve">likely to be major determinants affecting how WP is conceptualised and translated into practice as part of the university’s mission” (p.53). </w:t>
            </w:r>
          </w:p>
          <w:p w14:paraId="470B50DC" w14:textId="77777777" w:rsidR="009E630F" w:rsidRPr="005B7547" w:rsidRDefault="009E630F" w:rsidP="009E630F">
            <w:pPr>
              <w:rPr>
                <w:rFonts w:ascii="Gill Sans MT" w:hAnsi="Gill Sans MT"/>
                <w:color w:val="000000"/>
                <w:szCs w:val="22"/>
              </w:rPr>
            </w:pPr>
            <w:r w:rsidRPr="005B7547">
              <w:rPr>
                <w:rFonts w:ascii="Gill Sans MT" w:hAnsi="Gill Sans MT"/>
                <w:color w:val="000000"/>
                <w:szCs w:val="22"/>
              </w:rPr>
              <w:t>University of Northampton = WP university; new VC in 2010 with strategic business plan to reposition uni in terms of research performance/capacity.</w:t>
            </w:r>
          </w:p>
          <w:p w14:paraId="1829E489"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rPr>
              <w:t>Open University = open access policy (no entrance requirements); majority of students = p/t and 70% also work f/t. OU student population mirrored demographic profile of UK in 2010. OU also got new VC (in 2009) with mission to expand more into international markets and move more to online environments</w:t>
            </w:r>
          </w:p>
          <w:p w14:paraId="1A3122BB"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To report research that interviewed senior staff members on personal perspectives of “</w:t>
            </w:r>
            <w:r w:rsidRPr="005B7547">
              <w:rPr>
                <w:rFonts w:ascii="Gill Sans MT" w:hAnsi="Gill Sans MT"/>
                <w:color w:val="000000"/>
                <w:szCs w:val="22"/>
              </w:rPr>
              <w:t>a passing ‘golden age’ of WP, in which generous resources flowed in support of a national strategy, and an emerging ‘austere’ age in which the architecture underpinning WP is being drastically dismantled and a very different business model of student fees is being introduced” (p.53)</w:t>
            </w:r>
          </w:p>
          <w:p w14:paraId="6A0E13EE" w14:textId="77777777" w:rsidR="009E630F" w:rsidRPr="005B7547" w:rsidRDefault="009E630F" w:rsidP="009E630F">
            <w:pPr>
              <w:rPr>
                <w:rFonts w:ascii="Gill Sans MT" w:hAnsi="Gill Sans MT"/>
                <w:b/>
                <w:color w:val="000000"/>
                <w:szCs w:val="22"/>
                <w:lang w:val="en-AU"/>
              </w:rPr>
            </w:pPr>
            <w:r w:rsidRPr="005B7547">
              <w:rPr>
                <w:rFonts w:ascii="Gill Sans MT" w:hAnsi="Gill Sans MT"/>
                <w:b/>
                <w:color w:val="000000"/>
                <w:szCs w:val="22"/>
                <w:lang w:val="en-AU"/>
              </w:rPr>
              <w:t>Theoretical frame:</w:t>
            </w:r>
          </w:p>
          <w:p w14:paraId="391F93E9"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 xml:space="preserve">Research conducted in 2011 (between two major policy moments: acceptance that student fees could rise and HEFCE’s ‘drastic cuts’ to teaching grants). ‘Senior stakeholder interview methodology’ </w:t>
            </w:r>
            <w:r w:rsidRPr="005B7547">
              <w:rPr>
                <w:rFonts w:ascii="Gill Sans MT" w:hAnsi="Gill Sans MT"/>
                <w:color w:val="000000"/>
                <w:szCs w:val="22"/>
                <w:lang w:val="en-AU"/>
              </w:rPr>
              <w:lastRenderedPageBreak/>
              <w:t xml:space="preserve">used to study policy effects (from national/HEFCE to institutional policy), grounded in context of </w:t>
            </w:r>
            <w:r w:rsidRPr="005B7547">
              <w:rPr>
                <w:rFonts w:ascii="Gill Sans MT" w:hAnsi="Gill Sans MT"/>
                <w:color w:val="000000"/>
                <w:szCs w:val="22"/>
              </w:rPr>
              <w:t>economic, political and organisational forces.</w:t>
            </w:r>
            <w:r w:rsidRPr="005B7547">
              <w:rPr>
                <w:rFonts w:ascii="Gill Sans MT" w:hAnsi="Gill Sans MT"/>
                <w:color w:val="000000"/>
                <w:szCs w:val="22"/>
                <w:lang w:val="en-AU"/>
              </w:rPr>
              <w:t xml:space="preserve"> Staff interviewed = VC, PVC and Deans of schools at Northampton (x8) and Unit Directors in OU (national, regional, WP, student services and Diversity and Equality staff; x9)</w:t>
            </w:r>
          </w:p>
          <w:p w14:paraId="0B7A348E" w14:textId="77777777" w:rsidR="009E630F" w:rsidRPr="005B7547" w:rsidRDefault="009E630F" w:rsidP="009E630F">
            <w:pPr>
              <w:rPr>
                <w:rFonts w:ascii="Gill Sans MT" w:hAnsi="Gill Sans MT"/>
                <w:b/>
                <w:color w:val="000000"/>
                <w:szCs w:val="22"/>
                <w:lang w:val="en-AU"/>
              </w:rPr>
            </w:pPr>
            <w:r w:rsidRPr="005B7547">
              <w:rPr>
                <w:rFonts w:ascii="Gill Sans MT" w:hAnsi="Gill Sans MT"/>
                <w:b/>
                <w:color w:val="000000"/>
                <w:szCs w:val="22"/>
                <w:lang w:val="en-AU"/>
              </w:rPr>
              <w:t xml:space="preserve">Findings: </w:t>
            </w:r>
          </w:p>
          <w:p w14:paraId="6A3ED611"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Literature review illuminates 4 ‘connecting terms’ with WP: diversity (synonymously used with WP), inclusion (used predominantly with disability in UK), equality (legislative context and equity (Australian context; see p.55) – see Thomas et al.’s (2010) analysis of themes in 129 institutional WP Strategic Assessments.</w:t>
            </w:r>
          </w:p>
          <w:p w14:paraId="07A74A02" w14:textId="77777777" w:rsidR="009E630F" w:rsidRPr="005B7547" w:rsidRDefault="009E630F" w:rsidP="009E630F">
            <w:pPr>
              <w:rPr>
                <w:rFonts w:ascii="Gill Sans MT" w:hAnsi="Gill Sans MT"/>
                <w:color w:val="000000"/>
                <w:szCs w:val="22"/>
                <w:lang w:val="en-AU"/>
              </w:rPr>
            </w:pPr>
          </w:p>
          <w:p w14:paraId="37CEDD8F" w14:textId="77777777" w:rsidR="009E630F" w:rsidRPr="005B7547" w:rsidRDefault="009E630F" w:rsidP="009E630F">
            <w:pPr>
              <w:rPr>
                <w:rFonts w:ascii="Gill Sans MT" w:hAnsi="Gill Sans MT"/>
                <w:color w:val="000000"/>
                <w:szCs w:val="22"/>
              </w:rPr>
            </w:pPr>
            <w:r w:rsidRPr="005B7547">
              <w:rPr>
                <w:rFonts w:ascii="Gill Sans MT" w:hAnsi="Gill Sans MT"/>
                <w:color w:val="000000"/>
                <w:szCs w:val="22"/>
                <w:u w:val="single"/>
                <w:lang w:val="en-AU"/>
              </w:rPr>
              <w:t>Widening Participation as conflicted discourse</w:t>
            </w:r>
            <w:r w:rsidRPr="005B7547">
              <w:rPr>
                <w:rFonts w:ascii="Gill Sans MT" w:hAnsi="Gill Sans MT"/>
                <w:color w:val="000000"/>
                <w:szCs w:val="22"/>
                <w:lang w:val="en-AU"/>
              </w:rPr>
              <w:t xml:space="preserve"> = number of different conceptualisations suggest sense of confusion, sometimes at level of mixing policy and personal/values-driven discourses (strategically?). Staff in professional areas = more definitively either pragmatic (about recruitment) or principled (based on ideas about social justice). Many participants articulated a sense of not knowing what WP is, particularly with regard to public phrases such as ‘fair access’ and ‘social mobility’. For OU, WP = umbrella term to describe supporting students and widening access = focused on generating higher student numbers – but lack of central clarity (due in part to differentiated UK context). WP = “</w:t>
            </w:r>
            <w:r w:rsidRPr="005B7547">
              <w:rPr>
                <w:rFonts w:ascii="Gill Sans MT" w:hAnsi="Gill Sans MT"/>
                <w:color w:val="000000"/>
                <w:szCs w:val="22"/>
              </w:rPr>
              <w:t>a conflicted discourse, an educational space in which contradictory impulses around pre-entry aspiration-raising and university-based support for learning are still not embedded in any coherent way into the strategic approach to WP” (p.61)</w:t>
            </w:r>
          </w:p>
          <w:p w14:paraId="16167E95" w14:textId="77777777" w:rsidR="009E630F" w:rsidRPr="005B7547" w:rsidRDefault="009E630F" w:rsidP="009E630F">
            <w:pPr>
              <w:rPr>
                <w:rFonts w:ascii="Gill Sans MT" w:hAnsi="Gill Sans MT"/>
              </w:rPr>
            </w:pPr>
            <w:r w:rsidRPr="005B7547">
              <w:rPr>
                <w:rFonts w:ascii="Gill Sans MT" w:hAnsi="Gill Sans MT"/>
                <w:color w:val="000000"/>
                <w:szCs w:val="22"/>
                <w:u w:val="single"/>
                <w:lang w:val="en-AU"/>
              </w:rPr>
              <w:t>Widening participation = conceptualised and delivered in disciplines</w:t>
            </w:r>
            <w:r w:rsidRPr="005B7547">
              <w:rPr>
                <w:rFonts w:ascii="Gill Sans MT" w:hAnsi="Gill Sans MT"/>
                <w:color w:val="000000"/>
                <w:szCs w:val="22"/>
                <w:lang w:val="en-AU"/>
              </w:rPr>
              <w:t xml:space="preserve"> = At Northampton, WP = organised/conceived/ delivered at school level = interviews illustrated “clear customisation of the WP agenda” (p.62), e.g.  activities based on gender imbalance; focus on access to Arts courses (less BME students). Preparedness of WP students = continuing challenge. </w:t>
            </w:r>
            <w:r w:rsidRPr="005B7547">
              <w:rPr>
                <w:rFonts w:ascii="Gill Sans MT" w:hAnsi="Gill Sans MT"/>
                <w:color w:val="000000"/>
                <w:szCs w:val="22"/>
              </w:rPr>
              <w:t>All Deans identified the preparedness of some WP students for HE as a continuing challenge. (p.62) – issues with self-referral to generic support (less confidence= disadvantage) – WP funding = insufficient to support all interventions ideally needed. Many participants identified issues with greater inclusivity in curriculum = related to dominance of “</w:t>
            </w:r>
            <w:proofErr w:type="spellStart"/>
            <w:r w:rsidRPr="005B7547">
              <w:rPr>
                <w:rFonts w:ascii="Gill Sans MT" w:hAnsi="Gill Sans MT"/>
              </w:rPr>
              <w:t>anglocentricity</w:t>
            </w:r>
            <w:proofErr w:type="spellEnd"/>
            <w:r w:rsidRPr="005B7547">
              <w:rPr>
                <w:rFonts w:ascii="Gill Sans MT" w:hAnsi="Gill Sans MT"/>
              </w:rPr>
              <w:t xml:space="preserve"> and ethnocentricity” (p.63) and lack of diversity in staff.</w:t>
            </w:r>
          </w:p>
          <w:p w14:paraId="7802E67A" w14:textId="77777777" w:rsidR="009E630F" w:rsidRPr="005B7547" w:rsidRDefault="009E630F" w:rsidP="009E630F">
            <w:pPr>
              <w:rPr>
                <w:rFonts w:ascii="Gill Sans MT" w:hAnsi="Gill Sans MT"/>
              </w:rPr>
            </w:pPr>
            <w:r w:rsidRPr="005B7547">
              <w:rPr>
                <w:rFonts w:ascii="Gill Sans MT" w:hAnsi="Gill Sans MT"/>
              </w:rPr>
              <w:t>Impact of WP: acknowledgement of difficulty of measuring impact; “the actual impact may be difficult to measure unequivocally because of the complexity of educational, economic, social and cultural factors involved, their interplay, and the long timeframes involved” (p.64). Recognition of individual journeys (rather than homogenous view of WP students) = suggests a “values-informed leadership role for universities in making social mobility a reality” (p.65). Interviewees recognised that quant metrics = important but is also important to include qualitative, student-centred measurements.</w:t>
            </w:r>
          </w:p>
          <w:p w14:paraId="2250DA0C" w14:textId="77777777" w:rsidR="009E630F" w:rsidRPr="005B7547" w:rsidRDefault="009E630F" w:rsidP="009E630F">
            <w:pPr>
              <w:rPr>
                <w:rFonts w:ascii="Gill Sans MT" w:hAnsi="Gill Sans MT"/>
              </w:rPr>
            </w:pPr>
            <w:r w:rsidRPr="005B7547">
              <w:rPr>
                <w:rFonts w:ascii="Gill Sans MT" w:hAnsi="Gill Sans MT"/>
              </w:rPr>
              <w:t xml:space="preserve">Danger of WP = becoming ‘tired cliché’ – Northampton changed name of WP department to ‘Access and </w:t>
            </w:r>
            <w:r w:rsidRPr="005B7547">
              <w:rPr>
                <w:rFonts w:ascii="Gill Sans MT" w:hAnsi="Gill Sans MT"/>
              </w:rPr>
              <w:lastRenderedPageBreak/>
              <w:t>Achievement’; similar for OU: changed to ‘Centre for Inclusion and Curriculum’</w:t>
            </w:r>
          </w:p>
          <w:p w14:paraId="12C9BE6D"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Core argument:</w:t>
            </w:r>
            <w:r w:rsidRPr="005B7547">
              <w:rPr>
                <w:rFonts w:ascii="Gill Sans MT" w:hAnsi="Gill Sans MT"/>
                <w:color w:val="000000"/>
                <w:szCs w:val="22"/>
                <w:lang w:val="en-AU"/>
              </w:rPr>
              <w:t xml:space="preserve"> Research highlights shifting notions of WP as universities changed strategic plans/ vision/ direction. Tensions exist between broad national target measurements and more student-centred measures. There is a lot of slippage between different/differing understandings of WP as policy discourse and enactments in practice.</w:t>
            </w:r>
          </w:p>
          <w:p w14:paraId="126523C6" w14:textId="609B1AB0" w:rsidR="009E630F" w:rsidRPr="005B7547" w:rsidRDefault="009E630F" w:rsidP="009E630F">
            <w:pPr>
              <w:rPr>
                <w:rFonts w:ascii="Gill Sans MT" w:hAnsi="Gill Sans MT"/>
                <w:b/>
                <w:color w:val="000000"/>
                <w:szCs w:val="22"/>
                <w:lang w:val="en-AU"/>
              </w:rPr>
            </w:pPr>
            <w:r w:rsidRPr="005B7547">
              <w:rPr>
                <w:rFonts w:ascii="Gill Sans MT" w:hAnsi="Gill Sans MT"/>
                <w:color w:val="000000"/>
                <w:szCs w:val="22"/>
                <w:lang w:val="en-AU"/>
              </w:rPr>
              <w:t>“</w:t>
            </w:r>
            <w:r w:rsidRPr="005B7547">
              <w:rPr>
                <w:rFonts w:ascii="Gill Sans MT" w:hAnsi="Gill Sans MT"/>
                <w:color w:val="000000"/>
                <w:szCs w:val="22"/>
              </w:rPr>
              <w:t>The key message from senior stakeholders for WP practitioners is to adapt and evolve, or risk extinction” (p.69).</w:t>
            </w:r>
          </w:p>
        </w:tc>
      </w:tr>
      <w:tr w:rsidR="006C71AB" w:rsidRPr="009E630F" w14:paraId="457EF47A" w14:textId="77777777" w:rsidTr="000C6DDE">
        <w:tc>
          <w:tcPr>
            <w:tcW w:w="5529" w:type="dxa"/>
          </w:tcPr>
          <w:p w14:paraId="1048D835" w14:textId="47C5D00B" w:rsidR="004917CF" w:rsidRPr="009E630F" w:rsidRDefault="004917CF" w:rsidP="004917CF">
            <w:pPr>
              <w:rPr>
                <w:rFonts w:ascii="Gill Sans MT" w:hAnsi="Gill Sans MT" w:cs="Arial"/>
                <w:szCs w:val="22"/>
              </w:rPr>
            </w:pPr>
            <w:r w:rsidRPr="009E630F">
              <w:rPr>
                <w:rFonts w:ascii="Gill Sans MT" w:hAnsi="Gill Sans MT"/>
              </w:rPr>
              <w:lastRenderedPageBreak/>
              <w:t xml:space="preserve">Clarke, J.; Zimmer, B.; &amp; Main, R. (1999). </w:t>
            </w:r>
            <w:hyperlink r:id="rId13" w:history="1">
              <w:r w:rsidRPr="00CA6562">
                <w:rPr>
                  <w:rStyle w:val="Hyperlink"/>
                  <w:rFonts w:ascii="Gill Sans MT" w:hAnsi="Gill Sans MT"/>
                </w:rPr>
                <w:t>Review of the under representation in Australian higher education by the socioeconomically disadvantaged and the implications for university planning,</w:t>
              </w:r>
            </w:hyperlink>
            <w:r w:rsidRPr="009E630F">
              <w:rPr>
                <w:rFonts w:ascii="Gill Sans MT" w:hAnsi="Gill Sans MT"/>
              </w:rPr>
              <w:t xml:space="preserve"> </w:t>
            </w:r>
            <w:r w:rsidRPr="009E630F">
              <w:rPr>
                <w:rFonts w:ascii="Gill Sans MT" w:hAnsi="Gill Sans MT" w:cs="Arial"/>
                <w:szCs w:val="22"/>
              </w:rPr>
              <w:t>J</w:t>
            </w:r>
            <w:r w:rsidRPr="009E630F">
              <w:rPr>
                <w:rFonts w:ascii="Gill Sans MT" w:hAnsi="Gill Sans MT" w:cs="Arial"/>
                <w:i/>
                <w:szCs w:val="22"/>
              </w:rPr>
              <w:t>ournal of Institutional Research in Australasia</w:t>
            </w:r>
            <w:r w:rsidRPr="009E630F">
              <w:rPr>
                <w:rFonts w:ascii="Gill Sans MT" w:hAnsi="Gill Sans MT" w:cs="Arial"/>
                <w:szCs w:val="22"/>
              </w:rPr>
              <w:t>, 8(1): 36-55.</w:t>
            </w:r>
          </w:p>
          <w:p w14:paraId="559B25F2" w14:textId="77777777" w:rsidR="006C71AB" w:rsidRPr="009E630F" w:rsidRDefault="006C71AB" w:rsidP="000C6DDE">
            <w:pPr>
              <w:rPr>
                <w:rFonts w:ascii="Gill Sans MT" w:hAnsi="Gill Sans MT"/>
                <w:i/>
                <w:szCs w:val="22"/>
              </w:rPr>
            </w:pPr>
          </w:p>
          <w:p w14:paraId="52C6EB81" w14:textId="77777777" w:rsidR="004917CF" w:rsidRPr="009E630F" w:rsidRDefault="004917CF" w:rsidP="000C6DDE">
            <w:pPr>
              <w:rPr>
                <w:rFonts w:ascii="Gill Sans MT" w:hAnsi="Gill Sans MT"/>
                <w:szCs w:val="22"/>
              </w:rPr>
            </w:pPr>
            <w:r w:rsidRPr="009E630F">
              <w:rPr>
                <w:rFonts w:ascii="Gill Sans MT" w:hAnsi="Gill Sans MT"/>
                <w:szCs w:val="22"/>
              </w:rPr>
              <w:t>AUS</w:t>
            </w:r>
          </w:p>
          <w:p w14:paraId="3594C0B7" w14:textId="77777777" w:rsidR="005510E4" w:rsidRPr="009E630F" w:rsidRDefault="005510E4" w:rsidP="005510E4">
            <w:pPr>
              <w:rPr>
                <w:rFonts w:ascii="Gill Sans MT" w:hAnsi="Gill Sans MT"/>
                <w:szCs w:val="22"/>
              </w:rPr>
            </w:pPr>
            <w:r w:rsidRPr="009E630F">
              <w:rPr>
                <w:rFonts w:ascii="Gill Sans MT" w:hAnsi="Gill Sans MT"/>
                <w:szCs w:val="22"/>
              </w:rPr>
              <w:t>Annotation by Sally Baker</w:t>
            </w:r>
          </w:p>
          <w:p w14:paraId="2F78595A" w14:textId="31CA3660" w:rsidR="00500FF8" w:rsidRPr="009E630F" w:rsidRDefault="00500FF8" w:rsidP="00500FF8">
            <w:pPr>
              <w:rPr>
                <w:rFonts w:ascii="Gill Sans MT" w:hAnsi="Gill Sans MT" w:cstheme="minorHAnsi"/>
                <w:szCs w:val="22"/>
              </w:rPr>
            </w:pPr>
          </w:p>
          <w:p w14:paraId="0641DB6F" w14:textId="6CE3D258" w:rsidR="004917CF" w:rsidRPr="009E630F" w:rsidRDefault="004917CF" w:rsidP="000C6DDE">
            <w:pPr>
              <w:rPr>
                <w:rFonts w:ascii="Gill Sans MT" w:hAnsi="Gill Sans MT"/>
                <w:szCs w:val="22"/>
              </w:rPr>
            </w:pPr>
            <w:r w:rsidRPr="009E630F">
              <w:rPr>
                <w:rFonts w:ascii="Gill Sans MT" w:hAnsi="Gill Sans MT"/>
                <w:szCs w:val="22"/>
              </w:rPr>
              <w:t xml:space="preserve">Keywords: </w:t>
            </w:r>
            <w:r w:rsidRPr="009E630F">
              <w:rPr>
                <w:rFonts w:ascii="Gill Sans MT" w:hAnsi="Gill Sans MT"/>
                <w:i/>
                <w:iCs/>
                <w:szCs w:val="22"/>
              </w:rPr>
              <w:t>low SES, equity, planning, postcode method</w:t>
            </w:r>
          </w:p>
        </w:tc>
        <w:tc>
          <w:tcPr>
            <w:tcW w:w="10064" w:type="dxa"/>
          </w:tcPr>
          <w:p w14:paraId="278BF6C9" w14:textId="77777777" w:rsidR="006C71AB" w:rsidRPr="009E630F" w:rsidRDefault="000C6DDE" w:rsidP="000C6DDE">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 xml:space="preserve">Equity planning: based on idea that equity planning needs to be improved. </w:t>
            </w:r>
            <w:proofErr w:type="gramStart"/>
            <w:r w:rsidRPr="009E630F">
              <w:rPr>
                <w:rFonts w:ascii="Gill Sans MT" w:hAnsi="Gill Sans MT"/>
                <w:color w:val="000000"/>
                <w:szCs w:val="22"/>
                <w:lang w:val="en-AU"/>
              </w:rPr>
              <w:t>Offers  brief</w:t>
            </w:r>
            <w:proofErr w:type="gramEnd"/>
            <w:r w:rsidRPr="009E630F">
              <w:rPr>
                <w:rFonts w:ascii="Gill Sans MT" w:hAnsi="Gill Sans MT"/>
                <w:color w:val="000000"/>
                <w:szCs w:val="22"/>
                <w:lang w:val="en-AU"/>
              </w:rPr>
              <w:t xml:space="preserve"> scope of historical-political context</w:t>
            </w:r>
          </w:p>
          <w:p w14:paraId="3F873F1B" w14:textId="77777777" w:rsidR="000C6DDE" w:rsidRPr="009E630F" w:rsidRDefault="000C6DDE" w:rsidP="000C6DDE">
            <w:pPr>
              <w:rPr>
                <w:rFonts w:ascii="Gill Sans MT" w:hAnsi="Gill Sans MT"/>
                <w:color w:val="000000"/>
                <w:szCs w:val="22"/>
                <w:lang w:val="en-AU"/>
              </w:rPr>
            </w:pPr>
            <w:r w:rsidRPr="009E630F">
              <w:rPr>
                <w:rFonts w:ascii="Gill Sans MT" w:hAnsi="Gill Sans MT"/>
                <w:b/>
                <w:color w:val="000000"/>
                <w:szCs w:val="22"/>
                <w:lang w:val="en-AU"/>
              </w:rPr>
              <w:t xml:space="preserve">Aims: </w:t>
            </w:r>
            <w:r w:rsidRPr="009E630F">
              <w:rPr>
                <w:rFonts w:ascii="Gill Sans MT" w:hAnsi="Gill Sans MT"/>
                <w:color w:val="000000"/>
                <w:szCs w:val="22"/>
                <w:lang w:val="en-AU"/>
              </w:rPr>
              <w:t>To provide a ‘structured context’ for exploring participation of low SES students in Australian higher education, in terms of definitions, how they are identified and reasons for under-representation</w:t>
            </w:r>
          </w:p>
          <w:p w14:paraId="428CD097" w14:textId="77777777" w:rsidR="000C6DDE" w:rsidRPr="009E630F" w:rsidRDefault="000C6DDE" w:rsidP="000C6DDE">
            <w:pPr>
              <w:rPr>
                <w:rFonts w:ascii="Gill Sans MT" w:hAnsi="Gill Sans MT"/>
                <w:color w:val="000000"/>
                <w:szCs w:val="22"/>
                <w:lang w:val="en-AU"/>
              </w:rPr>
            </w:pPr>
            <w:r w:rsidRPr="009E630F">
              <w:rPr>
                <w:rFonts w:ascii="Gill Sans MT" w:hAnsi="Gill Sans MT"/>
                <w:b/>
                <w:color w:val="000000"/>
                <w:szCs w:val="22"/>
                <w:lang w:val="en-AU"/>
              </w:rPr>
              <w:t xml:space="preserve">Methodology: </w:t>
            </w:r>
            <w:r w:rsidRPr="009E630F">
              <w:rPr>
                <w:rFonts w:ascii="Gill Sans MT" w:hAnsi="Gill Sans MT"/>
                <w:color w:val="000000"/>
                <w:szCs w:val="22"/>
                <w:lang w:val="en-AU"/>
              </w:rPr>
              <w:t>Essay</w:t>
            </w:r>
            <w:r w:rsidR="00D57E50" w:rsidRPr="009E630F">
              <w:rPr>
                <w:rFonts w:ascii="Gill Sans MT" w:hAnsi="Gill Sans MT"/>
                <w:color w:val="000000"/>
                <w:szCs w:val="22"/>
                <w:lang w:val="en-AU"/>
              </w:rPr>
              <w:t xml:space="preserve">, draws on previous research for strategies: </w:t>
            </w:r>
            <w:proofErr w:type="spellStart"/>
            <w:r w:rsidR="00D57E50" w:rsidRPr="009E630F">
              <w:rPr>
                <w:rFonts w:ascii="Gill Sans MT" w:hAnsi="Gill Sans MT"/>
                <w:color w:val="000000"/>
                <w:szCs w:val="22"/>
                <w:lang w:val="en-US"/>
              </w:rPr>
              <w:t>Postle</w:t>
            </w:r>
            <w:proofErr w:type="spellEnd"/>
            <w:r w:rsidR="00D57E50" w:rsidRPr="009E630F">
              <w:rPr>
                <w:rFonts w:ascii="Gill Sans MT" w:hAnsi="Gill Sans MT"/>
                <w:color w:val="000000"/>
                <w:szCs w:val="22"/>
                <w:lang w:val="en-US"/>
              </w:rPr>
              <w:t>, Clarke &amp; Bull (1997)</w:t>
            </w:r>
          </w:p>
          <w:p w14:paraId="2F2B0C45" w14:textId="77777777" w:rsidR="000C6DDE" w:rsidRPr="009E630F" w:rsidRDefault="000C6DDE" w:rsidP="000C6DDE">
            <w:pPr>
              <w:rPr>
                <w:rFonts w:ascii="Gill Sans MT" w:hAnsi="Gill Sans MT"/>
                <w:b/>
                <w:color w:val="000000"/>
                <w:szCs w:val="22"/>
                <w:lang w:val="en-AU"/>
              </w:rPr>
            </w:pPr>
            <w:r w:rsidRPr="009E630F">
              <w:rPr>
                <w:rFonts w:ascii="Gill Sans MT" w:hAnsi="Gill Sans MT"/>
                <w:b/>
                <w:color w:val="000000"/>
                <w:szCs w:val="22"/>
                <w:lang w:val="en-AU"/>
              </w:rPr>
              <w:t>Discussion:</w:t>
            </w:r>
          </w:p>
          <w:p w14:paraId="21827D9F" w14:textId="77777777" w:rsidR="000C6DDE" w:rsidRPr="009E630F" w:rsidRDefault="000C6DDE" w:rsidP="000C6DDE">
            <w:pPr>
              <w:rPr>
                <w:rFonts w:ascii="Gill Sans MT" w:hAnsi="Gill Sans MT"/>
                <w:color w:val="000000"/>
                <w:szCs w:val="22"/>
                <w:lang w:val="en-AU"/>
              </w:rPr>
            </w:pPr>
            <w:r w:rsidRPr="009E630F">
              <w:rPr>
                <w:rFonts w:ascii="Gill Sans MT" w:hAnsi="Gill Sans MT"/>
                <w:color w:val="000000"/>
                <w:szCs w:val="22"/>
                <w:u w:val="single"/>
                <w:lang w:val="en-AU"/>
              </w:rPr>
              <w:t>Measurement of SES</w:t>
            </w:r>
            <w:r w:rsidRPr="009E630F">
              <w:rPr>
                <w:rFonts w:ascii="Gill Sans MT" w:hAnsi="Gill Sans MT"/>
                <w:color w:val="000000"/>
                <w:szCs w:val="22"/>
                <w:lang w:val="en-AU"/>
              </w:rPr>
              <w:t>: notes little international agreement on how to identify low SES – problems with all three traditional scales (parents’ occupation, class, postcode). Also parents’ education does not help with identifying mature age students’ SES (also see arguments about postcode). Also, notes how different universities may recruit from different constituencies within a postcode (because = not homogenous locations).</w:t>
            </w:r>
          </w:p>
          <w:p w14:paraId="261A0C56" w14:textId="77777777" w:rsidR="000C6DDE" w:rsidRPr="009E630F" w:rsidRDefault="000C6DDE" w:rsidP="000C6DDE">
            <w:pPr>
              <w:rPr>
                <w:rFonts w:ascii="Gill Sans MT" w:hAnsi="Gill Sans MT"/>
                <w:color w:val="000000"/>
                <w:szCs w:val="22"/>
                <w:lang w:val="en-US"/>
              </w:rPr>
            </w:pPr>
            <w:r w:rsidRPr="009E630F">
              <w:rPr>
                <w:rFonts w:ascii="Gill Sans MT" w:hAnsi="Gill Sans MT"/>
                <w:color w:val="000000"/>
                <w:szCs w:val="22"/>
                <w:lang w:val="en-AU"/>
              </w:rPr>
              <w:t>Barriers to participation: financial barriers, including “</w:t>
            </w:r>
            <w:r w:rsidRPr="009E630F">
              <w:rPr>
                <w:rFonts w:ascii="Gill Sans MT" w:hAnsi="Gill Sans MT"/>
                <w:color w:val="000000"/>
                <w:szCs w:val="22"/>
                <w:lang w:val="en-US"/>
              </w:rPr>
              <w:t xml:space="preserve">the impact of limited flexibility or range of income sources; a lack of confidence in committing to significant debt (through HECS or other loans); a lack of financial support networks; or limitations in the ability to arrange relief from family or other responsibilities” (p.4); cultural differences (reproduces arguments that low SES families have lower aspirations), influence of schooling, limited awareness of HE. In 1994, NBEET produced a list of factors that </w:t>
            </w:r>
            <w:proofErr w:type="gramStart"/>
            <w:r w:rsidRPr="009E630F">
              <w:rPr>
                <w:rFonts w:ascii="Gill Sans MT" w:hAnsi="Gill Sans MT"/>
                <w:color w:val="000000"/>
                <w:szCs w:val="22"/>
                <w:lang w:val="en-US"/>
              </w:rPr>
              <w:t>impede  low</w:t>
            </w:r>
            <w:proofErr w:type="gramEnd"/>
            <w:r w:rsidRPr="009E630F">
              <w:rPr>
                <w:rFonts w:ascii="Gill Sans MT" w:hAnsi="Gill Sans MT"/>
                <w:color w:val="000000"/>
                <w:szCs w:val="22"/>
                <w:lang w:val="en-US"/>
              </w:rPr>
              <w:t xml:space="preserve"> SES success in HE: “lack of time to study; underdeveloped or rusty learning skills; competing claims of employment or family; social isolation at university; and separation from familiar social networks” (p.5). Also notes intersection of multiple disadvantages (p.6).</w:t>
            </w:r>
          </w:p>
          <w:p w14:paraId="50581556" w14:textId="77777777" w:rsidR="000C6DDE" w:rsidRPr="009E630F" w:rsidRDefault="000C6DDE" w:rsidP="000C6DDE">
            <w:pPr>
              <w:rPr>
                <w:rFonts w:ascii="Gill Sans MT" w:hAnsi="Gill Sans MT"/>
                <w:color w:val="000000"/>
                <w:szCs w:val="22"/>
                <w:lang w:val="en-US"/>
              </w:rPr>
            </w:pPr>
            <w:r w:rsidRPr="009E630F">
              <w:rPr>
                <w:rFonts w:ascii="Gill Sans MT" w:hAnsi="Gill Sans MT"/>
                <w:color w:val="000000"/>
                <w:szCs w:val="22"/>
                <w:lang w:val="en-US"/>
              </w:rPr>
              <w:t>Offers overview of institutional strategies in place:</w:t>
            </w:r>
          </w:p>
          <w:p w14:paraId="5E3752C4" w14:textId="77777777" w:rsidR="000C6DDE" w:rsidRPr="009E630F" w:rsidRDefault="000C6DDE" w:rsidP="00D57E50">
            <w:pPr>
              <w:pStyle w:val="ListParagraph"/>
              <w:numPr>
                <w:ilvl w:val="0"/>
                <w:numId w:val="4"/>
              </w:numPr>
              <w:rPr>
                <w:rFonts w:ascii="Gill Sans MT" w:hAnsi="Gill Sans MT"/>
                <w:color w:val="000000"/>
                <w:szCs w:val="22"/>
                <w:lang w:val="en-US"/>
              </w:rPr>
            </w:pPr>
            <w:r w:rsidRPr="009E630F">
              <w:rPr>
                <w:rFonts w:ascii="Gill Sans MT" w:hAnsi="Gill Sans MT"/>
                <w:i/>
                <w:color w:val="000000"/>
                <w:szCs w:val="22"/>
                <w:lang w:val="en-US"/>
              </w:rPr>
              <w:t>School links programs</w:t>
            </w:r>
            <w:r w:rsidRPr="009E630F">
              <w:rPr>
                <w:rFonts w:ascii="Gill Sans MT" w:hAnsi="Gill Sans MT"/>
                <w:color w:val="000000"/>
                <w:szCs w:val="22"/>
                <w:lang w:val="en-US"/>
              </w:rPr>
              <w:t xml:space="preserve"> [aka outreach]</w:t>
            </w:r>
            <w:r w:rsidR="00D57E50" w:rsidRPr="009E630F">
              <w:rPr>
                <w:rFonts w:ascii="Gill Sans MT" w:hAnsi="Gill Sans MT"/>
                <w:color w:val="000000"/>
                <w:szCs w:val="22"/>
                <w:lang w:val="en-US"/>
              </w:rPr>
              <w:t xml:space="preserve"> as long established “means of recruitment” (p.7)</w:t>
            </w:r>
          </w:p>
          <w:p w14:paraId="0B6F10D5" w14:textId="77777777" w:rsidR="00D57E50" w:rsidRPr="009E630F" w:rsidRDefault="00D57E50" w:rsidP="00D57E50">
            <w:pPr>
              <w:pStyle w:val="ListParagraph"/>
              <w:numPr>
                <w:ilvl w:val="0"/>
                <w:numId w:val="4"/>
              </w:numPr>
              <w:rPr>
                <w:rFonts w:ascii="Gill Sans MT" w:hAnsi="Gill Sans MT"/>
                <w:color w:val="000000"/>
                <w:szCs w:val="22"/>
                <w:lang w:val="en-US"/>
              </w:rPr>
            </w:pPr>
            <w:r w:rsidRPr="009E630F">
              <w:rPr>
                <w:rFonts w:ascii="Gill Sans MT" w:hAnsi="Gill Sans MT"/>
                <w:i/>
                <w:color w:val="000000"/>
                <w:szCs w:val="22"/>
                <w:lang w:val="en-US"/>
              </w:rPr>
              <w:t>Enabling programs</w:t>
            </w:r>
            <w:r w:rsidRPr="009E630F">
              <w:rPr>
                <w:rFonts w:ascii="Gill Sans MT" w:hAnsi="Gill Sans MT"/>
                <w:color w:val="000000"/>
                <w:szCs w:val="22"/>
                <w:lang w:val="en-US"/>
              </w:rPr>
              <w:t xml:space="preserve">: </w:t>
            </w:r>
            <w:proofErr w:type="spellStart"/>
            <w:r w:rsidRPr="009E630F">
              <w:rPr>
                <w:rFonts w:ascii="Gill Sans MT" w:hAnsi="Gill Sans MT"/>
                <w:color w:val="000000"/>
                <w:szCs w:val="22"/>
                <w:lang w:val="en-US"/>
              </w:rPr>
              <w:t>Postle</w:t>
            </w:r>
            <w:proofErr w:type="spellEnd"/>
            <w:r w:rsidRPr="009E630F">
              <w:rPr>
                <w:rFonts w:ascii="Gill Sans MT" w:hAnsi="Gill Sans MT"/>
                <w:color w:val="000000"/>
                <w:szCs w:val="22"/>
                <w:lang w:val="en-US"/>
              </w:rPr>
              <w:t>, Clarke &amp; Bull (1997) = reported that 23 universities had some form of enabling program in 1995 equity plans, but these were mostly small – only 7 had more than 100 EFTSU. Bridging programs for Indigenous students = 40% of enabling load.</w:t>
            </w:r>
          </w:p>
          <w:p w14:paraId="3EE576DF" w14:textId="77777777" w:rsidR="00D57E50" w:rsidRPr="009E630F" w:rsidRDefault="00D57E50" w:rsidP="00D57E50">
            <w:pPr>
              <w:pStyle w:val="ListParagraph"/>
              <w:numPr>
                <w:ilvl w:val="0"/>
                <w:numId w:val="4"/>
              </w:numPr>
              <w:rPr>
                <w:rFonts w:ascii="Gill Sans MT" w:hAnsi="Gill Sans MT"/>
                <w:color w:val="000000"/>
                <w:szCs w:val="22"/>
                <w:lang w:val="en-US"/>
              </w:rPr>
            </w:pPr>
            <w:r w:rsidRPr="009E630F">
              <w:rPr>
                <w:rFonts w:ascii="Gill Sans MT" w:hAnsi="Gill Sans MT"/>
                <w:color w:val="000000"/>
                <w:szCs w:val="22"/>
                <w:lang w:val="en-US"/>
              </w:rPr>
              <w:t>Special admissions schemes: e.g. RPL and non-traditional entry for specific groups (e.g. WINTA).</w:t>
            </w:r>
          </w:p>
          <w:p w14:paraId="040E2B66" w14:textId="77777777" w:rsidR="00D57E50" w:rsidRPr="009E630F" w:rsidRDefault="00D57E50" w:rsidP="00D57E50">
            <w:pPr>
              <w:pStyle w:val="ListParagraph"/>
              <w:numPr>
                <w:ilvl w:val="0"/>
                <w:numId w:val="4"/>
              </w:numPr>
              <w:rPr>
                <w:rFonts w:ascii="Gill Sans MT" w:hAnsi="Gill Sans MT"/>
                <w:color w:val="000000"/>
                <w:szCs w:val="22"/>
                <w:lang w:val="en-US"/>
              </w:rPr>
            </w:pPr>
            <w:r w:rsidRPr="009E630F">
              <w:rPr>
                <w:rFonts w:ascii="Gill Sans MT" w:hAnsi="Gill Sans MT"/>
                <w:color w:val="000000"/>
                <w:szCs w:val="22"/>
                <w:lang w:val="en-US"/>
              </w:rPr>
              <w:lastRenderedPageBreak/>
              <w:t xml:space="preserve">Few universities surveyed in </w:t>
            </w:r>
            <w:proofErr w:type="spellStart"/>
            <w:r w:rsidRPr="009E630F">
              <w:rPr>
                <w:rFonts w:ascii="Gill Sans MT" w:hAnsi="Gill Sans MT"/>
                <w:color w:val="000000"/>
                <w:szCs w:val="22"/>
                <w:lang w:val="en-US"/>
              </w:rPr>
              <w:t>Postle</w:t>
            </w:r>
            <w:proofErr w:type="spellEnd"/>
            <w:r w:rsidRPr="009E630F">
              <w:rPr>
                <w:rFonts w:ascii="Gill Sans MT" w:hAnsi="Gill Sans MT"/>
                <w:color w:val="000000"/>
                <w:szCs w:val="22"/>
                <w:lang w:val="en-US"/>
              </w:rPr>
              <w:t>, Clarke &amp; Bull (1997) offered additional financial support to low SES students beyond routine arrangements</w:t>
            </w:r>
          </w:p>
          <w:p w14:paraId="2EA38820" w14:textId="77777777" w:rsidR="00D57E50" w:rsidRPr="009E630F" w:rsidRDefault="00D57E50" w:rsidP="00D57E50">
            <w:pPr>
              <w:pStyle w:val="ListParagraph"/>
              <w:numPr>
                <w:ilvl w:val="0"/>
                <w:numId w:val="4"/>
              </w:numPr>
              <w:rPr>
                <w:rFonts w:ascii="Gill Sans MT" w:hAnsi="Gill Sans MT"/>
                <w:color w:val="000000"/>
                <w:szCs w:val="22"/>
                <w:lang w:val="en-US"/>
              </w:rPr>
            </w:pPr>
            <w:r w:rsidRPr="009E630F">
              <w:rPr>
                <w:rFonts w:ascii="Gill Sans MT" w:hAnsi="Gill Sans MT"/>
                <w:color w:val="000000"/>
                <w:szCs w:val="22"/>
                <w:lang w:val="en-US"/>
              </w:rPr>
              <w:t>Most universities offered some form of generic student support</w:t>
            </w:r>
          </w:p>
          <w:p w14:paraId="52AA0393" w14:textId="77777777" w:rsidR="00F84AA3" w:rsidRPr="009E630F" w:rsidRDefault="000C6DDE" w:rsidP="000C6DDE">
            <w:pPr>
              <w:rPr>
                <w:rFonts w:ascii="Gill Sans MT" w:hAnsi="Gill Sans MT"/>
                <w:color w:val="000000"/>
                <w:szCs w:val="22"/>
                <w:lang w:val="en-AU"/>
              </w:rPr>
            </w:pPr>
            <w:r w:rsidRPr="009E630F">
              <w:rPr>
                <w:rFonts w:ascii="Gill Sans MT" w:hAnsi="Gill Sans MT"/>
                <w:b/>
                <w:color w:val="000000"/>
                <w:szCs w:val="22"/>
                <w:lang w:val="en-AU"/>
              </w:rPr>
              <w:t>Core argument:</w:t>
            </w:r>
            <w:r w:rsidR="00D57E50" w:rsidRPr="009E630F">
              <w:rPr>
                <w:rFonts w:ascii="Gill Sans MT" w:hAnsi="Gill Sans MT"/>
                <w:b/>
                <w:color w:val="000000"/>
                <w:szCs w:val="22"/>
                <w:lang w:val="en-AU"/>
              </w:rPr>
              <w:t xml:space="preserve"> </w:t>
            </w:r>
            <w:r w:rsidR="00D57E50" w:rsidRPr="009E630F">
              <w:rPr>
                <w:rFonts w:ascii="Gill Sans MT" w:hAnsi="Gill Sans MT"/>
                <w:color w:val="000000"/>
                <w:szCs w:val="22"/>
                <w:lang w:val="en-AU"/>
              </w:rPr>
              <w:t>Implications for planning: need to improve measurement tools for identifying SES</w:t>
            </w:r>
            <w:r w:rsidR="00F84AA3" w:rsidRPr="009E630F">
              <w:rPr>
                <w:rFonts w:ascii="Gill Sans MT" w:hAnsi="Gill Sans MT"/>
                <w:color w:val="000000"/>
                <w:szCs w:val="22"/>
                <w:lang w:val="en-AU"/>
              </w:rPr>
              <w:t>, more research on catchment, especially for regional universities, and more analysis of cohorts (tracking extent and pattern of retention, persistence and successful completion) + qualitative research to understand lived experience of factors of disadvantage. Equity planners need to set objectives regarding environmental/ contextual analysis and need to consider older (non-school leaving) students. Better evaluation and monitoring needed [still the case 17 years later!!] and better linkages need to be developed to make equity everyone’s business</w:t>
            </w:r>
            <w:r w:rsidR="006F29D7" w:rsidRPr="009E630F">
              <w:rPr>
                <w:rFonts w:ascii="Gill Sans MT" w:hAnsi="Gill Sans MT"/>
                <w:color w:val="000000"/>
                <w:szCs w:val="22"/>
                <w:lang w:val="en-AU"/>
              </w:rPr>
              <w:t xml:space="preserve">. </w:t>
            </w:r>
          </w:p>
          <w:p w14:paraId="5F57F0F9" w14:textId="77777777" w:rsidR="006F29D7" w:rsidRPr="009E630F" w:rsidRDefault="006F29D7" w:rsidP="000C6DDE">
            <w:pPr>
              <w:rPr>
                <w:rFonts w:ascii="Gill Sans MT" w:hAnsi="Gill Sans MT"/>
                <w:color w:val="000000"/>
                <w:szCs w:val="22"/>
                <w:lang w:val="en-AU"/>
              </w:rPr>
            </w:pPr>
            <w:r w:rsidRPr="009E630F">
              <w:rPr>
                <w:rFonts w:ascii="Gill Sans MT" w:hAnsi="Gill Sans MT"/>
                <w:color w:val="000000"/>
                <w:szCs w:val="22"/>
                <w:u w:val="single"/>
                <w:lang w:val="en-AU"/>
              </w:rPr>
              <w:t>Suggestions for universities</w:t>
            </w:r>
            <w:r w:rsidRPr="009E630F">
              <w:rPr>
                <w:rFonts w:ascii="Gill Sans MT" w:hAnsi="Gill Sans MT"/>
                <w:color w:val="000000"/>
                <w:szCs w:val="22"/>
                <w:lang w:val="en-AU"/>
              </w:rPr>
              <w:t>:</w:t>
            </w:r>
          </w:p>
          <w:p w14:paraId="4BC460BD" w14:textId="77777777" w:rsidR="006F29D7" w:rsidRPr="009E630F" w:rsidRDefault="006F29D7" w:rsidP="006F29D7">
            <w:pPr>
              <w:pStyle w:val="ListParagraph"/>
              <w:numPr>
                <w:ilvl w:val="0"/>
                <w:numId w:val="5"/>
              </w:numPr>
              <w:rPr>
                <w:rFonts w:ascii="Gill Sans MT" w:hAnsi="Gill Sans MT"/>
                <w:color w:val="000000"/>
                <w:szCs w:val="22"/>
                <w:lang w:val="en-AU"/>
              </w:rPr>
            </w:pPr>
            <w:r w:rsidRPr="009E630F">
              <w:rPr>
                <w:rFonts w:ascii="Gill Sans MT" w:hAnsi="Gill Sans MT"/>
                <w:color w:val="000000"/>
                <w:szCs w:val="22"/>
                <w:lang w:val="en-AU"/>
              </w:rPr>
              <w:t>Improve low SES students’ awareness (not just school links)</w:t>
            </w:r>
          </w:p>
          <w:p w14:paraId="47C01C29" w14:textId="77777777" w:rsidR="006F29D7" w:rsidRPr="009E630F" w:rsidRDefault="006F29D7" w:rsidP="006F29D7">
            <w:pPr>
              <w:pStyle w:val="ListParagraph"/>
              <w:numPr>
                <w:ilvl w:val="0"/>
                <w:numId w:val="5"/>
              </w:numPr>
              <w:rPr>
                <w:rFonts w:ascii="Gill Sans MT" w:hAnsi="Gill Sans MT"/>
                <w:color w:val="000000"/>
                <w:szCs w:val="22"/>
                <w:lang w:val="en-AU"/>
              </w:rPr>
            </w:pPr>
            <w:r w:rsidRPr="009E630F">
              <w:rPr>
                <w:rFonts w:ascii="Gill Sans MT" w:hAnsi="Gill Sans MT"/>
                <w:color w:val="000000"/>
                <w:szCs w:val="22"/>
                <w:lang w:val="en-AU"/>
              </w:rPr>
              <w:t>Provide more financial support</w:t>
            </w:r>
          </w:p>
          <w:p w14:paraId="30052125" w14:textId="77777777" w:rsidR="006F29D7" w:rsidRPr="009E630F" w:rsidRDefault="006F29D7" w:rsidP="006F29D7">
            <w:pPr>
              <w:pStyle w:val="ListParagraph"/>
              <w:numPr>
                <w:ilvl w:val="0"/>
                <w:numId w:val="5"/>
              </w:numPr>
              <w:rPr>
                <w:rFonts w:ascii="Gill Sans MT" w:hAnsi="Gill Sans MT"/>
                <w:color w:val="000000"/>
                <w:szCs w:val="22"/>
                <w:lang w:val="en-AU"/>
              </w:rPr>
            </w:pPr>
            <w:r w:rsidRPr="009E630F">
              <w:rPr>
                <w:rFonts w:ascii="Gill Sans MT" w:hAnsi="Gill Sans MT"/>
                <w:color w:val="000000"/>
                <w:szCs w:val="22"/>
                <w:lang w:val="en-AU"/>
              </w:rPr>
              <w:t>Expand ‘bridging and remedial’ programs and develop links with TAFE</w:t>
            </w:r>
          </w:p>
          <w:p w14:paraId="4FD55086" w14:textId="77777777" w:rsidR="006F29D7" w:rsidRPr="009E630F" w:rsidRDefault="006F29D7" w:rsidP="006F29D7">
            <w:pPr>
              <w:pStyle w:val="ListParagraph"/>
              <w:numPr>
                <w:ilvl w:val="0"/>
                <w:numId w:val="5"/>
              </w:numPr>
              <w:rPr>
                <w:rFonts w:ascii="Gill Sans MT" w:hAnsi="Gill Sans MT"/>
                <w:color w:val="000000"/>
                <w:szCs w:val="22"/>
                <w:lang w:val="en-AU"/>
              </w:rPr>
            </w:pPr>
            <w:r w:rsidRPr="009E630F">
              <w:rPr>
                <w:rFonts w:ascii="Gill Sans MT" w:hAnsi="Gill Sans MT"/>
                <w:color w:val="000000"/>
                <w:szCs w:val="22"/>
                <w:lang w:val="en-AU"/>
              </w:rPr>
              <w:t xml:space="preserve">Consider role of technology </w:t>
            </w:r>
          </w:p>
        </w:tc>
      </w:tr>
      <w:tr w:rsidR="006C71AB" w:rsidRPr="009E630F" w14:paraId="0D41BB88" w14:textId="77777777" w:rsidTr="000C6DDE">
        <w:tc>
          <w:tcPr>
            <w:tcW w:w="5529" w:type="dxa"/>
          </w:tcPr>
          <w:p w14:paraId="3275D752" w14:textId="1C706DBD" w:rsidR="006C71AB" w:rsidRPr="009E630F" w:rsidRDefault="006C71AB" w:rsidP="000C6DDE">
            <w:pPr>
              <w:rPr>
                <w:rFonts w:ascii="Gill Sans MT" w:hAnsi="Gill Sans MT"/>
                <w:szCs w:val="22"/>
              </w:rPr>
            </w:pPr>
            <w:r w:rsidRPr="009E630F">
              <w:rPr>
                <w:rFonts w:ascii="Gill Sans MT" w:hAnsi="Gill Sans MT"/>
                <w:szCs w:val="22"/>
              </w:rPr>
              <w:lastRenderedPageBreak/>
              <w:t xml:space="preserve">Coates, H. &amp; Krause, K.L. (2005). </w:t>
            </w:r>
            <w:hyperlink r:id="rId14" w:history="1">
              <w:r w:rsidRPr="009E630F">
                <w:rPr>
                  <w:rStyle w:val="Hyperlink"/>
                  <w:rFonts w:ascii="Gill Sans MT" w:hAnsi="Gill Sans MT"/>
                  <w:szCs w:val="22"/>
                </w:rPr>
                <w:t>Investigating Ten Years of Equity Policy in Australian Higher Education</w:t>
              </w:r>
            </w:hyperlink>
            <w:r w:rsidR="009E630F">
              <w:rPr>
                <w:rFonts w:ascii="Gill Sans MT" w:hAnsi="Gill Sans MT"/>
                <w:szCs w:val="22"/>
              </w:rPr>
              <w:t>,</w:t>
            </w:r>
            <w:r w:rsidRPr="009E630F">
              <w:rPr>
                <w:rFonts w:ascii="Gill Sans MT" w:hAnsi="Gill Sans MT"/>
                <w:szCs w:val="22"/>
              </w:rPr>
              <w:t xml:space="preserve"> </w:t>
            </w:r>
            <w:r w:rsidRPr="009E630F">
              <w:rPr>
                <w:rFonts w:ascii="Gill Sans MT" w:hAnsi="Gill Sans MT"/>
                <w:i/>
                <w:szCs w:val="22"/>
              </w:rPr>
              <w:t xml:space="preserve">Journal of Higher Education Policy and Management, </w:t>
            </w:r>
            <w:r w:rsidRPr="009E630F">
              <w:rPr>
                <w:rFonts w:ascii="Gill Sans MT" w:hAnsi="Gill Sans MT"/>
                <w:szCs w:val="22"/>
              </w:rPr>
              <w:t>27(1)</w:t>
            </w:r>
            <w:r w:rsidR="009E630F">
              <w:rPr>
                <w:rFonts w:ascii="Gill Sans MT" w:hAnsi="Gill Sans MT"/>
                <w:szCs w:val="22"/>
              </w:rPr>
              <w:t>,</w:t>
            </w:r>
            <w:r w:rsidRPr="009E630F">
              <w:rPr>
                <w:rFonts w:ascii="Gill Sans MT" w:hAnsi="Gill Sans MT"/>
                <w:szCs w:val="22"/>
              </w:rPr>
              <w:t xml:space="preserve"> 35</w:t>
            </w:r>
            <w:r w:rsidR="009E630F">
              <w:rPr>
                <w:rFonts w:ascii="Gill Sans MT" w:hAnsi="Gill Sans MT"/>
                <w:szCs w:val="22"/>
              </w:rPr>
              <w:t>–</w:t>
            </w:r>
            <w:r w:rsidRPr="009E630F">
              <w:rPr>
                <w:rFonts w:ascii="Gill Sans MT" w:hAnsi="Gill Sans MT"/>
                <w:szCs w:val="22"/>
              </w:rPr>
              <w:t>47.</w:t>
            </w:r>
          </w:p>
          <w:p w14:paraId="6DD226F3" w14:textId="77777777" w:rsidR="006C71AB" w:rsidRPr="009E630F" w:rsidRDefault="006C71AB" w:rsidP="000C6DDE">
            <w:pPr>
              <w:rPr>
                <w:rFonts w:ascii="Gill Sans MT" w:hAnsi="Gill Sans MT"/>
                <w:szCs w:val="22"/>
              </w:rPr>
            </w:pPr>
          </w:p>
          <w:p w14:paraId="5CA1EC93" w14:textId="77777777" w:rsidR="006C71AB" w:rsidRPr="009E630F" w:rsidRDefault="006C71AB" w:rsidP="000C6DDE">
            <w:pPr>
              <w:rPr>
                <w:rFonts w:ascii="Gill Sans MT" w:hAnsi="Gill Sans MT"/>
                <w:szCs w:val="22"/>
              </w:rPr>
            </w:pPr>
            <w:r w:rsidRPr="009E630F">
              <w:rPr>
                <w:rFonts w:ascii="Gill Sans MT" w:hAnsi="Gill Sans MT"/>
                <w:szCs w:val="22"/>
              </w:rPr>
              <w:t>AUS</w:t>
            </w:r>
          </w:p>
          <w:p w14:paraId="4A86D5F0" w14:textId="77777777" w:rsidR="005510E4" w:rsidRPr="009E630F" w:rsidRDefault="005510E4" w:rsidP="005510E4">
            <w:pPr>
              <w:rPr>
                <w:rFonts w:ascii="Gill Sans MT" w:hAnsi="Gill Sans MT"/>
                <w:szCs w:val="22"/>
              </w:rPr>
            </w:pPr>
            <w:r w:rsidRPr="009E630F">
              <w:rPr>
                <w:rFonts w:ascii="Gill Sans MT" w:hAnsi="Gill Sans MT"/>
                <w:szCs w:val="22"/>
              </w:rPr>
              <w:t>Annotation by Sally Baker</w:t>
            </w:r>
          </w:p>
          <w:p w14:paraId="322D2107" w14:textId="77777777" w:rsidR="00500FF8" w:rsidRPr="009E630F" w:rsidRDefault="00500FF8" w:rsidP="009E630F">
            <w:pPr>
              <w:rPr>
                <w:rFonts w:ascii="Gill Sans MT" w:hAnsi="Gill Sans MT"/>
                <w:szCs w:val="22"/>
              </w:rPr>
            </w:pPr>
          </w:p>
        </w:tc>
        <w:tc>
          <w:tcPr>
            <w:tcW w:w="10064" w:type="dxa"/>
          </w:tcPr>
          <w:p w14:paraId="0858E0FD" w14:textId="77777777" w:rsidR="006C71AB" w:rsidRPr="009E630F" w:rsidRDefault="006C71AB" w:rsidP="000C6DDE">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 xml:space="preserve">Reports on findings from longitudinal (1991-2002) study of Australian HE equity data and outlines the difficulty/ makes the case for defining new equity groups.  </w:t>
            </w:r>
          </w:p>
          <w:p w14:paraId="54BBFC69" w14:textId="77777777" w:rsidR="006C71AB" w:rsidRPr="009E630F" w:rsidRDefault="006C71AB" w:rsidP="000C6DDE">
            <w:pPr>
              <w:rPr>
                <w:rFonts w:ascii="Gill Sans MT" w:hAnsi="Gill Sans MT"/>
                <w:color w:val="000000"/>
                <w:szCs w:val="22"/>
                <w:lang w:val="en-AU"/>
              </w:rPr>
            </w:pPr>
            <w:r w:rsidRPr="009E630F">
              <w:rPr>
                <w:rFonts w:ascii="Gill Sans MT" w:hAnsi="Gill Sans MT"/>
                <w:b/>
                <w:color w:val="000000"/>
                <w:szCs w:val="22"/>
                <w:lang w:val="en-AU"/>
              </w:rPr>
              <w:t xml:space="preserve">Findings: </w:t>
            </w:r>
            <w:r w:rsidRPr="009E630F">
              <w:rPr>
                <w:rFonts w:ascii="Gill Sans MT" w:hAnsi="Gill Sans MT"/>
                <w:color w:val="000000"/>
                <w:szCs w:val="22"/>
                <w:lang w:val="en-AU"/>
              </w:rPr>
              <w:t xml:space="preserve">Discusses three options for identifying new groups: exploratory empirical approach, new groups might develop from overlapping membership of multiple existing groups, generated from research/ practice insights. </w:t>
            </w:r>
          </w:p>
          <w:p w14:paraId="4ACF3251" w14:textId="77777777" w:rsidR="006C71AB" w:rsidRPr="009E630F" w:rsidRDefault="006C71AB" w:rsidP="006C71AB">
            <w:pPr>
              <w:pStyle w:val="ListParagraph"/>
              <w:numPr>
                <w:ilvl w:val="0"/>
                <w:numId w:val="3"/>
              </w:numPr>
              <w:rPr>
                <w:rFonts w:ascii="Gill Sans MT" w:hAnsi="Gill Sans MT"/>
                <w:color w:val="000000"/>
                <w:szCs w:val="22"/>
                <w:lang w:val="en-AU"/>
              </w:rPr>
            </w:pPr>
            <w:r w:rsidRPr="009E630F">
              <w:rPr>
                <w:rFonts w:ascii="Gill Sans MT" w:hAnsi="Gill Sans MT"/>
                <w:color w:val="000000"/>
                <w:szCs w:val="22"/>
                <w:lang w:val="en-AU"/>
              </w:rPr>
              <w:t>exploratory empirical approach: depends on appropriate data about HE students being available for comparison with census/survey data and on the idea that collecting data on student groups = ‘circular’: “unless an attribute had already been considered important to measure, then it is only by accident that relevant data would exist” (p.37-8)</w:t>
            </w:r>
          </w:p>
          <w:p w14:paraId="09CA3608" w14:textId="77777777" w:rsidR="006C71AB" w:rsidRPr="009E630F" w:rsidRDefault="006C71AB" w:rsidP="006C71AB">
            <w:pPr>
              <w:pStyle w:val="ListParagraph"/>
              <w:numPr>
                <w:ilvl w:val="0"/>
                <w:numId w:val="3"/>
              </w:numPr>
              <w:rPr>
                <w:rFonts w:ascii="Gill Sans MT" w:hAnsi="Gill Sans MT"/>
                <w:color w:val="000000"/>
                <w:szCs w:val="22"/>
                <w:lang w:val="en-AU"/>
              </w:rPr>
            </w:pPr>
            <w:r w:rsidRPr="009E630F">
              <w:rPr>
                <w:rFonts w:ascii="Gill Sans MT" w:hAnsi="Gill Sans MT"/>
                <w:color w:val="000000"/>
                <w:szCs w:val="22"/>
                <w:lang w:val="en-AU"/>
              </w:rPr>
              <w:t>Identifying multiple group membership: hypothesis = belonging to multiple groups = greatest educational disadvantage</w:t>
            </w:r>
          </w:p>
          <w:p w14:paraId="2D8773E6" w14:textId="77777777" w:rsidR="006C71AB" w:rsidRPr="009E630F" w:rsidRDefault="006C71AB" w:rsidP="006C71AB">
            <w:pPr>
              <w:pStyle w:val="ListParagraph"/>
              <w:numPr>
                <w:ilvl w:val="0"/>
                <w:numId w:val="3"/>
              </w:numPr>
              <w:rPr>
                <w:rFonts w:ascii="Gill Sans MT" w:hAnsi="Gill Sans MT"/>
                <w:color w:val="000000"/>
                <w:szCs w:val="22"/>
                <w:lang w:val="en-AU"/>
              </w:rPr>
            </w:pPr>
            <w:r w:rsidRPr="009E630F">
              <w:rPr>
                <w:rFonts w:ascii="Gill Sans MT" w:hAnsi="Gill Sans MT"/>
                <w:color w:val="000000"/>
                <w:szCs w:val="22"/>
                <w:lang w:val="en-AU"/>
              </w:rPr>
              <w:t>Identifying through research/practice: cites HEFCE (2003) project on ‘first in family’ as example or Australian research on under-represented schools</w:t>
            </w:r>
          </w:p>
          <w:p w14:paraId="407611BA" w14:textId="77777777" w:rsidR="006C71AB" w:rsidRPr="009E630F" w:rsidRDefault="006C71AB" w:rsidP="000C6DDE">
            <w:pPr>
              <w:rPr>
                <w:rFonts w:ascii="Gill Sans MT" w:hAnsi="Gill Sans MT"/>
                <w:color w:val="000000"/>
                <w:szCs w:val="22"/>
                <w:lang w:val="en-AU"/>
              </w:rPr>
            </w:pPr>
            <w:r w:rsidRPr="009E630F">
              <w:rPr>
                <w:rFonts w:ascii="Gill Sans MT" w:hAnsi="Gill Sans MT"/>
                <w:color w:val="000000"/>
                <w:szCs w:val="22"/>
                <w:lang w:val="en-AU"/>
              </w:rPr>
              <w:t xml:space="preserve">Authors also discussed analysis/ reporting using performance indicator data – tension “between generality and specificity must be address to maximise the relevance and productivity of the equity policy” (p.40) – current groupings might have been “obscuring salient patterns of group performance” – thus performance indicators of groups derived from demographic variables should be interpreted using contextual/ enrolment variables </w:t>
            </w:r>
            <w:r w:rsidRPr="009E630F">
              <w:rPr>
                <w:rFonts w:ascii="Gill Sans MT" w:hAnsi="Gill Sans MT"/>
                <w:color w:val="000000"/>
                <w:szCs w:val="22"/>
                <w:lang w:val="en-AU"/>
              </w:rPr>
              <w:lastRenderedPageBreak/>
              <w:t xml:space="preserve">(p.41). Summative (producing objective data/painting picture of performance of HE) and diagnostic roles of performance indicators = often in conflict as the need for generalizability at national/systemic level doesn’t always help institutions be locally responsive and vice versa. Authors suggest this is evident in relatively little improvement in opening access/success for low SES and NESB students. </w:t>
            </w:r>
          </w:p>
          <w:p w14:paraId="0C92D7E0" w14:textId="77777777" w:rsidR="006C71AB" w:rsidRPr="009E630F" w:rsidRDefault="006C71AB" w:rsidP="000C6DDE">
            <w:pPr>
              <w:rPr>
                <w:rFonts w:ascii="Gill Sans MT" w:hAnsi="Gill Sans MT"/>
                <w:color w:val="000000"/>
                <w:szCs w:val="22"/>
                <w:lang w:val="en-AU"/>
              </w:rPr>
            </w:pPr>
            <w:r w:rsidRPr="009E630F">
              <w:rPr>
                <w:rFonts w:ascii="Gill Sans MT" w:hAnsi="Gill Sans MT"/>
                <w:color w:val="000000"/>
                <w:szCs w:val="22"/>
                <w:lang w:val="en-AU"/>
              </w:rPr>
              <w:t>Authors argue that equity practice/ programmes attend to aspects not reflected in policy framework (accommodation, financial support, transition arrangements).</w:t>
            </w:r>
          </w:p>
          <w:p w14:paraId="787074E7" w14:textId="77777777" w:rsidR="006C71AB" w:rsidRPr="009E630F" w:rsidRDefault="006C71AB" w:rsidP="000C6DDE">
            <w:pPr>
              <w:rPr>
                <w:rFonts w:ascii="Gill Sans MT" w:hAnsi="Gill Sans MT"/>
                <w:color w:val="000000"/>
                <w:szCs w:val="22"/>
                <w:lang w:val="en-AU"/>
              </w:rPr>
            </w:pPr>
            <w:r w:rsidRPr="009E630F">
              <w:rPr>
                <w:rFonts w:ascii="Gill Sans MT" w:hAnsi="Gill Sans MT"/>
                <w:b/>
                <w:color w:val="000000"/>
                <w:szCs w:val="22"/>
                <w:lang w:val="en-AU"/>
              </w:rPr>
              <w:t xml:space="preserve">Core argument: </w:t>
            </w:r>
            <w:r w:rsidRPr="009E630F">
              <w:rPr>
                <w:rFonts w:ascii="Gill Sans MT" w:hAnsi="Gill Sans MT"/>
                <w:color w:val="000000"/>
                <w:szCs w:val="22"/>
                <w:lang w:val="en-AU"/>
              </w:rPr>
              <w:t>Alternative ways of measuring and monitoring equity = more likely to improve performance of students who experience(d) educational disadvantage (p.45) – at heart of potential reform is critique of the necessary aggregation of data at national level and the impact at the local level</w:t>
            </w:r>
          </w:p>
        </w:tc>
      </w:tr>
      <w:tr w:rsidR="00C0300F" w:rsidRPr="009E630F" w14:paraId="36352EC8" w14:textId="77777777" w:rsidTr="000C6DDE">
        <w:tc>
          <w:tcPr>
            <w:tcW w:w="5529" w:type="dxa"/>
          </w:tcPr>
          <w:p w14:paraId="6864F33F" w14:textId="7D813D37" w:rsidR="00C0300F" w:rsidRPr="009E630F" w:rsidRDefault="00C0300F" w:rsidP="000F6DAC">
            <w:pPr>
              <w:pStyle w:val="NormalWeb"/>
              <w:rPr>
                <w:rFonts w:ascii="Gill Sans MT" w:hAnsi="Gill Sans MT"/>
                <w:sz w:val="22"/>
                <w:szCs w:val="22"/>
                <w:lang w:val="en-US"/>
              </w:rPr>
            </w:pPr>
            <w:r w:rsidRPr="009E630F">
              <w:rPr>
                <w:rFonts w:ascii="Gill Sans MT" w:hAnsi="Gill Sans MT"/>
                <w:sz w:val="22"/>
                <w:szCs w:val="22"/>
                <w:lang w:val="en-US"/>
              </w:rPr>
              <w:lastRenderedPageBreak/>
              <w:t>David, M</w:t>
            </w:r>
            <w:r w:rsidR="000F6DAC" w:rsidRPr="009E630F">
              <w:rPr>
                <w:rFonts w:ascii="Gill Sans MT" w:hAnsi="Gill Sans MT"/>
                <w:sz w:val="22"/>
                <w:szCs w:val="22"/>
                <w:lang w:val="en-US"/>
              </w:rPr>
              <w:t>.</w:t>
            </w:r>
            <w:r w:rsidRPr="009E630F">
              <w:rPr>
                <w:rFonts w:ascii="Gill Sans MT" w:hAnsi="Gill Sans MT"/>
                <w:sz w:val="22"/>
                <w:szCs w:val="22"/>
                <w:lang w:val="en-US"/>
              </w:rPr>
              <w:t xml:space="preserve"> (2008). </w:t>
            </w:r>
            <w:hyperlink r:id="rId15" w:history="1">
              <w:r w:rsidRPr="009E630F">
                <w:rPr>
                  <w:rStyle w:val="Hyperlink"/>
                  <w:rFonts w:ascii="Gill Sans MT" w:hAnsi="Gill Sans MT"/>
                  <w:i/>
                  <w:sz w:val="22"/>
                  <w:szCs w:val="22"/>
                  <w:lang w:val="en-US"/>
                </w:rPr>
                <w:t>Widening participation in higher education: A Commentary by the Teaching and Learning Research Programme</w:t>
              </w:r>
            </w:hyperlink>
            <w:r w:rsidRPr="009E630F">
              <w:rPr>
                <w:rFonts w:ascii="Gill Sans MT" w:hAnsi="Gill Sans MT"/>
                <w:i/>
                <w:sz w:val="22"/>
                <w:szCs w:val="22"/>
                <w:lang w:val="en-US"/>
              </w:rPr>
              <w:t xml:space="preserve">. </w:t>
            </w:r>
            <w:r w:rsidR="000F6DAC" w:rsidRPr="009E630F">
              <w:rPr>
                <w:rFonts w:ascii="Gill Sans MT" w:hAnsi="Gill Sans MT"/>
                <w:sz w:val="22"/>
                <w:szCs w:val="22"/>
                <w:lang w:val="en-US"/>
              </w:rPr>
              <w:t>ESRC: London</w:t>
            </w:r>
          </w:p>
          <w:p w14:paraId="6094086C" w14:textId="77777777" w:rsidR="005510E4" w:rsidRPr="009E630F" w:rsidRDefault="00500FF8" w:rsidP="005510E4">
            <w:pPr>
              <w:rPr>
                <w:rFonts w:ascii="Gill Sans MT" w:hAnsi="Gill Sans MT"/>
                <w:szCs w:val="22"/>
              </w:rPr>
            </w:pPr>
            <w:r w:rsidRPr="009E630F">
              <w:rPr>
                <w:rFonts w:ascii="Gill Sans MT" w:hAnsi="Gill Sans MT"/>
                <w:szCs w:val="22"/>
                <w:lang w:val="en-US"/>
              </w:rPr>
              <w:t>UK</w:t>
            </w:r>
            <w:r w:rsidR="005510E4" w:rsidRPr="009E630F">
              <w:rPr>
                <w:rFonts w:ascii="Gill Sans MT" w:hAnsi="Gill Sans MT"/>
                <w:szCs w:val="22"/>
              </w:rPr>
              <w:t xml:space="preserve"> </w:t>
            </w:r>
          </w:p>
          <w:p w14:paraId="6C1E4ACB" w14:textId="2A13FBF1" w:rsidR="005510E4" w:rsidRPr="009E630F" w:rsidRDefault="005510E4" w:rsidP="005510E4">
            <w:pPr>
              <w:rPr>
                <w:rFonts w:ascii="Gill Sans MT" w:hAnsi="Gill Sans MT"/>
                <w:szCs w:val="22"/>
              </w:rPr>
            </w:pPr>
            <w:r w:rsidRPr="009E630F">
              <w:rPr>
                <w:rFonts w:ascii="Gill Sans MT" w:hAnsi="Gill Sans MT"/>
                <w:szCs w:val="22"/>
              </w:rPr>
              <w:t>Annotation by Sally Baker</w:t>
            </w:r>
          </w:p>
          <w:p w14:paraId="73384E75" w14:textId="08D81629" w:rsidR="00500FF8" w:rsidRPr="009E630F" w:rsidRDefault="00500FF8" w:rsidP="009E630F">
            <w:pPr>
              <w:rPr>
                <w:rFonts w:ascii="Gill Sans MT" w:hAnsi="Gill Sans MT"/>
                <w:szCs w:val="22"/>
                <w:lang w:val="en-US"/>
              </w:rPr>
            </w:pPr>
          </w:p>
        </w:tc>
        <w:tc>
          <w:tcPr>
            <w:tcW w:w="10064" w:type="dxa"/>
          </w:tcPr>
          <w:p w14:paraId="076B9C0E" w14:textId="026F3C4C" w:rsidR="00AC381E" w:rsidRPr="009E630F" w:rsidRDefault="00C0300F" w:rsidP="00AC381E">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001B6369" w:rsidRPr="009E630F">
              <w:rPr>
                <w:rFonts w:ascii="Gill Sans MT" w:hAnsi="Gill Sans MT"/>
                <w:color w:val="000000"/>
                <w:szCs w:val="22"/>
                <w:lang w:val="en-AU"/>
              </w:rPr>
              <w:t xml:space="preserve">Examines WP in UK to 2007 </w:t>
            </w:r>
            <w:r w:rsidR="00AC381E" w:rsidRPr="009E630F">
              <w:rPr>
                <w:rFonts w:ascii="Gill Sans MT" w:hAnsi="Gill Sans MT"/>
                <w:color w:val="000000"/>
                <w:szCs w:val="22"/>
                <w:lang w:val="en-AU"/>
              </w:rPr>
              <w:t>based on 7 TLRP projects:</w:t>
            </w:r>
          </w:p>
          <w:p w14:paraId="464E6D53" w14:textId="77777777" w:rsidR="00AC381E" w:rsidRPr="009E630F" w:rsidRDefault="00AC381E" w:rsidP="00AC381E">
            <w:pPr>
              <w:pStyle w:val="ListParagraph"/>
              <w:numPr>
                <w:ilvl w:val="0"/>
                <w:numId w:val="16"/>
              </w:numPr>
              <w:rPr>
                <w:rFonts w:ascii="Gill Sans MT" w:hAnsi="Gill Sans MT" w:cs="Helvetica 45 Light"/>
                <w:color w:val="211D1E"/>
                <w:szCs w:val="22"/>
                <w:lang w:val="en-US"/>
              </w:rPr>
            </w:pPr>
            <w:r w:rsidRPr="009E630F">
              <w:rPr>
                <w:rFonts w:ascii="Gill Sans MT" w:hAnsi="Gill Sans MT"/>
                <w:szCs w:val="22"/>
                <w:lang w:val="en-US"/>
              </w:rPr>
              <w:t xml:space="preserve">Universal Access and Dual Regimes of Further and Higher Education </w:t>
            </w:r>
            <w:r w:rsidRPr="009E630F">
              <w:rPr>
                <w:rFonts w:ascii="Gill Sans MT" w:hAnsi="Gill Sans MT" w:cs="Helvetica 45 Light"/>
                <w:color w:val="211D1E"/>
                <w:szCs w:val="22"/>
                <w:lang w:val="en-US"/>
              </w:rPr>
              <w:t>led by Professor Gareth Parry, University of Sheffield</w:t>
            </w:r>
          </w:p>
          <w:p w14:paraId="49C4D162" w14:textId="77777777" w:rsidR="00AC381E" w:rsidRPr="009E630F" w:rsidRDefault="00AC381E" w:rsidP="00AC381E">
            <w:pPr>
              <w:pStyle w:val="ListParagraph"/>
              <w:numPr>
                <w:ilvl w:val="0"/>
                <w:numId w:val="16"/>
              </w:numPr>
              <w:rPr>
                <w:rFonts w:ascii="Gill Sans MT" w:hAnsi="Gill Sans MT" w:cs="Helvetica 45 Light"/>
                <w:color w:val="211D1E"/>
                <w:szCs w:val="22"/>
                <w:lang w:val="en-US"/>
              </w:rPr>
            </w:pPr>
            <w:r w:rsidRPr="009E630F">
              <w:rPr>
                <w:rFonts w:ascii="Gill Sans MT" w:hAnsi="Gill Sans MT" w:cs="Helvetica 65 Medium"/>
                <w:szCs w:val="22"/>
                <w:lang w:val="en-US"/>
              </w:rPr>
              <w:t xml:space="preserve">Widening Participation in HE: A Quantitative Analysis </w:t>
            </w:r>
            <w:r w:rsidRPr="009E630F">
              <w:rPr>
                <w:rFonts w:ascii="Gill Sans MT" w:hAnsi="Gill Sans MT" w:cs="Helvetica 45 Light"/>
                <w:color w:val="211D1E"/>
                <w:szCs w:val="22"/>
                <w:lang w:val="en-US"/>
              </w:rPr>
              <w:t xml:space="preserve">led by Dr Anna </w:t>
            </w:r>
            <w:proofErr w:type="spellStart"/>
            <w:r w:rsidRPr="009E630F">
              <w:rPr>
                <w:rFonts w:ascii="Gill Sans MT" w:hAnsi="Gill Sans MT" w:cs="Helvetica 45 Light"/>
                <w:color w:val="211D1E"/>
                <w:szCs w:val="22"/>
                <w:lang w:val="en-US"/>
              </w:rPr>
              <w:t>Vignoles</w:t>
            </w:r>
            <w:proofErr w:type="spellEnd"/>
            <w:r w:rsidRPr="009E630F">
              <w:rPr>
                <w:rFonts w:ascii="Gill Sans MT" w:hAnsi="Gill Sans MT" w:cs="Helvetica 45 Light"/>
                <w:color w:val="211D1E"/>
                <w:szCs w:val="22"/>
                <w:lang w:val="en-US"/>
              </w:rPr>
              <w:t xml:space="preserve">, Institute of Education, University of London </w:t>
            </w:r>
          </w:p>
          <w:p w14:paraId="1EA17A57" w14:textId="77777777" w:rsidR="00AC381E" w:rsidRPr="009E630F" w:rsidRDefault="00AC381E" w:rsidP="00AC381E">
            <w:pPr>
              <w:pStyle w:val="ListParagraph"/>
              <w:numPr>
                <w:ilvl w:val="0"/>
                <w:numId w:val="16"/>
              </w:numPr>
              <w:rPr>
                <w:rFonts w:ascii="Gill Sans MT" w:hAnsi="Gill Sans MT" w:cs="Helvetica 45 Light"/>
                <w:color w:val="211D1E"/>
                <w:szCs w:val="22"/>
                <w:lang w:val="en-US"/>
              </w:rPr>
            </w:pPr>
            <w:r w:rsidRPr="009E630F">
              <w:rPr>
                <w:rFonts w:ascii="Gill Sans MT" w:hAnsi="Gill Sans MT" w:cs="Helvetica 65 Medium"/>
                <w:szCs w:val="22"/>
                <w:lang w:val="en-US"/>
              </w:rPr>
              <w:t xml:space="preserve">Degrees of Success: Learners’ Transitions from Vocational Education and Training to HE </w:t>
            </w:r>
            <w:r w:rsidRPr="009E630F">
              <w:rPr>
                <w:rFonts w:ascii="Gill Sans MT" w:hAnsi="Gill Sans MT" w:cs="Helvetica 45 Light"/>
                <w:color w:val="211D1E"/>
                <w:szCs w:val="22"/>
                <w:lang w:val="en-US"/>
              </w:rPr>
              <w:t>led by Dr Geoff Hayward, University of Oxford</w:t>
            </w:r>
          </w:p>
          <w:p w14:paraId="33DF1800" w14:textId="77777777" w:rsidR="00AC381E" w:rsidRPr="009E630F" w:rsidRDefault="00AC381E" w:rsidP="00AC381E">
            <w:pPr>
              <w:pStyle w:val="ListParagraph"/>
              <w:numPr>
                <w:ilvl w:val="0"/>
                <w:numId w:val="16"/>
              </w:numPr>
              <w:rPr>
                <w:rFonts w:ascii="Gill Sans MT" w:hAnsi="Gill Sans MT" w:cs="Helvetica 45 Light"/>
                <w:color w:val="211D1E"/>
                <w:szCs w:val="22"/>
                <w:lang w:val="en-US"/>
              </w:rPr>
            </w:pPr>
            <w:r w:rsidRPr="009E630F">
              <w:rPr>
                <w:rFonts w:ascii="Gill Sans MT" w:hAnsi="Gill Sans MT" w:cs="Helvetica 65 Medium"/>
                <w:szCs w:val="22"/>
                <w:lang w:val="en-US"/>
              </w:rPr>
              <w:t xml:space="preserve">Keeping Open the Door to Mathematically-demanding Programmes in Further and Higher Education </w:t>
            </w:r>
            <w:r w:rsidRPr="009E630F">
              <w:rPr>
                <w:rFonts w:ascii="Gill Sans MT" w:hAnsi="Gill Sans MT" w:cs="Helvetica 45 Light"/>
                <w:color w:val="211D1E"/>
                <w:szCs w:val="22"/>
                <w:lang w:val="en-US"/>
              </w:rPr>
              <w:t>led by Professor Julian Williams, University of Manchester</w:t>
            </w:r>
          </w:p>
          <w:p w14:paraId="10A87AEA" w14:textId="77777777" w:rsidR="00AC381E" w:rsidRPr="009E630F" w:rsidRDefault="00AC381E" w:rsidP="00AC381E">
            <w:pPr>
              <w:pStyle w:val="ListParagraph"/>
              <w:numPr>
                <w:ilvl w:val="0"/>
                <w:numId w:val="16"/>
              </w:numPr>
              <w:rPr>
                <w:rFonts w:ascii="Gill Sans MT" w:hAnsi="Gill Sans MT" w:cs="Helvetica 45 Light"/>
                <w:color w:val="211D1E"/>
                <w:szCs w:val="22"/>
                <w:lang w:val="en-US"/>
              </w:rPr>
            </w:pPr>
            <w:r w:rsidRPr="009E630F">
              <w:rPr>
                <w:rFonts w:ascii="Gill Sans MT" w:hAnsi="Gill Sans MT" w:cs="Helvetica 65 Medium"/>
                <w:szCs w:val="22"/>
                <w:lang w:val="en-US"/>
              </w:rPr>
              <w:t xml:space="preserve">Socio-Cultural and Learning Experiences of Working Class Students in HE </w:t>
            </w:r>
            <w:r w:rsidRPr="009E630F">
              <w:rPr>
                <w:rFonts w:ascii="Gill Sans MT" w:hAnsi="Gill Sans MT" w:cs="Helvetica 45 Light"/>
                <w:color w:val="211D1E"/>
                <w:szCs w:val="22"/>
                <w:lang w:val="en-US"/>
              </w:rPr>
              <w:t>led by Professor Gill Crozier, University of Sunderland</w:t>
            </w:r>
          </w:p>
          <w:p w14:paraId="2A801E5A" w14:textId="77777777" w:rsidR="00AC381E" w:rsidRPr="009E630F" w:rsidRDefault="00AC381E" w:rsidP="00AC381E">
            <w:pPr>
              <w:pStyle w:val="ListParagraph"/>
              <w:numPr>
                <w:ilvl w:val="0"/>
                <w:numId w:val="16"/>
              </w:numPr>
              <w:rPr>
                <w:rFonts w:ascii="Gill Sans MT" w:hAnsi="Gill Sans MT" w:cs="Helvetica 45 Light"/>
                <w:color w:val="211D1E"/>
                <w:szCs w:val="22"/>
                <w:lang w:val="en-US"/>
              </w:rPr>
            </w:pPr>
            <w:r w:rsidRPr="009E630F">
              <w:rPr>
                <w:rFonts w:ascii="Gill Sans MT" w:hAnsi="Gill Sans MT" w:cs="Helvetica 65 Medium"/>
                <w:szCs w:val="22"/>
                <w:lang w:val="en-US"/>
              </w:rPr>
              <w:t xml:space="preserve">Learning and Teaching for Diversity and Difference in Higher Education </w:t>
            </w:r>
            <w:r w:rsidRPr="009E630F">
              <w:rPr>
                <w:rFonts w:ascii="Gill Sans MT" w:hAnsi="Gill Sans MT" w:cs="Helvetica 45 Light"/>
                <w:color w:val="211D1E"/>
                <w:szCs w:val="22"/>
                <w:lang w:val="en-US"/>
              </w:rPr>
              <w:t>led by Professor Chris Hockings, University of Wolverhampton</w:t>
            </w:r>
          </w:p>
          <w:p w14:paraId="1F00F0C4" w14:textId="10193725" w:rsidR="00AC381E" w:rsidRPr="009E630F" w:rsidRDefault="00AC381E" w:rsidP="00AC381E">
            <w:pPr>
              <w:pStyle w:val="ListParagraph"/>
              <w:numPr>
                <w:ilvl w:val="0"/>
                <w:numId w:val="16"/>
              </w:numPr>
              <w:rPr>
                <w:rFonts w:ascii="Gill Sans MT" w:hAnsi="Gill Sans MT"/>
                <w:color w:val="000000"/>
                <w:szCs w:val="22"/>
                <w:lang w:val="en-AU"/>
              </w:rPr>
            </w:pPr>
            <w:r w:rsidRPr="009E630F">
              <w:rPr>
                <w:rFonts w:ascii="Gill Sans MT" w:hAnsi="Gill Sans MT" w:cs="Helvetica 65 Medium"/>
                <w:szCs w:val="22"/>
                <w:lang w:val="en-US"/>
              </w:rPr>
              <w:t xml:space="preserve">Non-participation in HE: Decision-making as an Embedded Social Practice </w:t>
            </w:r>
            <w:r w:rsidRPr="009E630F">
              <w:rPr>
                <w:rFonts w:ascii="Gill Sans MT" w:hAnsi="Gill Sans MT" w:cs="Helvetica 45 Light"/>
                <w:color w:val="211D1E"/>
                <w:szCs w:val="22"/>
                <w:lang w:val="en-US"/>
              </w:rPr>
              <w:t>led by Professor Alison Fuller, University of Southampton</w:t>
            </w:r>
          </w:p>
          <w:p w14:paraId="3739BFA8" w14:textId="1BC61050" w:rsidR="001B6369" w:rsidRPr="009E630F" w:rsidRDefault="001B6369" w:rsidP="00C0300F">
            <w:pPr>
              <w:rPr>
                <w:rFonts w:ascii="Gill Sans MT" w:hAnsi="Gill Sans MT"/>
                <w:color w:val="000000"/>
                <w:szCs w:val="22"/>
                <w:lang w:val="en-AU"/>
              </w:rPr>
            </w:pPr>
            <w:r w:rsidRPr="009E630F">
              <w:rPr>
                <w:rFonts w:ascii="Gill Sans MT" w:hAnsi="Gill Sans MT"/>
                <w:color w:val="000000"/>
                <w:szCs w:val="22"/>
                <w:lang w:val="en-AU"/>
              </w:rPr>
              <w:t>Overview of key dates in UK policy (1919-2007) on p.4</w:t>
            </w:r>
          </w:p>
          <w:p w14:paraId="5B5132D1" w14:textId="799BC7D2" w:rsidR="00C0300F" w:rsidRPr="009E630F" w:rsidRDefault="00C0300F" w:rsidP="00C0300F">
            <w:pPr>
              <w:rPr>
                <w:rFonts w:ascii="Gill Sans MT" w:hAnsi="Gill Sans MT"/>
                <w:color w:val="000000"/>
                <w:szCs w:val="22"/>
                <w:lang w:val="en-AU"/>
              </w:rPr>
            </w:pPr>
            <w:r w:rsidRPr="009E630F">
              <w:rPr>
                <w:rFonts w:ascii="Gill Sans MT" w:hAnsi="Gill Sans MT"/>
                <w:b/>
                <w:color w:val="000000"/>
                <w:szCs w:val="22"/>
                <w:lang w:val="en-AU"/>
              </w:rPr>
              <w:t xml:space="preserve">Aim: </w:t>
            </w:r>
            <w:r w:rsidR="001B6369" w:rsidRPr="009E630F">
              <w:rPr>
                <w:rFonts w:ascii="Gill Sans MT" w:hAnsi="Gill Sans MT"/>
                <w:color w:val="000000"/>
                <w:szCs w:val="22"/>
                <w:lang w:val="en-AU"/>
              </w:rPr>
              <w:t xml:space="preserve">To report on TLRP-funded projects (x7) which collaborated to tell story of student access, success in participation, outcomes (educational and other), institutional practices, inclusive pedagogies, participation of particular participants (by age, social group, institution, </w:t>
            </w:r>
            <w:proofErr w:type="spellStart"/>
            <w:r w:rsidR="001B6369" w:rsidRPr="009E630F">
              <w:rPr>
                <w:rFonts w:ascii="Gill Sans MT" w:hAnsi="Gill Sans MT"/>
                <w:color w:val="000000"/>
                <w:szCs w:val="22"/>
                <w:lang w:val="en-AU"/>
              </w:rPr>
              <w:t>lifecourse</w:t>
            </w:r>
            <w:proofErr w:type="spellEnd"/>
            <w:r w:rsidR="001B6369" w:rsidRPr="009E630F">
              <w:rPr>
                <w:rFonts w:ascii="Gill Sans MT" w:hAnsi="Gill Sans MT"/>
                <w:color w:val="000000"/>
                <w:szCs w:val="22"/>
                <w:lang w:val="en-AU"/>
              </w:rPr>
              <w:t>)</w:t>
            </w:r>
          </w:p>
          <w:p w14:paraId="7DAEF5F0" w14:textId="2EC5109D" w:rsidR="00C0300F" w:rsidRPr="009E630F" w:rsidRDefault="00AC381E" w:rsidP="00C0300F">
            <w:pPr>
              <w:rPr>
                <w:rFonts w:ascii="Gill Sans MT" w:hAnsi="Gill Sans MT"/>
                <w:color w:val="000000"/>
                <w:szCs w:val="22"/>
                <w:lang w:val="en-AU"/>
              </w:rPr>
            </w:pPr>
            <w:r w:rsidRPr="009E630F">
              <w:rPr>
                <w:rFonts w:ascii="Gill Sans MT" w:hAnsi="Gill Sans MT"/>
                <w:b/>
                <w:color w:val="000000"/>
                <w:szCs w:val="22"/>
                <w:lang w:val="en-AU"/>
              </w:rPr>
              <w:t xml:space="preserve">Theoretical frame/ </w:t>
            </w:r>
            <w:r w:rsidR="00C0300F" w:rsidRPr="009E630F">
              <w:rPr>
                <w:rFonts w:ascii="Gill Sans MT" w:hAnsi="Gill Sans MT"/>
                <w:b/>
                <w:color w:val="000000"/>
                <w:szCs w:val="22"/>
                <w:lang w:val="en-AU"/>
              </w:rPr>
              <w:t xml:space="preserve">Methodology: </w:t>
            </w:r>
            <w:r w:rsidRPr="009E630F">
              <w:rPr>
                <w:rFonts w:ascii="Gill Sans MT" w:hAnsi="Gill Sans MT"/>
                <w:color w:val="000000"/>
                <w:szCs w:val="22"/>
                <w:lang w:val="en-AU"/>
              </w:rPr>
              <w:t>7 reports = collected diverse data; chose different definitions of students (social class) and different types of institutions</w:t>
            </w:r>
            <w:r w:rsidR="00BF348D" w:rsidRPr="009E630F">
              <w:rPr>
                <w:rFonts w:ascii="Gill Sans MT" w:hAnsi="Gill Sans MT"/>
                <w:color w:val="000000"/>
                <w:szCs w:val="22"/>
                <w:lang w:val="en-AU"/>
              </w:rPr>
              <w:t>. Mixed methods (quant and qual).</w:t>
            </w:r>
          </w:p>
          <w:p w14:paraId="1892DFA9" w14:textId="72B7E839" w:rsidR="001B6369" w:rsidRPr="009E630F" w:rsidRDefault="001B6369" w:rsidP="00C0300F">
            <w:pPr>
              <w:rPr>
                <w:rFonts w:ascii="Gill Sans MT" w:hAnsi="Gill Sans MT"/>
                <w:color w:val="000000"/>
                <w:szCs w:val="22"/>
                <w:lang w:val="en-AU"/>
              </w:rPr>
            </w:pPr>
            <w:r w:rsidRPr="009E630F">
              <w:rPr>
                <w:rFonts w:ascii="Gill Sans MT" w:hAnsi="Gill Sans MT"/>
                <w:b/>
                <w:color w:val="000000"/>
                <w:szCs w:val="22"/>
                <w:lang w:val="en-AU"/>
              </w:rPr>
              <w:t>Discussion</w:t>
            </w:r>
            <w:r w:rsidR="00C0300F" w:rsidRPr="009E630F">
              <w:rPr>
                <w:rFonts w:ascii="Gill Sans MT" w:hAnsi="Gill Sans MT"/>
                <w:b/>
                <w:color w:val="000000"/>
                <w:szCs w:val="22"/>
                <w:lang w:val="en-AU"/>
              </w:rPr>
              <w:t>:</w:t>
            </w:r>
            <w:r w:rsidRPr="009E630F">
              <w:rPr>
                <w:rFonts w:ascii="Gill Sans MT" w:hAnsi="Gill Sans MT"/>
                <w:b/>
                <w:color w:val="000000"/>
                <w:szCs w:val="22"/>
                <w:lang w:val="en-AU"/>
              </w:rPr>
              <w:t xml:space="preserve"> </w:t>
            </w:r>
            <w:r w:rsidRPr="009E630F">
              <w:rPr>
                <w:rFonts w:ascii="Gill Sans MT" w:hAnsi="Gill Sans MT"/>
                <w:color w:val="000000"/>
                <w:szCs w:val="22"/>
                <w:lang w:val="en-AU"/>
              </w:rPr>
              <w:t>3 policy events = mark from elite to mass HE system:</w:t>
            </w:r>
          </w:p>
          <w:p w14:paraId="1454B6D0" w14:textId="44C2A3EE" w:rsidR="001B6369" w:rsidRPr="009E630F" w:rsidRDefault="001B6369" w:rsidP="001B6369">
            <w:pPr>
              <w:pStyle w:val="ListParagraph"/>
              <w:numPr>
                <w:ilvl w:val="0"/>
                <w:numId w:val="15"/>
              </w:numPr>
              <w:rPr>
                <w:rFonts w:ascii="Gill Sans MT" w:hAnsi="Gill Sans MT"/>
                <w:color w:val="000000"/>
                <w:szCs w:val="22"/>
                <w:lang w:val="en-AU"/>
              </w:rPr>
            </w:pPr>
            <w:r w:rsidRPr="009E630F">
              <w:rPr>
                <w:rFonts w:ascii="Gill Sans MT" w:hAnsi="Gill Sans MT"/>
                <w:color w:val="000000"/>
                <w:szCs w:val="22"/>
                <w:lang w:val="en-AU"/>
              </w:rPr>
              <w:lastRenderedPageBreak/>
              <w:t>Robbins report (1963) followed by Labour government decision to create ‘distinctive’ HE sector (universities, FE, polytechnics)</w:t>
            </w:r>
          </w:p>
          <w:p w14:paraId="77990786" w14:textId="0793E46E" w:rsidR="001B6369" w:rsidRPr="009E630F" w:rsidRDefault="001B6369" w:rsidP="001B6369">
            <w:pPr>
              <w:pStyle w:val="ListParagraph"/>
              <w:numPr>
                <w:ilvl w:val="0"/>
                <w:numId w:val="15"/>
              </w:numPr>
              <w:rPr>
                <w:rFonts w:ascii="Gill Sans MT" w:hAnsi="Gill Sans MT"/>
                <w:color w:val="000000"/>
                <w:szCs w:val="22"/>
                <w:lang w:val="en-AU"/>
              </w:rPr>
            </w:pPr>
            <w:r w:rsidRPr="009E630F">
              <w:rPr>
                <w:rFonts w:ascii="Gill Sans MT" w:hAnsi="Gill Sans MT"/>
                <w:color w:val="000000"/>
                <w:szCs w:val="22"/>
                <w:lang w:val="en-AU"/>
              </w:rPr>
              <w:t xml:space="preserve">Thatcher Conservative gov’t of 1980s = reformed sector included recognition of access quals/ vocational quals/ alternative routes into HE. 1992 reforms created </w:t>
            </w:r>
            <w:r w:rsidR="00AB1B13" w:rsidRPr="009E630F">
              <w:rPr>
                <w:rFonts w:ascii="Gill Sans MT" w:hAnsi="Gill Sans MT"/>
                <w:color w:val="000000"/>
                <w:szCs w:val="22"/>
                <w:lang w:val="en-AU"/>
              </w:rPr>
              <w:t>unified</w:t>
            </w:r>
            <w:r w:rsidRPr="009E630F">
              <w:rPr>
                <w:rFonts w:ascii="Gill Sans MT" w:hAnsi="Gill Sans MT"/>
                <w:color w:val="000000"/>
                <w:szCs w:val="22"/>
                <w:lang w:val="en-AU"/>
              </w:rPr>
              <w:t xml:space="preserve"> HE sector (making </w:t>
            </w:r>
            <w:proofErr w:type="spellStart"/>
            <w:r w:rsidRPr="009E630F">
              <w:rPr>
                <w:rFonts w:ascii="Gill Sans MT" w:hAnsi="Gill Sans MT"/>
                <w:color w:val="000000"/>
                <w:szCs w:val="22"/>
                <w:lang w:val="en-AU"/>
              </w:rPr>
              <w:t>polytecs</w:t>
            </w:r>
            <w:proofErr w:type="spellEnd"/>
            <w:r w:rsidRPr="009E630F">
              <w:rPr>
                <w:rFonts w:ascii="Gill Sans MT" w:hAnsi="Gill Sans MT"/>
                <w:color w:val="000000"/>
                <w:szCs w:val="22"/>
                <w:lang w:val="en-AU"/>
              </w:rPr>
              <w:t xml:space="preserve"> into universities)</w:t>
            </w:r>
          </w:p>
          <w:p w14:paraId="4FAF12B9" w14:textId="2834EA9B" w:rsidR="00AB1B13" w:rsidRPr="009E630F" w:rsidRDefault="00AB1B13" w:rsidP="001B6369">
            <w:pPr>
              <w:pStyle w:val="ListParagraph"/>
              <w:numPr>
                <w:ilvl w:val="0"/>
                <w:numId w:val="15"/>
              </w:numPr>
              <w:rPr>
                <w:rFonts w:ascii="Gill Sans MT" w:hAnsi="Gill Sans MT"/>
                <w:color w:val="000000"/>
                <w:szCs w:val="22"/>
                <w:lang w:val="en-AU"/>
              </w:rPr>
            </w:pPr>
            <w:r w:rsidRPr="009E630F">
              <w:rPr>
                <w:rFonts w:ascii="Gill Sans MT" w:hAnsi="Gill Sans MT"/>
                <w:color w:val="000000"/>
                <w:szCs w:val="22"/>
                <w:lang w:val="en-AU"/>
              </w:rPr>
              <w:t>Dearing report (1997) = New Labour reforms and target to achieve 50% participation to ‘close the social class gap’</w:t>
            </w:r>
          </w:p>
          <w:p w14:paraId="1118F7F4" w14:textId="23AC2747" w:rsidR="00AB1B13" w:rsidRPr="009E630F" w:rsidRDefault="00AB1B13" w:rsidP="00AC381E">
            <w:pPr>
              <w:rPr>
                <w:rFonts w:ascii="Gill Sans MT" w:hAnsi="Gill Sans MT"/>
                <w:color w:val="000000"/>
                <w:szCs w:val="22"/>
                <w:lang w:val="en-US"/>
              </w:rPr>
            </w:pPr>
            <w:r w:rsidRPr="009E630F">
              <w:rPr>
                <w:rFonts w:ascii="Gill Sans MT" w:hAnsi="Gill Sans MT"/>
                <w:color w:val="000000"/>
                <w:szCs w:val="22"/>
                <w:lang w:val="en-AU"/>
              </w:rPr>
              <w:t>1998-2008 = authors note influence of global economies on rationales for expanding post-compulsory ed</w:t>
            </w:r>
            <w:r w:rsidR="00AC381E" w:rsidRPr="009E630F">
              <w:rPr>
                <w:rFonts w:ascii="Gill Sans MT" w:hAnsi="Gill Sans MT"/>
                <w:color w:val="000000"/>
                <w:szCs w:val="22"/>
                <w:lang w:val="en-AU"/>
              </w:rPr>
              <w:t>ucation (esp.</w:t>
            </w:r>
            <w:r w:rsidRPr="009E630F">
              <w:rPr>
                <w:rFonts w:ascii="Gill Sans MT" w:hAnsi="Gill Sans MT"/>
                <w:color w:val="000000"/>
                <w:szCs w:val="22"/>
                <w:lang w:val="en-AU"/>
              </w:rPr>
              <w:t xml:space="preserve"> HE</w:t>
            </w:r>
            <w:r w:rsidR="00AC381E" w:rsidRPr="009E630F">
              <w:rPr>
                <w:rFonts w:ascii="Gill Sans MT" w:hAnsi="Gill Sans MT"/>
                <w:color w:val="000000"/>
                <w:szCs w:val="22"/>
                <w:lang w:val="en-AU"/>
              </w:rPr>
              <w:t>), with focus on funding (including marketization + student fees) and opening access for ‘non-trad’ students. Research unpacked key debates (about social class, women, multiculturalism), but “</w:t>
            </w:r>
            <w:r w:rsidR="00AC381E" w:rsidRPr="009E630F">
              <w:rPr>
                <w:rFonts w:ascii="Gill Sans MT" w:hAnsi="Gill Sans MT"/>
                <w:color w:val="000000"/>
                <w:szCs w:val="22"/>
                <w:lang w:val="en-US"/>
              </w:rPr>
              <w:t xml:space="preserve">ideas about social stratification, social mobility and equal opportunities in the </w:t>
            </w:r>
            <w:proofErr w:type="spellStart"/>
            <w:r w:rsidR="00AC381E" w:rsidRPr="009E630F">
              <w:rPr>
                <w:rFonts w:ascii="Gill Sans MT" w:hAnsi="Gill Sans MT"/>
                <w:color w:val="000000"/>
                <w:szCs w:val="22"/>
                <w:lang w:val="en-US"/>
              </w:rPr>
              <w:t>labour</w:t>
            </w:r>
            <w:proofErr w:type="spellEnd"/>
            <w:r w:rsidR="00AC381E" w:rsidRPr="009E630F">
              <w:rPr>
                <w:rFonts w:ascii="Gill Sans MT" w:hAnsi="Gill Sans MT"/>
                <w:color w:val="000000"/>
                <w:szCs w:val="22"/>
                <w:lang w:val="en-US"/>
              </w:rPr>
              <w:t xml:space="preserve"> market remain strongly entrenched” (p.7).</w:t>
            </w:r>
          </w:p>
          <w:p w14:paraId="4CEFAA39" w14:textId="77777777" w:rsidR="002F295B" w:rsidRPr="009E630F" w:rsidRDefault="002F295B" w:rsidP="00AC381E">
            <w:pPr>
              <w:rPr>
                <w:rFonts w:ascii="Gill Sans MT" w:hAnsi="Gill Sans MT"/>
                <w:color w:val="000000"/>
                <w:szCs w:val="22"/>
                <w:lang w:val="en-US"/>
              </w:rPr>
            </w:pPr>
            <w:r w:rsidRPr="009E630F">
              <w:rPr>
                <w:rFonts w:ascii="Gill Sans MT" w:hAnsi="Gill Sans MT"/>
                <w:color w:val="000000"/>
                <w:szCs w:val="22"/>
                <w:lang w:val="en-US"/>
              </w:rPr>
              <w:t xml:space="preserve">Findings: </w:t>
            </w:r>
          </w:p>
          <w:p w14:paraId="21622743" w14:textId="2C67470E" w:rsidR="002F295B" w:rsidRPr="009E630F" w:rsidRDefault="002F295B" w:rsidP="002F295B">
            <w:pPr>
              <w:rPr>
                <w:rFonts w:ascii="Gill Sans MT" w:hAnsi="Gill Sans MT"/>
                <w:color w:val="000000"/>
                <w:szCs w:val="22"/>
                <w:lang w:val="en-US"/>
              </w:rPr>
            </w:pPr>
            <w:r w:rsidRPr="009E630F">
              <w:rPr>
                <w:rFonts w:ascii="Gill Sans MT" w:hAnsi="Gill Sans MT"/>
                <w:i/>
                <w:color w:val="000000"/>
                <w:szCs w:val="22"/>
                <w:lang w:val="en-US"/>
              </w:rPr>
              <w:t xml:space="preserve">Project 1 (Universal access/ </w:t>
            </w:r>
            <w:proofErr w:type="spellStart"/>
            <w:r w:rsidRPr="009E630F">
              <w:rPr>
                <w:rFonts w:ascii="Gill Sans MT" w:hAnsi="Gill Sans MT"/>
                <w:i/>
                <w:color w:val="000000"/>
                <w:szCs w:val="22"/>
                <w:lang w:val="en-US"/>
              </w:rPr>
              <w:t>FurtherHigher</w:t>
            </w:r>
            <w:proofErr w:type="spellEnd"/>
            <w:r w:rsidRPr="009E630F">
              <w:rPr>
                <w:rFonts w:ascii="Gill Sans MT" w:hAnsi="Gill Sans MT"/>
                <w:i/>
                <w:color w:val="000000"/>
                <w:szCs w:val="22"/>
                <w:lang w:val="en-US"/>
              </w:rPr>
              <w:t xml:space="preserve"> Education) =</w:t>
            </w:r>
            <w:r w:rsidRPr="009E630F">
              <w:rPr>
                <w:rFonts w:ascii="Gill Sans MT" w:hAnsi="Gill Sans MT"/>
                <w:color w:val="000000"/>
                <w:szCs w:val="22"/>
                <w:lang w:val="en-US"/>
              </w:rPr>
              <w:t xml:space="preserve"> looked at impact of two-sector system. Findings suggest that legislation in 1992 and 1998 = addressed short term/ immediate needs rather than any long term vision for unified tertiary system; policy developments for HE in FE = “uneven and unstable” and “FE colleges have yet to be widely accepted as normal and necessary locations for higher education” (p.10). Sector is complex and each institution = idiosyncratic. Data suggests varying degrees of transition and dialogue between the two sectors, underpinned by variety of rationales = only partially informed by WP strategies; “At the corporate level, market-related considerations were often the most powerful drivers” (p.11).</w:t>
            </w:r>
          </w:p>
          <w:p w14:paraId="111DB769" w14:textId="77777777" w:rsidR="002F295B" w:rsidRPr="009E630F" w:rsidRDefault="002F295B" w:rsidP="002F295B">
            <w:pPr>
              <w:rPr>
                <w:rFonts w:ascii="Gill Sans MT" w:hAnsi="Gill Sans MT"/>
                <w:color w:val="000000"/>
                <w:szCs w:val="22"/>
                <w:lang w:val="en-US"/>
              </w:rPr>
            </w:pPr>
          </w:p>
          <w:p w14:paraId="164BA879" w14:textId="6F171166" w:rsidR="002F295B" w:rsidRPr="009E630F" w:rsidRDefault="002F295B" w:rsidP="002F295B">
            <w:pPr>
              <w:rPr>
                <w:rFonts w:ascii="Gill Sans MT" w:hAnsi="Gill Sans MT"/>
                <w:color w:val="000000"/>
                <w:szCs w:val="22"/>
                <w:lang w:val="en-US"/>
              </w:rPr>
            </w:pPr>
            <w:r w:rsidRPr="009E630F">
              <w:rPr>
                <w:rFonts w:ascii="Gill Sans MT" w:hAnsi="Gill Sans MT"/>
                <w:i/>
                <w:color w:val="000000"/>
                <w:szCs w:val="22"/>
                <w:lang w:val="en-US"/>
              </w:rPr>
              <w:t xml:space="preserve">Project 2: (Quant analysis of WP to HE) </w:t>
            </w:r>
            <w:r w:rsidRPr="009E630F">
              <w:rPr>
                <w:rFonts w:ascii="Gill Sans MT" w:hAnsi="Gill Sans MT"/>
                <w:color w:val="000000"/>
                <w:szCs w:val="22"/>
                <w:lang w:val="en-US"/>
              </w:rPr>
              <w:t>= to examine whether poorer students/ minority ethnic groups = less likely to attend HE (allowing for prior educational attainment at 17/18 and earlier in school). Main finding = “children from poor backgrounds remain far less likely to go to university than more advantaged children” (p.12) – whereby poor children = measured by access to free school meals. Ethnic minority students = more likely to participate in higher education than white students.</w:t>
            </w:r>
            <w:r w:rsidR="00BF348D" w:rsidRPr="009E630F">
              <w:rPr>
                <w:rFonts w:ascii="Gill Sans MT" w:hAnsi="Gill Sans MT"/>
                <w:color w:val="000000"/>
                <w:szCs w:val="22"/>
                <w:lang w:val="en-US"/>
              </w:rPr>
              <w:t xml:space="preserve"> Poor students more likely to attend lower status institutions if they do go to university. These patterns = “largely explained by</w:t>
            </w:r>
            <w:r w:rsidR="00BF348D" w:rsidRPr="009E630F">
              <w:rPr>
                <w:rFonts w:ascii="Gill Sans MT" w:hAnsi="Gill Sans MT" w:cs="Helvetica 45 Light"/>
                <w:color w:val="211D1E"/>
                <w:sz w:val="18"/>
                <w:szCs w:val="18"/>
                <w:lang w:val="en-US"/>
              </w:rPr>
              <w:t xml:space="preserve"> </w:t>
            </w:r>
            <w:r w:rsidR="00BF348D" w:rsidRPr="009E630F">
              <w:rPr>
                <w:rFonts w:ascii="Gill Sans MT" w:hAnsi="Gill Sans MT"/>
                <w:color w:val="000000"/>
                <w:szCs w:val="22"/>
                <w:lang w:val="en-US"/>
              </w:rPr>
              <w:t>the weak academic achievement of poor children in secondary school” (p.13), suggesting that WP efforts need to happen much earlier in education.</w:t>
            </w:r>
          </w:p>
          <w:p w14:paraId="630361F3" w14:textId="77777777" w:rsidR="00BF348D" w:rsidRPr="009E630F" w:rsidRDefault="00BF348D" w:rsidP="002F295B">
            <w:pPr>
              <w:rPr>
                <w:rFonts w:ascii="Gill Sans MT" w:hAnsi="Gill Sans MT"/>
                <w:color w:val="000000"/>
                <w:szCs w:val="22"/>
                <w:lang w:val="en-US"/>
              </w:rPr>
            </w:pPr>
          </w:p>
          <w:p w14:paraId="6A8F0852" w14:textId="70B694D4" w:rsidR="00BF348D" w:rsidRPr="009E630F" w:rsidRDefault="00BF348D" w:rsidP="002F295B">
            <w:pPr>
              <w:rPr>
                <w:rFonts w:ascii="Gill Sans MT" w:hAnsi="Gill Sans MT"/>
                <w:color w:val="000000"/>
                <w:szCs w:val="22"/>
                <w:lang w:val="en-US"/>
              </w:rPr>
            </w:pPr>
            <w:r w:rsidRPr="009E630F">
              <w:rPr>
                <w:rFonts w:ascii="Gill Sans MT" w:hAnsi="Gill Sans MT"/>
                <w:i/>
                <w:color w:val="000000"/>
                <w:szCs w:val="22"/>
                <w:lang w:val="en-US"/>
              </w:rPr>
              <w:t>Project 3: (Learners’ transitions from VET to HE)</w:t>
            </w:r>
            <w:r w:rsidRPr="009E630F">
              <w:rPr>
                <w:rFonts w:ascii="Gill Sans MT" w:hAnsi="Gill Sans MT"/>
                <w:color w:val="000000"/>
                <w:szCs w:val="22"/>
                <w:lang w:val="en-US"/>
              </w:rPr>
              <w:t xml:space="preserve"> = quant basis. Analysis suggests VET pathways do widen (rather than just increase) participation. People applying to uni from VET = more likely to be ‘from disadvantaged </w:t>
            </w:r>
            <w:r w:rsidRPr="009E630F">
              <w:rPr>
                <w:rFonts w:ascii="Gill Sans MT" w:hAnsi="Gill Sans MT"/>
                <w:color w:val="000000"/>
                <w:szCs w:val="22"/>
                <w:lang w:val="en-US"/>
              </w:rPr>
              <w:lastRenderedPageBreak/>
              <w:t>backgrounds’ and male (52% = male). VET articulants = much higher chance of not getting a place and dropping out in Year 1. VET students = heavily under-represented in higher status unis; “This uneven distribution is a result of processes operating at the level of both students, with their own perceptions and self-limitations, and institutions, which can have problems tracking and admitting people with non-traditional qualifications” (p.14). Data with students suggests barriers = lack of prep in VET for HE: demands of specific subjects (e.g. maths) and assessment types; balancing study with life.</w:t>
            </w:r>
          </w:p>
          <w:p w14:paraId="277873CA" w14:textId="77777777" w:rsidR="00BF348D" w:rsidRPr="009E630F" w:rsidRDefault="00BF348D" w:rsidP="002F295B">
            <w:pPr>
              <w:rPr>
                <w:rFonts w:ascii="Gill Sans MT" w:hAnsi="Gill Sans MT"/>
                <w:color w:val="000000"/>
                <w:szCs w:val="22"/>
                <w:lang w:val="en-US"/>
              </w:rPr>
            </w:pPr>
          </w:p>
          <w:p w14:paraId="52FEE014" w14:textId="71F97636" w:rsidR="00BF348D" w:rsidRPr="009E630F" w:rsidRDefault="00BF348D" w:rsidP="002F295B">
            <w:pPr>
              <w:rPr>
                <w:rFonts w:ascii="Gill Sans MT" w:hAnsi="Gill Sans MT"/>
                <w:color w:val="000000"/>
                <w:szCs w:val="22"/>
                <w:lang w:val="en-AU"/>
              </w:rPr>
            </w:pPr>
            <w:r w:rsidRPr="009E630F">
              <w:rPr>
                <w:rFonts w:ascii="Gill Sans MT" w:hAnsi="Gill Sans MT"/>
                <w:i/>
                <w:color w:val="000000"/>
                <w:szCs w:val="22"/>
                <w:lang w:val="en-AU"/>
              </w:rPr>
              <w:t>Project 4: (Sociocultural experiences of working class students in HE)</w:t>
            </w:r>
            <w:r w:rsidRPr="009E630F">
              <w:rPr>
                <w:rFonts w:ascii="Gill Sans MT" w:hAnsi="Gill Sans MT"/>
                <w:color w:val="000000"/>
                <w:szCs w:val="22"/>
                <w:lang w:val="en-AU"/>
              </w:rPr>
              <w:t xml:space="preserve"> = Working class students at 4 x institutions (post-1992, civic pre-1992; elite and FE college). Middle class students = more knowledge of/ prep for/ expectations of/ entitlement to HE. Key difference in students between unis = self-confidence; thus “social class processes are played out in the students’ experiences via what we term an institutional effect” (p.16) = institutional habitus. Also explored social field of each institution (e.g. ‘social facilities’) = differences across </w:t>
            </w:r>
            <w:proofErr w:type="spellStart"/>
            <w:r w:rsidRPr="009E630F">
              <w:rPr>
                <w:rFonts w:ascii="Gill Sans MT" w:hAnsi="Gill Sans MT"/>
                <w:color w:val="000000"/>
                <w:szCs w:val="22"/>
                <w:lang w:val="en-AU"/>
              </w:rPr>
              <w:t>insittutions</w:t>
            </w:r>
            <w:proofErr w:type="spellEnd"/>
            <w:r w:rsidRPr="009E630F">
              <w:rPr>
                <w:rFonts w:ascii="Gill Sans MT" w:hAnsi="Gill Sans MT"/>
                <w:color w:val="000000"/>
                <w:szCs w:val="22"/>
                <w:lang w:val="en-AU"/>
              </w:rPr>
              <w:t>. Thus sociocultural experiences = different across social classes and has implications for students’ sense of self.</w:t>
            </w:r>
          </w:p>
          <w:p w14:paraId="5DEDC7C0" w14:textId="77777777" w:rsidR="00384651" w:rsidRPr="009E630F" w:rsidRDefault="00384651" w:rsidP="002F295B">
            <w:pPr>
              <w:rPr>
                <w:rFonts w:ascii="Gill Sans MT" w:hAnsi="Gill Sans MT"/>
                <w:color w:val="000000"/>
                <w:szCs w:val="22"/>
                <w:lang w:val="en-AU"/>
              </w:rPr>
            </w:pPr>
          </w:p>
          <w:p w14:paraId="06150438" w14:textId="00E84B21" w:rsidR="00384651" w:rsidRPr="009E630F" w:rsidRDefault="00384651" w:rsidP="00EE6416">
            <w:pPr>
              <w:rPr>
                <w:rFonts w:ascii="Gill Sans MT" w:hAnsi="Gill Sans MT"/>
                <w:color w:val="000000"/>
                <w:szCs w:val="22"/>
                <w:lang w:val="en-US"/>
              </w:rPr>
            </w:pPr>
            <w:r w:rsidRPr="009E630F">
              <w:rPr>
                <w:rFonts w:ascii="Gill Sans MT" w:hAnsi="Gill Sans MT"/>
                <w:i/>
                <w:color w:val="000000"/>
                <w:szCs w:val="22"/>
                <w:lang w:val="en-AU"/>
              </w:rPr>
              <w:t>Project 5: (Mathematically demanding programs in FE &amp; HE) =</w:t>
            </w:r>
            <w:r w:rsidRPr="009E630F">
              <w:rPr>
                <w:rFonts w:ascii="Gill Sans MT" w:hAnsi="Gill Sans MT"/>
                <w:color w:val="000000"/>
                <w:szCs w:val="22"/>
                <w:lang w:val="en-AU"/>
              </w:rPr>
              <w:t xml:space="preserve"> looked at issues of extending and enhancing maths learning, especially for students ‘on edge’ of further participation in education. Questionnaire + interviews + case studies + analysis of programs and pedagogies. Findings = programs designed for this can make a big difference, especially using connectionist pedagogies (but performativity concerns can promote ‘</w:t>
            </w:r>
            <w:proofErr w:type="spellStart"/>
            <w:r w:rsidRPr="009E630F">
              <w:rPr>
                <w:rFonts w:ascii="Gill Sans MT" w:hAnsi="Gill Sans MT"/>
                <w:color w:val="000000"/>
                <w:szCs w:val="22"/>
                <w:lang w:val="en-AU"/>
              </w:rPr>
              <w:t>transmissionist</w:t>
            </w:r>
            <w:proofErr w:type="spellEnd"/>
            <w:r w:rsidRPr="009E630F">
              <w:rPr>
                <w:rFonts w:ascii="Gill Sans MT" w:hAnsi="Gill Sans MT"/>
                <w:color w:val="000000"/>
                <w:szCs w:val="22"/>
                <w:lang w:val="en-AU"/>
              </w:rPr>
              <w:t>’ approaches)</w:t>
            </w:r>
            <w:r w:rsidR="00EE6416" w:rsidRPr="009E630F">
              <w:rPr>
                <w:rFonts w:ascii="Gill Sans MT" w:hAnsi="Gill Sans MT"/>
                <w:color w:val="000000"/>
                <w:szCs w:val="22"/>
                <w:lang w:val="en-AU"/>
              </w:rPr>
              <w:t>. Program appears to encourage persistence and pass AS, but not necessarily A2. “</w:t>
            </w:r>
            <w:r w:rsidR="00EE6416" w:rsidRPr="009E630F">
              <w:rPr>
                <w:rFonts w:ascii="Gill Sans MT" w:hAnsi="Gill Sans MT"/>
                <w:color w:val="000000"/>
                <w:szCs w:val="22"/>
                <w:lang w:val="en-US"/>
              </w:rPr>
              <w:t>Students, teachers and college managers are acutely aware of the currency of qualifications and grades and all make strategic choices on this basis” (p.19).</w:t>
            </w:r>
          </w:p>
          <w:p w14:paraId="1DCACD96" w14:textId="77777777" w:rsidR="00880DBF" w:rsidRPr="009E630F" w:rsidRDefault="00880DBF" w:rsidP="00EE6416">
            <w:pPr>
              <w:rPr>
                <w:rFonts w:ascii="Gill Sans MT" w:hAnsi="Gill Sans MT"/>
                <w:color w:val="000000"/>
                <w:szCs w:val="22"/>
                <w:lang w:val="en-US"/>
              </w:rPr>
            </w:pPr>
          </w:p>
          <w:p w14:paraId="083DBC54" w14:textId="7695442B" w:rsidR="00880DBF" w:rsidRPr="009E630F" w:rsidRDefault="00880DBF" w:rsidP="00EE6416">
            <w:pPr>
              <w:rPr>
                <w:rFonts w:ascii="Gill Sans MT" w:hAnsi="Gill Sans MT"/>
                <w:color w:val="000000"/>
                <w:szCs w:val="22"/>
                <w:lang w:val="en-US"/>
              </w:rPr>
            </w:pPr>
            <w:r w:rsidRPr="009E630F">
              <w:rPr>
                <w:rFonts w:ascii="Gill Sans MT" w:hAnsi="Gill Sans MT"/>
                <w:i/>
                <w:color w:val="000000"/>
                <w:szCs w:val="22"/>
                <w:lang w:val="en-AU"/>
              </w:rPr>
              <w:t>Project 6: (Learning and teaching for social diff/diversity) =</w:t>
            </w:r>
            <w:r w:rsidRPr="009E630F">
              <w:rPr>
                <w:rFonts w:ascii="Gill Sans MT" w:hAnsi="Gill Sans MT"/>
                <w:color w:val="000000"/>
                <w:szCs w:val="22"/>
                <w:lang w:val="en-AU"/>
              </w:rPr>
              <w:t xml:space="preserve"> sought “</w:t>
            </w:r>
            <w:r w:rsidRPr="009E630F">
              <w:rPr>
                <w:rFonts w:ascii="Gill Sans MT" w:hAnsi="Gill Sans MT"/>
                <w:color w:val="000000"/>
                <w:szCs w:val="22"/>
                <w:lang w:val="en-US"/>
              </w:rPr>
              <w:t>to facilitate the development of inclusive learning environments and to enhance the academic engagement of higher education students, by informing policy and practice in university teaching” (p.20)</w:t>
            </w:r>
            <w:r w:rsidR="00B05B9F" w:rsidRPr="009E630F">
              <w:rPr>
                <w:rFonts w:ascii="Gill Sans MT" w:hAnsi="Gill Sans MT"/>
                <w:color w:val="000000"/>
                <w:szCs w:val="22"/>
                <w:lang w:val="en-US"/>
              </w:rPr>
              <w:t xml:space="preserve"> – focus on student and teacher identities in context of increasing diversity across range of disciplines. Used multidimensional definition of diversity. Main finding = in context of classroom, students “want teachers to recognise them as individuals with particular needs and interests. They value teachers who make time for them, who willingly engage with them outside the classroom, who share their own recent research or professional knowledge and experiences, and who show enthusiasm and passion for their subject” (p.20). This ‘high-level contact’ = largely not available and students turn to peers instead.  Teachers need to find ways of getting to know </w:t>
            </w:r>
            <w:r w:rsidR="002B39BB" w:rsidRPr="009E630F">
              <w:rPr>
                <w:rFonts w:ascii="Gill Sans MT" w:hAnsi="Gill Sans MT"/>
                <w:color w:val="000000"/>
                <w:szCs w:val="22"/>
                <w:lang w:val="en-US"/>
              </w:rPr>
              <w:t>students better.</w:t>
            </w:r>
          </w:p>
          <w:p w14:paraId="576518EF" w14:textId="77777777" w:rsidR="002B39BB" w:rsidRPr="009E630F" w:rsidRDefault="002B39BB" w:rsidP="00EE6416">
            <w:pPr>
              <w:rPr>
                <w:rFonts w:ascii="Gill Sans MT" w:hAnsi="Gill Sans MT"/>
                <w:color w:val="000000"/>
                <w:szCs w:val="22"/>
                <w:lang w:val="en-US"/>
              </w:rPr>
            </w:pPr>
          </w:p>
          <w:p w14:paraId="614CC137" w14:textId="4572D926" w:rsidR="002B39BB" w:rsidRPr="009E630F" w:rsidRDefault="002B39BB" w:rsidP="00EE6416">
            <w:pPr>
              <w:rPr>
                <w:rFonts w:ascii="Gill Sans MT" w:hAnsi="Gill Sans MT"/>
                <w:color w:val="000000"/>
                <w:szCs w:val="22"/>
                <w:lang w:val="en-US"/>
              </w:rPr>
            </w:pPr>
            <w:r w:rsidRPr="009E630F">
              <w:rPr>
                <w:rFonts w:ascii="Gill Sans MT" w:hAnsi="Gill Sans MT"/>
                <w:i/>
                <w:color w:val="000000"/>
                <w:szCs w:val="22"/>
                <w:lang w:val="en-US"/>
              </w:rPr>
              <w:t xml:space="preserve">Project 7: (‘Non participation’ in HE –decision making = social practice) </w:t>
            </w:r>
            <w:r w:rsidRPr="009E630F">
              <w:rPr>
                <w:rFonts w:ascii="Gill Sans MT" w:hAnsi="Gill Sans MT"/>
                <w:color w:val="000000"/>
                <w:szCs w:val="22"/>
                <w:lang w:val="en-US"/>
              </w:rPr>
              <w:t>= examines decisions of adults who have not participated in HE and examines how decision = embedded in family and friend networks. Drew on desk research, interviews (n=107). Data =  “no agency currently takes responsibility for providing impartial advice and guidance on educational and employment decisions to adults across the life-course and, specifically, in relation to higher level study opportunities” (p.22), with no evidence that universities reach out to disengaged adults. Younger people accessing HE = “participation pioneers” = critical for shaping experiences/ decisions/ aspirations of older network members.</w:t>
            </w:r>
          </w:p>
          <w:p w14:paraId="620154CE" w14:textId="77777777" w:rsidR="002B39BB" w:rsidRPr="009E630F" w:rsidRDefault="002B39BB" w:rsidP="00EE6416">
            <w:pPr>
              <w:rPr>
                <w:rFonts w:ascii="Gill Sans MT" w:hAnsi="Gill Sans MT"/>
                <w:color w:val="000000"/>
                <w:szCs w:val="22"/>
                <w:lang w:val="en-US"/>
              </w:rPr>
            </w:pPr>
          </w:p>
          <w:p w14:paraId="1A148651" w14:textId="68A6AABF" w:rsidR="002B39BB" w:rsidRPr="009E630F" w:rsidRDefault="00C0300F" w:rsidP="00C0300F">
            <w:pPr>
              <w:rPr>
                <w:rFonts w:ascii="Gill Sans MT" w:hAnsi="Gill Sans MT"/>
                <w:color w:val="000000"/>
                <w:szCs w:val="22"/>
                <w:lang w:val="en-AU"/>
              </w:rPr>
            </w:pPr>
            <w:r w:rsidRPr="009E630F">
              <w:rPr>
                <w:rFonts w:ascii="Gill Sans MT" w:hAnsi="Gill Sans MT"/>
                <w:b/>
                <w:color w:val="000000"/>
                <w:szCs w:val="22"/>
                <w:lang w:val="en-AU"/>
              </w:rPr>
              <w:t>Core argument:</w:t>
            </w:r>
            <w:r w:rsidR="002B39BB" w:rsidRPr="009E630F">
              <w:rPr>
                <w:rFonts w:ascii="Gill Sans MT" w:hAnsi="Gill Sans MT"/>
                <w:b/>
                <w:color w:val="000000"/>
                <w:szCs w:val="22"/>
                <w:lang w:val="en-AU"/>
              </w:rPr>
              <w:t xml:space="preserve"> </w:t>
            </w:r>
            <w:r w:rsidR="002B39BB" w:rsidRPr="009E630F">
              <w:rPr>
                <w:rFonts w:ascii="Gill Sans MT" w:hAnsi="Gill Sans MT"/>
                <w:color w:val="000000"/>
                <w:szCs w:val="22"/>
                <w:lang w:val="en-AU"/>
              </w:rPr>
              <w:t>Implications for further research include:</w:t>
            </w:r>
          </w:p>
          <w:p w14:paraId="7C219D5B" w14:textId="77777777" w:rsidR="002B39BB" w:rsidRPr="009E630F" w:rsidRDefault="002E1608" w:rsidP="002E1608">
            <w:pPr>
              <w:pStyle w:val="ListParagraph"/>
              <w:numPr>
                <w:ilvl w:val="0"/>
                <w:numId w:val="17"/>
              </w:numPr>
              <w:rPr>
                <w:rFonts w:ascii="Gill Sans MT" w:hAnsi="Gill Sans MT"/>
                <w:color w:val="000000"/>
                <w:szCs w:val="22"/>
                <w:lang w:val="en-AU"/>
              </w:rPr>
            </w:pPr>
            <w:r w:rsidRPr="009E630F">
              <w:rPr>
                <w:rFonts w:ascii="Gill Sans MT" w:hAnsi="Gill Sans MT"/>
                <w:color w:val="000000"/>
                <w:szCs w:val="22"/>
                <w:lang w:val="en-AU"/>
              </w:rPr>
              <w:t>Gendered access (young men with vocational qualifications)</w:t>
            </w:r>
          </w:p>
          <w:p w14:paraId="28F53C0D" w14:textId="77777777" w:rsidR="002E1608" w:rsidRPr="009E630F" w:rsidRDefault="002E1608" w:rsidP="002E1608">
            <w:pPr>
              <w:pStyle w:val="ListParagraph"/>
              <w:numPr>
                <w:ilvl w:val="0"/>
                <w:numId w:val="17"/>
              </w:numPr>
              <w:rPr>
                <w:rFonts w:ascii="Gill Sans MT" w:hAnsi="Gill Sans MT"/>
                <w:color w:val="000000"/>
                <w:szCs w:val="22"/>
                <w:lang w:val="en-AU"/>
              </w:rPr>
            </w:pPr>
            <w:r w:rsidRPr="009E630F">
              <w:rPr>
                <w:rFonts w:ascii="Gill Sans MT" w:hAnsi="Gill Sans MT"/>
                <w:color w:val="000000"/>
                <w:szCs w:val="22"/>
                <w:lang w:val="en-AU"/>
              </w:rPr>
              <w:t>More focus on WP and students’ ethnicity and age</w:t>
            </w:r>
          </w:p>
          <w:p w14:paraId="1BC807CF" w14:textId="77777777" w:rsidR="002E1608" w:rsidRPr="009E630F" w:rsidRDefault="002E1608" w:rsidP="002E1608">
            <w:pPr>
              <w:pStyle w:val="ListParagraph"/>
              <w:numPr>
                <w:ilvl w:val="0"/>
                <w:numId w:val="17"/>
              </w:numPr>
              <w:rPr>
                <w:rFonts w:ascii="Gill Sans MT" w:hAnsi="Gill Sans MT"/>
                <w:color w:val="000000"/>
                <w:szCs w:val="22"/>
                <w:lang w:val="en-AU"/>
              </w:rPr>
            </w:pPr>
            <w:r w:rsidRPr="009E630F">
              <w:rPr>
                <w:rFonts w:ascii="Gill Sans MT" w:hAnsi="Gill Sans MT"/>
                <w:color w:val="000000"/>
                <w:szCs w:val="22"/>
                <w:lang w:val="en-AU"/>
              </w:rPr>
              <w:t>Need to focus on WP earlier in childhood</w:t>
            </w:r>
          </w:p>
          <w:p w14:paraId="77D3B61D" w14:textId="77777777" w:rsidR="002E1608" w:rsidRPr="009E630F" w:rsidRDefault="002E1608" w:rsidP="002E1608">
            <w:pPr>
              <w:pStyle w:val="ListParagraph"/>
              <w:numPr>
                <w:ilvl w:val="0"/>
                <w:numId w:val="17"/>
              </w:numPr>
              <w:rPr>
                <w:rFonts w:ascii="Gill Sans MT" w:hAnsi="Gill Sans MT"/>
                <w:color w:val="000000"/>
                <w:szCs w:val="22"/>
                <w:lang w:val="en-AU"/>
              </w:rPr>
            </w:pPr>
            <w:r w:rsidRPr="009E630F">
              <w:rPr>
                <w:rFonts w:ascii="Gill Sans MT" w:hAnsi="Gill Sans MT"/>
                <w:color w:val="000000"/>
                <w:szCs w:val="22"/>
                <w:lang w:val="en-AU"/>
              </w:rPr>
              <w:t>Need to examine subject choices/ mixes – especially maths and VET</w:t>
            </w:r>
          </w:p>
          <w:p w14:paraId="5226D138" w14:textId="0FFE7E75" w:rsidR="002E1608" w:rsidRPr="009E630F" w:rsidRDefault="002E1608" w:rsidP="002E1608">
            <w:pPr>
              <w:pStyle w:val="ListParagraph"/>
              <w:numPr>
                <w:ilvl w:val="0"/>
                <w:numId w:val="17"/>
              </w:numPr>
              <w:rPr>
                <w:rFonts w:ascii="Gill Sans MT" w:hAnsi="Gill Sans MT"/>
                <w:color w:val="000000"/>
                <w:szCs w:val="22"/>
                <w:lang w:val="en-AU"/>
              </w:rPr>
            </w:pPr>
            <w:r w:rsidRPr="009E630F">
              <w:rPr>
                <w:rFonts w:ascii="Gill Sans MT" w:hAnsi="Gill Sans MT"/>
                <w:color w:val="000000"/>
                <w:szCs w:val="22"/>
                <w:lang w:val="en-AU"/>
              </w:rPr>
              <w:t>Quality of maths teaching pre-HE</w:t>
            </w:r>
          </w:p>
        </w:tc>
      </w:tr>
      <w:tr w:rsidR="009E630F" w:rsidRPr="009E630F" w14:paraId="61CAFD7A" w14:textId="77777777" w:rsidTr="000C6DDE">
        <w:tc>
          <w:tcPr>
            <w:tcW w:w="5529" w:type="dxa"/>
          </w:tcPr>
          <w:p w14:paraId="7DC97587" w14:textId="77777777" w:rsidR="009E630F" w:rsidRPr="005B7547" w:rsidRDefault="009E630F" w:rsidP="009E630F">
            <w:pPr>
              <w:rPr>
                <w:rFonts w:ascii="Gill Sans MT" w:hAnsi="Gill Sans MT"/>
              </w:rPr>
            </w:pPr>
            <w:r w:rsidRPr="005B7547">
              <w:rPr>
                <w:rFonts w:ascii="Gill Sans MT" w:hAnsi="Gill Sans MT"/>
              </w:rPr>
              <w:lastRenderedPageBreak/>
              <w:t xml:space="preserve">Dawson, P.; </w:t>
            </w:r>
            <w:proofErr w:type="spellStart"/>
            <w:r w:rsidRPr="005B7547">
              <w:rPr>
                <w:rFonts w:ascii="Gill Sans MT" w:hAnsi="Gill Sans MT"/>
              </w:rPr>
              <w:t>Charman</w:t>
            </w:r>
            <w:proofErr w:type="spellEnd"/>
            <w:r w:rsidRPr="005B7547">
              <w:rPr>
                <w:rFonts w:ascii="Gill Sans MT" w:hAnsi="Gill Sans MT"/>
              </w:rPr>
              <w:t xml:space="preserve">, K. &amp; Kilpatrick, S. (2013). </w:t>
            </w:r>
            <w:hyperlink r:id="rId16" w:history="1">
              <w:r w:rsidRPr="00773B5D">
                <w:rPr>
                  <w:rStyle w:val="Hyperlink"/>
                  <w:rFonts w:ascii="Gill Sans MT" w:hAnsi="Gill Sans MT"/>
                </w:rPr>
                <w:t>The new higher education reality: what is an appropriate model to address the widening participation agenda?</w:t>
              </w:r>
            </w:hyperlink>
            <w:r w:rsidRPr="005B7547">
              <w:rPr>
                <w:rFonts w:ascii="Gill Sans MT" w:hAnsi="Gill Sans MT"/>
              </w:rPr>
              <w:t xml:space="preserve">, </w:t>
            </w:r>
            <w:r w:rsidRPr="005B7547">
              <w:rPr>
                <w:rFonts w:ascii="Gill Sans MT" w:hAnsi="Gill Sans MT"/>
                <w:i/>
              </w:rPr>
              <w:t xml:space="preserve">Higher Education Research &amp; Development, </w:t>
            </w:r>
            <w:r w:rsidRPr="005B7547">
              <w:rPr>
                <w:rFonts w:ascii="Gill Sans MT" w:hAnsi="Gill Sans MT"/>
              </w:rPr>
              <w:t>32(5)</w:t>
            </w:r>
            <w:r>
              <w:rPr>
                <w:rFonts w:ascii="Gill Sans MT" w:hAnsi="Gill Sans MT"/>
              </w:rPr>
              <w:t>,</w:t>
            </w:r>
            <w:r w:rsidRPr="005B7547">
              <w:rPr>
                <w:rFonts w:ascii="Gill Sans MT" w:hAnsi="Gill Sans MT"/>
              </w:rPr>
              <w:t xml:space="preserve"> 706</w:t>
            </w:r>
            <w:r>
              <w:rPr>
                <w:rFonts w:ascii="Gill Sans MT" w:hAnsi="Gill Sans MT"/>
              </w:rPr>
              <w:t>–</w:t>
            </w:r>
            <w:r w:rsidRPr="005B7547">
              <w:rPr>
                <w:rFonts w:ascii="Gill Sans MT" w:hAnsi="Gill Sans MT"/>
              </w:rPr>
              <w:t>721.</w:t>
            </w:r>
          </w:p>
          <w:p w14:paraId="34AEB235" w14:textId="77777777" w:rsidR="009E630F" w:rsidRPr="005B7547" w:rsidRDefault="009E630F" w:rsidP="009E630F">
            <w:pPr>
              <w:rPr>
                <w:rFonts w:ascii="Gill Sans MT" w:hAnsi="Gill Sans MT"/>
              </w:rPr>
            </w:pPr>
          </w:p>
          <w:p w14:paraId="2CF75FF7" w14:textId="77777777" w:rsidR="009E630F" w:rsidRPr="005B7547" w:rsidRDefault="009E630F" w:rsidP="009E630F">
            <w:pPr>
              <w:rPr>
                <w:rFonts w:ascii="Gill Sans MT" w:hAnsi="Gill Sans MT"/>
              </w:rPr>
            </w:pPr>
            <w:r w:rsidRPr="005B7547">
              <w:rPr>
                <w:rFonts w:ascii="Gill Sans MT" w:hAnsi="Gill Sans MT"/>
              </w:rPr>
              <w:t>AUS</w:t>
            </w:r>
          </w:p>
          <w:p w14:paraId="29294FDD" w14:textId="77777777" w:rsidR="009E630F" w:rsidRPr="009A1CE0" w:rsidRDefault="009E630F" w:rsidP="009E630F">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30E98F8D" w14:textId="77777777" w:rsidR="009E630F" w:rsidRPr="005B7547" w:rsidRDefault="009E630F" w:rsidP="009E630F">
            <w:pPr>
              <w:rPr>
                <w:rFonts w:ascii="Gill Sans MT" w:hAnsi="Gill Sans MT"/>
              </w:rPr>
            </w:pPr>
          </w:p>
          <w:p w14:paraId="42DDE25E" w14:textId="0B34EBE4" w:rsidR="009E630F" w:rsidRPr="009E630F" w:rsidRDefault="009E630F" w:rsidP="009E630F">
            <w:pPr>
              <w:pStyle w:val="NormalWeb"/>
              <w:rPr>
                <w:rFonts w:ascii="Gill Sans MT" w:hAnsi="Gill Sans MT"/>
                <w:sz w:val="22"/>
                <w:szCs w:val="22"/>
                <w:lang w:val="en-US"/>
              </w:rPr>
            </w:pPr>
            <w:r w:rsidRPr="005B7547">
              <w:rPr>
                <w:rFonts w:ascii="Gill Sans MT" w:hAnsi="Gill Sans MT"/>
              </w:rPr>
              <w:t xml:space="preserve">Keywords: </w:t>
            </w:r>
            <w:r w:rsidRPr="00773B5D">
              <w:rPr>
                <w:rFonts w:ascii="Gill Sans MT" w:hAnsi="Gill Sans MT"/>
                <w:i/>
                <w:iCs/>
              </w:rPr>
              <w:t>associate degree; diversity; participation; pathway; transition</w:t>
            </w:r>
          </w:p>
        </w:tc>
        <w:tc>
          <w:tcPr>
            <w:tcW w:w="10064" w:type="dxa"/>
          </w:tcPr>
          <w:p w14:paraId="084A513D"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Set in context of Australian higher education/ massification/ diverse students, especially those who articulate into HE from VET (authors note issues, such as cultural differences). Based on Aus gov’t-funded ‘Deakin at Your Doorstop’ project (offers Associate Degrees to R&amp;R students</w:t>
            </w:r>
          </w:p>
          <w:p w14:paraId="261B489C"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To introduce new Associate Degree at Deakin as alternative pathway to respond to diversity and in the context of regionality in Victoria</w:t>
            </w:r>
          </w:p>
          <w:p w14:paraId="7FBD4C07"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Mixed-methods exploratory study. Data = retention/ progression data, student evaluations of teaching, survey at 3 points (n=35, 35, 28), semi-structured interviews with students (n=26), teaching staff (n=4), project staff (n=3)</w:t>
            </w:r>
          </w:p>
          <w:p w14:paraId="1C1AB410"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Describes the model (partnership with TAFE/ structure etc.) = p.709-12</w:t>
            </w:r>
          </w:p>
          <w:p w14:paraId="477A85AE"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Students said that they would not be at university if not for the Ass. Degree; brought in more traffic to TAFE sites (mostly mature age students; students on campus = more school leavers)</w:t>
            </w:r>
          </w:p>
          <w:p w14:paraId="42674312"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Students progression and perceptions of challenges = comparable to UG (‘mainstream’) students. 64/75 students remained enrolled at the end of the course.</w:t>
            </w:r>
          </w:p>
          <w:p w14:paraId="0E84E1BC"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Relationships emerged as important in the interviews</w:t>
            </w:r>
          </w:p>
          <w:p w14:paraId="1AD494C2"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lang w:val="en-AU"/>
              </w:rPr>
              <w:t>Technology did not get in the way</w:t>
            </w:r>
          </w:p>
          <w:p w14:paraId="55420BC9" w14:textId="685B9770" w:rsidR="009E630F" w:rsidRPr="009E630F" w:rsidRDefault="009E630F" w:rsidP="009E630F">
            <w:pPr>
              <w:rPr>
                <w:rFonts w:ascii="Gill Sans MT" w:hAnsi="Gill Sans MT"/>
                <w:b/>
                <w:color w:val="000000"/>
                <w:szCs w:val="22"/>
                <w:lang w:val="en-AU"/>
              </w:rPr>
            </w:pPr>
            <w:r w:rsidRPr="005B7547">
              <w:rPr>
                <w:rFonts w:ascii="Gill Sans MT" w:hAnsi="Gill Sans MT"/>
                <w:color w:val="000000"/>
                <w:szCs w:val="22"/>
                <w:lang w:val="en-AU"/>
              </w:rPr>
              <w:t>Multiple learning methods were effective</w:t>
            </w:r>
            <w:r w:rsidRPr="005B7547">
              <w:rPr>
                <w:rFonts w:ascii="Gill Sans MT" w:hAnsi="Gill Sans MT"/>
                <w:b/>
                <w:color w:val="000000"/>
                <w:szCs w:val="22"/>
                <w:lang w:val="en-AU"/>
              </w:rPr>
              <w:br/>
              <w:t xml:space="preserve">Core argument: </w:t>
            </w:r>
            <w:r w:rsidRPr="005B7547">
              <w:rPr>
                <w:rFonts w:ascii="Gill Sans MT" w:hAnsi="Gill Sans MT"/>
                <w:color w:val="000000"/>
                <w:szCs w:val="22"/>
                <w:lang w:val="en-AU"/>
              </w:rPr>
              <w:t>Offers a not-very-critical account of a new model of alternative pathway</w:t>
            </w:r>
          </w:p>
        </w:tc>
      </w:tr>
      <w:tr w:rsidR="009E630F" w:rsidRPr="009E630F" w14:paraId="646D5CB4" w14:textId="77777777" w:rsidTr="000C6DDE">
        <w:tc>
          <w:tcPr>
            <w:tcW w:w="5529" w:type="dxa"/>
          </w:tcPr>
          <w:p w14:paraId="7A6E9C3C" w14:textId="43A7571A" w:rsidR="009E630F" w:rsidRPr="009E630F" w:rsidRDefault="009E630F" w:rsidP="009E630F">
            <w:pPr>
              <w:pStyle w:val="NormalWeb"/>
              <w:rPr>
                <w:rFonts w:ascii="Gill Sans MT" w:hAnsi="Gill Sans MT"/>
                <w:sz w:val="22"/>
                <w:szCs w:val="22"/>
                <w:lang w:val="en-US"/>
              </w:rPr>
            </w:pPr>
            <w:r w:rsidRPr="009E630F">
              <w:rPr>
                <w:rFonts w:ascii="Gill Sans MT" w:hAnsi="Gill Sans MT"/>
                <w:sz w:val="22"/>
                <w:szCs w:val="22"/>
                <w:lang w:val="en-US"/>
              </w:rPr>
              <w:lastRenderedPageBreak/>
              <w:t xml:space="preserve">Gale, T. &amp; Parker, S. (2013). </w:t>
            </w:r>
            <w:hyperlink r:id="rId17" w:history="1">
              <w:r w:rsidRPr="009E630F">
                <w:rPr>
                  <w:rStyle w:val="Hyperlink"/>
                  <w:rFonts w:ascii="Gill Sans MT" w:hAnsi="Gill Sans MT"/>
                  <w:i/>
                  <w:sz w:val="22"/>
                  <w:szCs w:val="22"/>
                  <w:lang w:val="en-US"/>
                </w:rPr>
                <w:t>Widening participation in Australian higher education: Report to the Higher Education Funding Council of England (HEFCE) and the Office of Fair Access (OFFA), England</w:t>
              </w:r>
            </w:hyperlink>
            <w:r w:rsidRPr="009E630F">
              <w:rPr>
                <w:rFonts w:ascii="Gill Sans MT" w:hAnsi="Gill Sans MT"/>
                <w:sz w:val="22"/>
                <w:szCs w:val="22"/>
                <w:lang w:val="en-US"/>
              </w:rPr>
              <w:t>. Leicester, UK: CFE Research.</w:t>
            </w:r>
          </w:p>
          <w:p w14:paraId="3F3AA131" w14:textId="4746A25A" w:rsidR="009E630F" w:rsidRDefault="009E630F" w:rsidP="009E630F">
            <w:pPr>
              <w:rPr>
                <w:rFonts w:ascii="Gill Sans MT" w:hAnsi="Gill Sans MT"/>
                <w:szCs w:val="22"/>
              </w:rPr>
            </w:pPr>
            <w:r w:rsidRPr="009E630F">
              <w:rPr>
                <w:rFonts w:ascii="Gill Sans MT" w:hAnsi="Gill Sans MT"/>
                <w:szCs w:val="22"/>
                <w:lang w:val="en-US"/>
              </w:rPr>
              <w:t>AUS</w:t>
            </w:r>
          </w:p>
          <w:p w14:paraId="2DC3FC64" w14:textId="7AFFB7C9" w:rsidR="009E630F" w:rsidRPr="009E630F" w:rsidRDefault="009E630F" w:rsidP="009E630F">
            <w:pPr>
              <w:rPr>
                <w:rFonts w:ascii="Gill Sans MT" w:hAnsi="Gill Sans MT"/>
                <w:szCs w:val="22"/>
              </w:rPr>
            </w:pPr>
            <w:r w:rsidRPr="009E630F">
              <w:rPr>
                <w:rFonts w:ascii="Gill Sans MT" w:hAnsi="Gill Sans MT"/>
                <w:szCs w:val="22"/>
              </w:rPr>
              <w:t>Annotation by Sally Baker</w:t>
            </w:r>
          </w:p>
        </w:tc>
        <w:tc>
          <w:tcPr>
            <w:tcW w:w="10064" w:type="dxa"/>
          </w:tcPr>
          <w:p w14:paraId="52B653B5"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 xml:space="preserve">Report commissioned by HEFCE and OFFA to describe current approaches to WP in Australian higher education. Authors point out the expanding access to university has had a long history in Australia [see also Gale &amp; Tranter, 2012]. Scopes history of ‘equity’ post-1990 (target equity groups, proportional representation, HECS, Bradley targets) – explicitly uses British terms (WP) throughout for British audience. </w:t>
            </w:r>
          </w:p>
          <w:p w14:paraId="37B61641" w14:textId="77777777" w:rsidR="009E630F" w:rsidRPr="009E630F" w:rsidRDefault="009E630F" w:rsidP="009E630F">
            <w:pPr>
              <w:rPr>
                <w:rFonts w:ascii="Gill Sans MT" w:hAnsi="Gill Sans MT"/>
                <w:color w:val="000000"/>
                <w:szCs w:val="22"/>
                <w:lang w:val="en-AU"/>
              </w:rPr>
            </w:pPr>
            <w:r w:rsidRPr="009E630F">
              <w:rPr>
                <w:rFonts w:ascii="Gill Sans MT" w:hAnsi="Gill Sans MT"/>
                <w:i/>
                <w:color w:val="000000"/>
                <w:szCs w:val="22"/>
                <w:lang w:val="en-AU"/>
              </w:rPr>
              <w:t>Chapter 2: Australian education system</w:t>
            </w:r>
            <w:r w:rsidRPr="009E630F">
              <w:rPr>
                <w:rFonts w:ascii="Gill Sans MT" w:hAnsi="Gill Sans MT"/>
                <w:color w:val="000000"/>
                <w:szCs w:val="22"/>
                <w:lang w:val="en-AU"/>
              </w:rPr>
              <w:t xml:space="preserve">, role of government in education. </w:t>
            </w:r>
          </w:p>
          <w:p w14:paraId="5F808ABC"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System effects = low SES students tend to be concentrated in government schools/ high SES tend to be in selective or non-government schools. Academic achievement = strongly correlates with SES (p.10).</w:t>
            </w:r>
          </w:p>
          <w:p w14:paraId="6157474E" w14:textId="77777777" w:rsidR="009E630F" w:rsidRPr="009E630F" w:rsidRDefault="009E630F" w:rsidP="009E630F">
            <w:pPr>
              <w:rPr>
                <w:rFonts w:ascii="Gill Sans MT" w:hAnsi="Gill Sans MT"/>
                <w:color w:val="000000"/>
                <w:szCs w:val="22"/>
                <w:lang w:val="en-AU"/>
              </w:rPr>
            </w:pPr>
            <w:r w:rsidRPr="009E630F">
              <w:rPr>
                <w:rFonts w:ascii="Gill Sans MT" w:hAnsi="Gill Sans MT"/>
                <w:i/>
                <w:color w:val="000000"/>
                <w:szCs w:val="22"/>
                <w:lang w:val="en-AU"/>
              </w:rPr>
              <w:t>Chapter 3: Higher education</w:t>
            </w:r>
            <w:r w:rsidRPr="009E630F">
              <w:rPr>
                <w:rFonts w:ascii="Gill Sans MT" w:hAnsi="Gill Sans MT"/>
                <w:color w:val="000000"/>
                <w:szCs w:val="22"/>
                <w:lang w:val="en-AU"/>
              </w:rPr>
              <w:t xml:space="preserve"> – overview of Australian sector (Table A and B), funding, dual sector, revenue. Examines institutional diversity and university networks, admissions, supply and demand in the system (section 3.12 = increases in enrolments for equity groups, p.16). Discusses transfer between institutions on p.16-17.</w:t>
            </w:r>
          </w:p>
          <w:p w14:paraId="6C576296" w14:textId="77777777" w:rsidR="009E630F" w:rsidRPr="009E630F" w:rsidRDefault="009E630F" w:rsidP="009E630F">
            <w:pPr>
              <w:rPr>
                <w:rFonts w:ascii="Gill Sans MT" w:hAnsi="Gill Sans MT"/>
                <w:i/>
                <w:color w:val="000000"/>
                <w:szCs w:val="22"/>
                <w:lang w:val="en-AU"/>
              </w:rPr>
            </w:pPr>
            <w:r w:rsidRPr="009E630F">
              <w:rPr>
                <w:rFonts w:ascii="Gill Sans MT" w:hAnsi="Gill Sans MT"/>
                <w:i/>
                <w:color w:val="000000"/>
                <w:szCs w:val="22"/>
                <w:lang w:val="en-AU"/>
              </w:rPr>
              <w:t>Chapter 4: WP data</w:t>
            </w:r>
          </w:p>
          <w:p w14:paraId="6F6DF9DE"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Table 4.1 = target group references from 2011 (p.19)</w:t>
            </w:r>
          </w:p>
          <w:tbl>
            <w:tblPr>
              <w:tblW w:w="0" w:type="auto"/>
              <w:tblBorders>
                <w:top w:val="nil"/>
                <w:left w:val="nil"/>
                <w:bottom w:val="nil"/>
                <w:right w:val="nil"/>
              </w:tblBorders>
              <w:tblLook w:val="0000" w:firstRow="0" w:lastRow="0" w:firstColumn="0" w:lastColumn="0" w:noHBand="0" w:noVBand="0"/>
            </w:tblPr>
            <w:tblGrid>
              <w:gridCol w:w="1790"/>
              <w:gridCol w:w="1039"/>
              <w:gridCol w:w="773"/>
              <w:gridCol w:w="1085"/>
              <w:gridCol w:w="1021"/>
              <w:gridCol w:w="964"/>
              <w:gridCol w:w="1227"/>
              <w:gridCol w:w="987"/>
            </w:tblGrid>
            <w:tr w:rsidR="009E630F" w:rsidRPr="009E630F" w14:paraId="03D54820" w14:textId="77777777" w:rsidTr="000C6DDE">
              <w:trPr>
                <w:trHeight w:val="322"/>
              </w:trPr>
              <w:tc>
                <w:tcPr>
                  <w:tcW w:w="0" w:type="auto"/>
                </w:tcPr>
                <w:p w14:paraId="6917B0B5"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Aged 15-64 </w:t>
                  </w:r>
                </w:p>
                <w:p w14:paraId="4CE301B8"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in 2011 </w:t>
                  </w:r>
                </w:p>
              </w:tc>
              <w:tc>
                <w:tcPr>
                  <w:tcW w:w="0" w:type="auto"/>
                </w:tcPr>
                <w:p w14:paraId="3BC5D440"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Low SES </w:t>
                  </w:r>
                </w:p>
              </w:tc>
              <w:tc>
                <w:tcPr>
                  <w:tcW w:w="0" w:type="auto"/>
                </w:tcPr>
                <w:p w14:paraId="2F6C5E03"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NESB </w:t>
                  </w:r>
                </w:p>
              </w:tc>
              <w:tc>
                <w:tcPr>
                  <w:tcW w:w="0" w:type="auto"/>
                </w:tcPr>
                <w:p w14:paraId="6B5F6CDB"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Disability </w:t>
                  </w:r>
                </w:p>
              </w:tc>
              <w:tc>
                <w:tcPr>
                  <w:tcW w:w="0" w:type="auto"/>
                </w:tcPr>
                <w:p w14:paraId="46E0109C"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Regional </w:t>
                  </w:r>
                </w:p>
              </w:tc>
              <w:tc>
                <w:tcPr>
                  <w:tcW w:w="0" w:type="auto"/>
                </w:tcPr>
                <w:p w14:paraId="1CE9FEAD"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Remote </w:t>
                  </w:r>
                </w:p>
              </w:tc>
              <w:tc>
                <w:tcPr>
                  <w:tcW w:w="0" w:type="auto"/>
                </w:tcPr>
                <w:p w14:paraId="57DBE9B2"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Indigenous </w:t>
                  </w:r>
                </w:p>
              </w:tc>
              <w:tc>
                <w:tcPr>
                  <w:tcW w:w="0" w:type="auto"/>
                </w:tcPr>
                <w:p w14:paraId="2AA12A02"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Women </w:t>
                  </w:r>
                </w:p>
              </w:tc>
            </w:tr>
            <w:tr w:rsidR="009E630F" w:rsidRPr="009E630F" w14:paraId="509EA1A0" w14:textId="77777777" w:rsidTr="000C6DDE">
              <w:trPr>
                <w:trHeight w:val="214"/>
              </w:trPr>
              <w:tc>
                <w:tcPr>
                  <w:tcW w:w="0" w:type="auto"/>
                </w:tcPr>
                <w:p w14:paraId="283CAC59"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b/>
                      <w:bCs/>
                      <w:color w:val="000000"/>
                      <w:sz w:val="20"/>
                      <w:szCs w:val="20"/>
                      <w:lang w:val="en-US"/>
                    </w:rPr>
                    <w:t xml:space="preserve">Reference values </w:t>
                  </w:r>
                </w:p>
              </w:tc>
              <w:tc>
                <w:tcPr>
                  <w:tcW w:w="0" w:type="auto"/>
                </w:tcPr>
                <w:p w14:paraId="3AAC9911"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color w:val="000000"/>
                      <w:sz w:val="20"/>
                      <w:szCs w:val="20"/>
                      <w:lang w:val="en-US"/>
                    </w:rPr>
                    <w:t xml:space="preserve">25.0% </w:t>
                  </w:r>
                </w:p>
              </w:tc>
              <w:tc>
                <w:tcPr>
                  <w:tcW w:w="0" w:type="auto"/>
                </w:tcPr>
                <w:p w14:paraId="0A78E6A3"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color w:val="000000"/>
                      <w:sz w:val="20"/>
                      <w:szCs w:val="20"/>
                      <w:lang w:val="en-US"/>
                    </w:rPr>
                    <w:t xml:space="preserve">4.66% </w:t>
                  </w:r>
                </w:p>
              </w:tc>
              <w:tc>
                <w:tcPr>
                  <w:tcW w:w="0" w:type="auto"/>
                </w:tcPr>
                <w:p w14:paraId="5B34BD4D"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color w:val="000000"/>
                      <w:sz w:val="20"/>
                      <w:szCs w:val="20"/>
                      <w:lang w:val="en-US"/>
                    </w:rPr>
                    <w:t xml:space="preserve">8.0% </w:t>
                  </w:r>
                </w:p>
              </w:tc>
              <w:tc>
                <w:tcPr>
                  <w:tcW w:w="0" w:type="auto"/>
                </w:tcPr>
                <w:p w14:paraId="114F14C2"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color w:val="000000"/>
                      <w:sz w:val="20"/>
                      <w:szCs w:val="20"/>
                      <w:lang w:val="en-US"/>
                    </w:rPr>
                    <w:t xml:space="preserve">23.32% </w:t>
                  </w:r>
                </w:p>
              </w:tc>
              <w:tc>
                <w:tcPr>
                  <w:tcW w:w="0" w:type="auto"/>
                </w:tcPr>
                <w:p w14:paraId="21DC0B87"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color w:val="000000"/>
                      <w:sz w:val="20"/>
                      <w:szCs w:val="20"/>
                      <w:lang w:val="en-US"/>
                    </w:rPr>
                    <w:t xml:space="preserve">0.6% </w:t>
                  </w:r>
                </w:p>
              </w:tc>
              <w:tc>
                <w:tcPr>
                  <w:tcW w:w="0" w:type="auto"/>
                </w:tcPr>
                <w:p w14:paraId="11B3049A"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color w:val="000000"/>
                      <w:sz w:val="20"/>
                      <w:szCs w:val="20"/>
                      <w:lang w:val="en-US"/>
                    </w:rPr>
                    <w:t xml:space="preserve">2.23% </w:t>
                  </w:r>
                </w:p>
              </w:tc>
              <w:tc>
                <w:tcPr>
                  <w:tcW w:w="0" w:type="auto"/>
                </w:tcPr>
                <w:p w14:paraId="1BC43129" w14:textId="77777777" w:rsidR="009E630F" w:rsidRPr="009E630F" w:rsidRDefault="009E630F" w:rsidP="009E630F">
                  <w:pPr>
                    <w:widowControl w:val="0"/>
                    <w:autoSpaceDE w:val="0"/>
                    <w:autoSpaceDN w:val="0"/>
                    <w:adjustRightInd w:val="0"/>
                    <w:rPr>
                      <w:rFonts w:ascii="Gill Sans MT" w:hAnsi="Gill Sans MT" w:cs="Arial"/>
                      <w:color w:val="000000"/>
                      <w:sz w:val="20"/>
                      <w:szCs w:val="20"/>
                      <w:lang w:val="en-US"/>
                    </w:rPr>
                  </w:pPr>
                  <w:r w:rsidRPr="009E630F">
                    <w:rPr>
                      <w:rFonts w:ascii="Gill Sans MT" w:hAnsi="Gill Sans MT" w:cs="Arial"/>
                      <w:color w:val="000000"/>
                      <w:sz w:val="20"/>
                      <w:szCs w:val="20"/>
                      <w:lang w:val="en-US"/>
                    </w:rPr>
                    <w:t xml:space="preserve">40%* </w:t>
                  </w:r>
                </w:p>
              </w:tc>
            </w:tr>
          </w:tbl>
          <w:p w14:paraId="70AB45A6"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Access rates on p.20 (2006-2011)</w:t>
            </w:r>
          </w:p>
          <w:p w14:paraId="759BD8ED"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Participation rates/ratios on p.21 (2006-2011)</w:t>
            </w:r>
          </w:p>
          <w:p w14:paraId="76DE0464"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Retention rates on p.22 (2005-2010); rates by equity group on p.23/ ratios by equity groups on p.24</w:t>
            </w:r>
          </w:p>
          <w:p w14:paraId="3E5B59C1"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Success rates/ratios on p.24-5</w:t>
            </w:r>
          </w:p>
          <w:p w14:paraId="518F0A78"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Completion rates on p.26 (all levels of course; 2006-2011) and by discipline p.27</w:t>
            </w:r>
          </w:p>
          <w:p w14:paraId="779170C3"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Comparison of discipline by SES on p.29</w:t>
            </w:r>
          </w:p>
          <w:p w14:paraId="219FDA82"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Rates of employment on p.33</w:t>
            </w:r>
          </w:p>
          <w:p w14:paraId="0C8E75D6"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PG participation rates by low SES/ Indigenous on p.34</w:t>
            </w:r>
          </w:p>
          <w:p w14:paraId="504B4698" w14:textId="77777777" w:rsidR="009E630F" w:rsidRPr="009E630F" w:rsidRDefault="009E630F" w:rsidP="009E630F">
            <w:pPr>
              <w:rPr>
                <w:rFonts w:ascii="Gill Sans MT" w:hAnsi="Gill Sans MT"/>
                <w:i/>
                <w:color w:val="000000"/>
                <w:szCs w:val="22"/>
                <w:lang w:val="en-AU"/>
              </w:rPr>
            </w:pPr>
            <w:r w:rsidRPr="009E630F">
              <w:rPr>
                <w:rFonts w:ascii="Gill Sans MT" w:hAnsi="Gill Sans MT"/>
                <w:i/>
                <w:color w:val="000000"/>
                <w:szCs w:val="22"/>
                <w:lang w:val="en-AU"/>
              </w:rPr>
              <w:t>Chapter 5: WP policy</w:t>
            </w:r>
          </w:p>
          <w:p w14:paraId="72E0035E"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Starts from Bradley review: participation targets, HEPPP (p.37-8), mission-based compacts/ performance funding</w:t>
            </w:r>
          </w:p>
          <w:p w14:paraId="16EE184C" w14:textId="77777777" w:rsidR="009E630F" w:rsidRPr="009E630F" w:rsidRDefault="009E630F" w:rsidP="009E630F">
            <w:pPr>
              <w:rPr>
                <w:rFonts w:ascii="Gill Sans MT" w:hAnsi="Gill Sans MT"/>
                <w:i/>
                <w:color w:val="000000"/>
                <w:szCs w:val="22"/>
                <w:lang w:val="en-AU"/>
              </w:rPr>
            </w:pPr>
            <w:r w:rsidRPr="009E630F">
              <w:rPr>
                <w:rFonts w:ascii="Gill Sans MT" w:hAnsi="Gill Sans MT"/>
                <w:i/>
                <w:color w:val="000000"/>
                <w:szCs w:val="22"/>
                <w:lang w:val="en-AU"/>
              </w:rPr>
              <w:t>Chapter 6: Target groups for WP</w:t>
            </w:r>
          </w:p>
          <w:p w14:paraId="4726EBDC"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Starts from ‘A Fair Chance For All’ (1990) = groups + operational definitions on p.42. Discusses methods of ascertaining SES (p.43); Behrendt review (p.44)</w:t>
            </w:r>
          </w:p>
          <w:p w14:paraId="3B331F01" w14:textId="77777777" w:rsidR="009E630F" w:rsidRPr="009E630F" w:rsidRDefault="009E630F" w:rsidP="009E630F">
            <w:pPr>
              <w:rPr>
                <w:rFonts w:ascii="Gill Sans MT" w:hAnsi="Gill Sans MT"/>
                <w:color w:val="000000"/>
                <w:szCs w:val="22"/>
                <w:lang w:val="en-AU"/>
              </w:rPr>
            </w:pPr>
            <w:r w:rsidRPr="009E630F">
              <w:rPr>
                <w:rFonts w:ascii="Gill Sans MT" w:hAnsi="Gill Sans MT"/>
                <w:i/>
                <w:color w:val="000000"/>
                <w:szCs w:val="22"/>
                <w:lang w:val="en-AU"/>
              </w:rPr>
              <w:t>Chapter 7: Widening access</w:t>
            </w:r>
            <w:r w:rsidRPr="009E630F">
              <w:rPr>
                <w:rFonts w:ascii="Gill Sans MT" w:hAnsi="Gill Sans MT"/>
                <w:b/>
                <w:color w:val="000000"/>
                <w:szCs w:val="22"/>
                <w:lang w:val="en-AU"/>
              </w:rPr>
              <w:t xml:space="preserve"> – </w:t>
            </w:r>
            <w:r w:rsidRPr="009E630F">
              <w:rPr>
                <w:rFonts w:ascii="Gill Sans MT" w:hAnsi="Gill Sans MT"/>
                <w:color w:val="000000"/>
                <w:szCs w:val="22"/>
                <w:lang w:val="en-AU"/>
              </w:rPr>
              <w:t>HEPPP, Queensland consortium, outreach (p.47-8)</w:t>
            </w:r>
          </w:p>
          <w:p w14:paraId="3339392A" w14:textId="77777777" w:rsidR="009E630F" w:rsidRPr="009E630F" w:rsidRDefault="009E630F" w:rsidP="009E630F">
            <w:pPr>
              <w:rPr>
                <w:rFonts w:ascii="Gill Sans MT" w:hAnsi="Gill Sans MT"/>
                <w:color w:val="000000"/>
                <w:szCs w:val="22"/>
                <w:lang w:val="en-AU"/>
              </w:rPr>
            </w:pPr>
            <w:r w:rsidRPr="009E630F">
              <w:rPr>
                <w:rFonts w:ascii="Gill Sans MT" w:hAnsi="Gill Sans MT"/>
                <w:i/>
                <w:color w:val="000000"/>
                <w:szCs w:val="22"/>
                <w:lang w:val="en-AU"/>
              </w:rPr>
              <w:t>Chapter 8: Retention, completion, progression</w:t>
            </w:r>
            <w:r w:rsidRPr="009E630F">
              <w:rPr>
                <w:rFonts w:ascii="Gill Sans MT" w:hAnsi="Gill Sans MT"/>
                <w:color w:val="000000"/>
                <w:szCs w:val="22"/>
                <w:lang w:val="en-AU"/>
              </w:rPr>
              <w:t xml:space="preserve"> – partnerships, study support (inc. ALL), teaching and learning strategies – transition pedagogy, effective </w:t>
            </w:r>
            <w:proofErr w:type="spellStart"/>
            <w:r w:rsidRPr="009E630F">
              <w:rPr>
                <w:rFonts w:ascii="Gill Sans MT" w:hAnsi="Gill Sans MT"/>
                <w:color w:val="000000"/>
                <w:szCs w:val="22"/>
                <w:lang w:val="en-AU"/>
              </w:rPr>
              <w:t>t&amp;l</w:t>
            </w:r>
            <w:proofErr w:type="spellEnd"/>
            <w:r w:rsidRPr="009E630F">
              <w:rPr>
                <w:rFonts w:ascii="Gill Sans MT" w:hAnsi="Gill Sans MT"/>
                <w:color w:val="000000"/>
                <w:szCs w:val="22"/>
                <w:lang w:val="en-AU"/>
              </w:rPr>
              <w:t xml:space="preserve"> of low SES students, safeguarding student learning = see Kift, </w:t>
            </w:r>
            <w:r w:rsidRPr="009E630F">
              <w:rPr>
                <w:rFonts w:ascii="Gill Sans MT" w:hAnsi="Gill Sans MT"/>
                <w:color w:val="000000"/>
                <w:szCs w:val="22"/>
                <w:lang w:val="en-AU"/>
              </w:rPr>
              <w:lastRenderedPageBreak/>
              <w:t>Nelson, Devlin et al.; progression to further study/ employment on p.52</w:t>
            </w:r>
          </w:p>
          <w:p w14:paraId="3552C4E5" w14:textId="77777777" w:rsidR="009E630F" w:rsidRPr="009E630F" w:rsidRDefault="009E630F" w:rsidP="009E630F">
            <w:pPr>
              <w:rPr>
                <w:rFonts w:ascii="Gill Sans MT" w:hAnsi="Gill Sans MT"/>
                <w:color w:val="000000"/>
                <w:szCs w:val="22"/>
                <w:lang w:val="en-AU"/>
              </w:rPr>
            </w:pPr>
            <w:r w:rsidRPr="009E630F">
              <w:rPr>
                <w:rFonts w:ascii="Gill Sans MT" w:hAnsi="Gill Sans MT"/>
                <w:i/>
                <w:color w:val="000000"/>
                <w:szCs w:val="22"/>
                <w:lang w:val="en-AU"/>
              </w:rPr>
              <w:t xml:space="preserve">Chapter 9: Financial support </w:t>
            </w:r>
            <w:r w:rsidRPr="009E630F">
              <w:rPr>
                <w:rFonts w:ascii="Gill Sans MT" w:hAnsi="Gill Sans MT"/>
                <w:i/>
                <w:color w:val="000000"/>
                <w:szCs w:val="22"/>
                <w:lang w:val="en-AU"/>
              </w:rPr>
              <w:softHyphen/>
            </w:r>
            <w:r w:rsidRPr="009E630F">
              <w:rPr>
                <w:rFonts w:ascii="Gill Sans MT" w:hAnsi="Gill Sans MT"/>
                <w:color w:val="000000"/>
                <w:szCs w:val="22"/>
                <w:lang w:val="en-AU"/>
              </w:rPr>
              <w:softHyphen/>
              <w:t>- HECS, Youth Allowance, specific support for Indigenous students/ students with disabilities, scholarships.</w:t>
            </w:r>
          </w:p>
          <w:p w14:paraId="4358475A" w14:textId="77777777" w:rsidR="009E630F" w:rsidRPr="009E630F" w:rsidRDefault="009E630F" w:rsidP="009E630F">
            <w:pPr>
              <w:rPr>
                <w:rFonts w:ascii="Gill Sans MT" w:hAnsi="Gill Sans MT"/>
                <w:color w:val="000000"/>
                <w:szCs w:val="22"/>
              </w:rPr>
            </w:pPr>
            <w:r w:rsidRPr="009E630F">
              <w:rPr>
                <w:rFonts w:ascii="Gill Sans MT" w:hAnsi="Gill Sans MT"/>
                <w:i/>
                <w:color w:val="000000"/>
                <w:szCs w:val="22"/>
                <w:lang w:val="en-AU"/>
              </w:rPr>
              <w:t>Chapter 10: Critical review</w:t>
            </w:r>
            <w:r w:rsidRPr="009E630F">
              <w:rPr>
                <w:rFonts w:ascii="Gill Sans MT" w:hAnsi="Gill Sans MT"/>
                <w:color w:val="000000"/>
                <w:szCs w:val="22"/>
                <w:lang w:val="en-AU"/>
              </w:rPr>
              <w:t xml:space="preserve"> – despite equity being on the agenda for two decades, still questions “</w:t>
            </w:r>
          </w:p>
          <w:p w14:paraId="2CB63072" w14:textId="77777777" w:rsidR="009E630F" w:rsidRPr="009E630F" w:rsidRDefault="009E630F" w:rsidP="009E630F">
            <w:pPr>
              <w:rPr>
                <w:rFonts w:ascii="Gill Sans MT" w:hAnsi="Gill Sans MT"/>
                <w:b/>
                <w:color w:val="000000"/>
                <w:szCs w:val="22"/>
                <w:lang w:val="en-AU"/>
              </w:rPr>
            </w:pPr>
            <w:r w:rsidRPr="009E630F">
              <w:rPr>
                <w:rFonts w:ascii="Gill Sans MT" w:hAnsi="Gill Sans MT"/>
                <w:color w:val="000000"/>
                <w:szCs w:val="22"/>
                <w:lang w:val="en-US"/>
              </w:rPr>
              <w:t>emerging about its usefulness in pursuing social justice in HE into the future. The concerns are with both the quantitative and qualitative aspects of equity” (p.59)</w:t>
            </w:r>
            <w:r w:rsidRPr="009E630F">
              <w:rPr>
                <w:rFonts w:ascii="Gill Sans MT" w:hAnsi="Gill Sans MT"/>
                <w:b/>
                <w:color w:val="000000"/>
                <w:szCs w:val="22"/>
                <w:lang w:val="en-AU"/>
              </w:rPr>
              <w:br/>
              <w:t xml:space="preserve">Core argument: </w:t>
            </w:r>
            <w:r w:rsidRPr="009E630F">
              <w:rPr>
                <w:rFonts w:ascii="Gill Sans MT" w:hAnsi="Gill Sans MT"/>
                <w:color w:val="000000"/>
                <w:szCs w:val="22"/>
                <w:lang w:val="en-AU"/>
              </w:rPr>
              <w:t>Equity = proportional representation – debates shift from inclusion to fairness. Equity groups concentrated in particular discipline areas (nursing, education, engineering). Little focus on PG and equity.</w:t>
            </w:r>
          </w:p>
        </w:tc>
      </w:tr>
      <w:tr w:rsidR="009E630F" w:rsidRPr="009E630F" w14:paraId="5A4DEC49" w14:textId="77777777" w:rsidTr="000C6DDE">
        <w:tc>
          <w:tcPr>
            <w:tcW w:w="5529" w:type="dxa"/>
          </w:tcPr>
          <w:p w14:paraId="1E11E945" w14:textId="02E0B8EE" w:rsidR="009E630F" w:rsidRPr="009E630F" w:rsidRDefault="009E630F" w:rsidP="009E630F">
            <w:pPr>
              <w:rPr>
                <w:rFonts w:ascii="Gill Sans MT" w:hAnsi="Gill Sans MT"/>
                <w:szCs w:val="22"/>
              </w:rPr>
            </w:pPr>
            <w:r w:rsidRPr="009E630F">
              <w:rPr>
                <w:rFonts w:ascii="Gill Sans MT" w:hAnsi="Gill Sans MT"/>
                <w:szCs w:val="22"/>
              </w:rPr>
              <w:lastRenderedPageBreak/>
              <w:t xml:space="preserve">Gale, T. &amp; Tranter, D. (2011). </w:t>
            </w:r>
            <w:hyperlink r:id="rId18" w:history="1">
              <w:r w:rsidRPr="009E630F">
                <w:rPr>
                  <w:rStyle w:val="Hyperlink"/>
                  <w:rFonts w:ascii="Gill Sans MT" w:hAnsi="Gill Sans MT"/>
                  <w:szCs w:val="22"/>
                </w:rPr>
                <w:t>Social justice in Australian higher education policy: an historical and conceptual account of student participation</w:t>
              </w:r>
            </w:hyperlink>
            <w:r w:rsidRPr="009E630F">
              <w:rPr>
                <w:rFonts w:ascii="Gill Sans MT" w:hAnsi="Gill Sans MT"/>
                <w:szCs w:val="22"/>
              </w:rPr>
              <w:t xml:space="preserve">, </w:t>
            </w:r>
            <w:r w:rsidRPr="009E630F">
              <w:rPr>
                <w:rFonts w:ascii="Gill Sans MT" w:hAnsi="Gill Sans MT"/>
                <w:i/>
                <w:szCs w:val="22"/>
              </w:rPr>
              <w:t>Critical Studies in Education</w:t>
            </w:r>
            <w:r w:rsidRPr="009E630F">
              <w:rPr>
                <w:rFonts w:ascii="Gill Sans MT" w:hAnsi="Gill Sans MT"/>
                <w:szCs w:val="22"/>
              </w:rPr>
              <w:t>, 52(1)</w:t>
            </w:r>
            <w:r>
              <w:rPr>
                <w:rFonts w:ascii="Gill Sans MT" w:hAnsi="Gill Sans MT"/>
                <w:szCs w:val="22"/>
              </w:rPr>
              <w:t xml:space="preserve">, </w:t>
            </w:r>
            <w:r w:rsidRPr="009E630F">
              <w:rPr>
                <w:rFonts w:ascii="Gill Sans MT" w:hAnsi="Gill Sans MT"/>
                <w:szCs w:val="22"/>
              </w:rPr>
              <w:t>29</w:t>
            </w:r>
            <w:r>
              <w:rPr>
                <w:rFonts w:ascii="Gill Sans MT" w:hAnsi="Gill Sans MT"/>
                <w:szCs w:val="22"/>
              </w:rPr>
              <w:t>–</w:t>
            </w:r>
            <w:r w:rsidRPr="009E630F">
              <w:rPr>
                <w:rFonts w:ascii="Gill Sans MT" w:hAnsi="Gill Sans MT"/>
                <w:szCs w:val="22"/>
              </w:rPr>
              <w:t>46.</w:t>
            </w:r>
          </w:p>
          <w:p w14:paraId="302ECEA4" w14:textId="77777777" w:rsidR="009E630F" w:rsidRPr="009E630F" w:rsidRDefault="009E630F" w:rsidP="009E630F">
            <w:pPr>
              <w:rPr>
                <w:rFonts w:ascii="Gill Sans MT" w:hAnsi="Gill Sans MT"/>
                <w:szCs w:val="22"/>
              </w:rPr>
            </w:pPr>
          </w:p>
          <w:p w14:paraId="0EBA2380" w14:textId="77777777" w:rsidR="009E630F" w:rsidRPr="009E630F" w:rsidRDefault="009E630F" w:rsidP="009E630F">
            <w:pPr>
              <w:rPr>
                <w:rFonts w:ascii="Gill Sans MT" w:hAnsi="Gill Sans MT"/>
                <w:szCs w:val="22"/>
              </w:rPr>
            </w:pPr>
          </w:p>
          <w:p w14:paraId="15F0A8A3" w14:textId="77777777" w:rsidR="009E630F" w:rsidRPr="009E630F" w:rsidRDefault="009E630F" w:rsidP="009E630F">
            <w:pPr>
              <w:rPr>
                <w:rFonts w:ascii="Gill Sans MT" w:hAnsi="Gill Sans MT"/>
                <w:szCs w:val="22"/>
              </w:rPr>
            </w:pPr>
            <w:r w:rsidRPr="009E630F">
              <w:rPr>
                <w:rFonts w:ascii="Gill Sans MT" w:hAnsi="Gill Sans MT"/>
                <w:szCs w:val="22"/>
              </w:rPr>
              <w:t>AUS</w:t>
            </w:r>
          </w:p>
          <w:p w14:paraId="3B830729" w14:textId="77777777" w:rsidR="009E630F" w:rsidRPr="009E630F" w:rsidRDefault="009E630F" w:rsidP="009E630F">
            <w:pPr>
              <w:rPr>
                <w:rFonts w:ascii="Gill Sans MT" w:hAnsi="Gill Sans MT"/>
                <w:szCs w:val="22"/>
              </w:rPr>
            </w:pPr>
            <w:r w:rsidRPr="009E630F">
              <w:rPr>
                <w:rFonts w:ascii="Gill Sans MT" w:hAnsi="Gill Sans MT"/>
                <w:szCs w:val="22"/>
              </w:rPr>
              <w:t>Annotation by Sally Baker</w:t>
            </w:r>
          </w:p>
          <w:p w14:paraId="4C824576" w14:textId="77777777" w:rsidR="009E630F" w:rsidRPr="009E630F" w:rsidRDefault="009E630F" w:rsidP="009E630F">
            <w:pPr>
              <w:rPr>
                <w:rFonts w:ascii="Gill Sans MT" w:hAnsi="Gill Sans MT"/>
                <w:szCs w:val="22"/>
              </w:rPr>
            </w:pPr>
          </w:p>
          <w:p w14:paraId="66D0E614" w14:textId="521606F9" w:rsidR="009E630F" w:rsidRPr="009E630F" w:rsidRDefault="009E630F" w:rsidP="009E630F">
            <w:pPr>
              <w:rPr>
                <w:rFonts w:ascii="Gill Sans MT" w:hAnsi="Gill Sans MT"/>
                <w:i/>
                <w:szCs w:val="22"/>
              </w:rPr>
            </w:pPr>
            <w:r w:rsidRPr="009E630F">
              <w:rPr>
                <w:rFonts w:ascii="Gill Sans MT" w:hAnsi="Gill Sans MT"/>
                <w:szCs w:val="22"/>
              </w:rPr>
              <w:t xml:space="preserve">Keywords: </w:t>
            </w:r>
            <w:r w:rsidRPr="009E630F">
              <w:rPr>
                <w:rFonts w:ascii="Gill Sans MT" w:hAnsi="Gill Sans MT"/>
                <w:i/>
                <w:szCs w:val="22"/>
              </w:rPr>
              <w:t xml:space="preserve">Keywords: education policy; higher education; social inclusion; social justice; student </w:t>
            </w:r>
            <w:r w:rsidRPr="009E630F">
              <w:rPr>
                <w:rFonts w:ascii="Gill Sans MT" w:hAnsi="Gill Sans MT"/>
                <w:i/>
              </w:rPr>
              <w:t>equity; widening participation</w:t>
            </w:r>
          </w:p>
        </w:tc>
        <w:tc>
          <w:tcPr>
            <w:tcW w:w="10064" w:type="dxa"/>
          </w:tcPr>
          <w:p w14:paraId="4CDD9CEB"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Historic overview of Australian HE through the lens of equity/ social justice. Tracing how HE policy is shaped by (and shapes) social and economic drivers and policies and social justice intentions in HE.</w:t>
            </w:r>
          </w:p>
          <w:p w14:paraId="6CD9CBE5"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Theoretical frame: </w:t>
            </w:r>
            <w:r w:rsidRPr="009E630F">
              <w:rPr>
                <w:rFonts w:ascii="Gill Sans MT" w:hAnsi="Gill Sans MT"/>
                <w:color w:val="000000"/>
                <w:szCs w:val="22"/>
                <w:lang w:val="en-AU"/>
              </w:rPr>
              <w:t xml:space="preserve">Draws on Gale &amp; Densmore’s (2000) three-part characterisation of social justice: distributive, retributive, </w:t>
            </w:r>
            <w:proofErr w:type="spellStart"/>
            <w:r w:rsidRPr="009E630F">
              <w:rPr>
                <w:rFonts w:ascii="Gill Sans MT" w:hAnsi="Gill Sans MT"/>
                <w:color w:val="000000"/>
                <w:szCs w:val="22"/>
                <w:lang w:val="en-AU"/>
              </w:rPr>
              <w:t>recongitive</w:t>
            </w:r>
            <w:proofErr w:type="spellEnd"/>
            <w:r w:rsidRPr="009E630F">
              <w:rPr>
                <w:rFonts w:ascii="Gill Sans MT" w:hAnsi="Gill Sans MT"/>
                <w:color w:val="000000"/>
                <w:szCs w:val="22"/>
                <w:lang w:val="en-AU"/>
              </w:rPr>
              <w:t>.</w:t>
            </w:r>
          </w:p>
          <w:p w14:paraId="7A6FF8F0"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Discussion:  </w:t>
            </w:r>
            <w:r w:rsidRPr="009E630F">
              <w:rPr>
                <w:rFonts w:ascii="Gill Sans MT" w:hAnsi="Gill Sans MT"/>
                <w:color w:val="000000"/>
                <w:szCs w:val="22"/>
                <w:lang w:val="en-AU"/>
              </w:rPr>
              <w:t>1850 – University of Sydney opened, 1853 – University of Melbourne opened, 1874 – University of Adelaide opened, 1890 – University of Tasmania opened. Little is known about Australian HE students before WWII. In 1945, there were 7 universities with 15,600 students; in 1975 there were 17 universities and 7- AEIs with 273,000 students; in 2007 there were 39 universities and other private HEIs with 772,000 domestic students and 294,000 international students.</w:t>
            </w:r>
          </w:p>
          <w:p w14:paraId="34AE0CFE" w14:textId="77777777" w:rsidR="009E630F" w:rsidRPr="009E630F" w:rsidRDefault="009E630F" w:rsidP="009E630F">
            <w:pPr>
              <w:rPr>
                <w:rFonts w:ascii="Gill Sans MT" w:hAnsi="Gill Sans MT"/>
                <w:color w:val="000000"/>
                <w:szCs w:val="22"/>
                <w:lang w:val="en-AU"/>
              </w:rPr>
            </w:pPr>
            <w:r w:rsidRPr="009E630F">
              <w:rPr>
                <w:rFonts w:ascii="Gill Sans MT" w:hAnsi="Gill Sans MT"/>
                <w:color w:val="000000"/>
                <w:szCs w:val="22"/>
                <w:lang w:val="en-AU"/>
              </w:rPr>
              <w:t>Widening participation has reached saturation point for the middle-classes; “equity in higher education has now become as much a matter of economic necessity as a matter of social justice” (p.32)</w:t>
            </w:r>
          </w:p>
          <w:p w14:paraId="14354537"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1988-90 (Dawkins reforms</w:t>
            </w:r>
            <w:r w:rsidRPr="009E630F">
              <w:rPr>
                <w:rFonts w:ascii="Gill Sans MT" w:hAnsi="Gill Sans MT"/>
                <w:color w:val="000000"/>
                <w:szCs w:val="22"/>
                <w:lang w:val="en-AU"/>
              </w:rPr>
              <w:t xml:space="preserve">) – brought in HECs and merged universities and CAEs: “private gains of higher education became paramount in policy discourse, replacing the previous emphasis on the overall public good” (p.36). The Howard government then pushed the neoliberal agenda (cut the threshold/increased HECs) on the basis that industry and individuals profited. </w:t>
            </w:r>
          </w:p>
          <w:p w14:paraId="5AAD19C2"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In 2002-3</w:t>
            </w:r>
            <w:r w:rsidRPr="009E630F">
              <w:rPr>
                <w:rFonts w:ascii="Gill Sans MT" w:hAnsi="Gill Sans MT"/>
                <w:color w:val="000000"/>
                <w:szCs w:val="22"/>
                <w:lang w:val="en-AU"/>
              </w:rPr>
              <w:t>, Nelson commissioned a review of equity groups and performance – findings: women, NESB and people with disabilities showed improved participation; low SES, remote/rural and indigenous – little/no progress. The question was here raised as to whether men in some subject areas should be considered an equity group. Gender was removed, but universities were to continue monitoring it and the other equity groups.</w:t>
            </w:r>
          </w:p>
          <w:p w14:paraId="3DC20BF5" w14:textId="77777777" w:rsidR="009E630F" w:rsidRPr="009E630F" w:rsidRDefault="009E630F" w:rsidP="009E630F">
            <w:pPr>
              <w:rPr>
                <w:rFonts w:ascii="Gill Sans MT" w:hAnsi="Gill Sans MT"/>
                <w:b/>
                <w:color w:val="000000"/>
                <w:szCs w:val="22"/>
                <w:lang w:val="en-AU"/>
              </w:rPr>
            </w:pPr>
            <w:r w:rsidRPr="009E630F">
              <w:rPr>
                <w:rFonts w:ascii="Gill Sans MT" w:hAnsi="Gill Sans MT"/>
                <w:color w:val="000000"/>
                <w:szCs w:val="22"/>
                <w:lang w:val="en-AU"/>
              </w:rPr>
              <w:t xml:space="preserve">Rudd/Gillard government (Labor) were voted in on an ‘education revolution’ platform; they created the Ministry of Social Inclusion. The Bradley report (2008) placed emphasis on social justice/ equity – foregrounding the transformative role of HE (“must be a core responsibility of all institutions that accept </w:t>
            </w:r>
            <w:r w:rsidRPr="009E630F">
              <w:rPr>
                <w:rFonts w:ascii="Gill Sans MT" w:hAnsi="Gill Sans MT"/>
                <w:color w:val="000000"/>
                <w:szCs w:val="22"/>
                <w:lang w:val="en-AU"/>
              </w:rPr>
              <w:lastRenderedPageBreak/>
              <w:t>public money” (Gillard, 2009). Subsequent created of HEPPP provided the financial means for more collaboration between schools/VET/HE.</w:t>
            </w:r>
          </w:p>
          <w:p w14:paraId="77177770" w14:textId="58517FBB" w:rsidR="009E630F" w:rsidRPr="009E630F" w:rsidRDefault="009E630F" w:rsidP="009E630F">
            <w:pPr>
              <w:rPr>
                <w:rFonts w:ascii="Gill Sans MT" w:hAnsi="Gill Sans MT"/>
                <w:b/>
                <w:color w:val="000000"/>
                <w:szCs w:val="22"/>
                <w:lang w:val="en-AU"/>
              </w:rPr>
            </w:pPr>
            <w:r w:rsidRPr="009E630F">
              <w:rPr>
                <w:rFonts w:ascii="Gill Sans MT" w:hAnsi="Gill Sans MT"/>
                <w:b/>
                <w:color w:val="000000"/>
                <w:szCs w:val="22"/>
                <w:lang w:val="en-AU"/>
              </w:rPr>
              <w:t xml:space="preserve">Core argument: </w:t>
            </w:r>
            <w:r w:rsidRPr="009E630F">
              <w:rPr>
                <w:rFonts w:ascii="Gill Sans MT" w:hAnsi="Gill Sans MT"/>
                <w:color w:val="000000"/>
                <w:szCs w:val="22"/>
                <w:lang w:val="en-AU"/>
              </w:rPr>
              <w:t>Each attempt at expansion has been accompanied by distributive notions of social justice with periods of consolidation and retributive notions of social justice. Social policy become subsumed by economic policy. Finally, there is no equity without epistemological equity – it’s no good letting people in if academic knowledges and discourses and practices prevent engagement and participation.</w:t>
            </w:r>
          </w:p>
        </w:tc>
      </w:tr>
      <w:tr w:rsidR="009E630F" w:rsidRPr="009E630F" w14:paraId="4F0BB001" w14:textId="77777777" w:rsidTr="000C6DDE">
        <w:tc>
          <w:tcPr>
            <w:tcW w:w="5529" w:type="dxa"/>
          </w:tcPr>
          <w:p w14:paraId="2D441457" w14:textId="77777777" w:rsidR="009E630F" w:rsidRPr="00AE4A60" w:rsidRDefault="009E630F" w:rsidP="009E630F">
            <w:pPr>
              <w:widowControl w:val="0"/>
              <w:autoSpaceDE w:val="0"/>
              <w:autoSpaceDN w:val="0"/>
              <w:adjustRightInd w:val="0"/>
              <w:rPr>
                <w:rFonts w:ascii="Gill Sans" w:hAnsi="Gill Sans" w:cs="Gill Sans"/>
                <w:szCs w:val="22"/>
              </w:rPr>
            </w:pPr>
            <w:r w:rsidRPr="00AE4A60">
              <w:rPr>
                <w:rFonts w:ascii="Gill Sans" w:hAnsi="Gill Sans" w:cs="Gill Sans"/>
                <w:szCs w:val="22"/>
              </w:rPr>
              <w:lastRenderedPageBreak/>
              <w:t xml:space="preserve">Gibson, S.; Baskerville, D.; Perry, A.; Black, A.; Norris, K. &amp; </w:t>
            </w:r>
            <w:proofErr w:type="spellStart"/>
            <w:r w:rsidRPr="00AE4A60">
              <w:rPr>
                <w:rFonts w:ascii="Gill Sans" w:hAnsi="Gill Sans" w:cs="Gill Sans"/>
                <w:szCs w:val="22"/>
              </w:rPr>
              <w:t>Symeonidou</w:t>
            </w:r>
            <w:proofErr w:type="spellEnd"/>
            <w:r w:rsidRPr="00AE4A60">
              <w:rPr>
                <w:rFonts w:ascii="Gill Sans" w:hAnsi="Gill Sans" w:cs="Gill Sans"/>
                <w:szCs w:val="22"/>
              </w:rPr>
              <w:t>, S. (2016</w:t>
            </w:r>
            <w:hyperlink r:id="rId19" w:history="1">
              <w:r w:rsidRPr="006F3468">
                <w:rPr>
                  <w:rStyle w:val="Hyperlink"/>
                  <w:rFonts w:ascii="Gill Sans" w:hAnsi="Gill Sans" w:cs="Gill Sans"/>
                  <w:szCs w:val="22"/>
                </w:rPr>
                <w:t>). ‘Diversity’, ‘Widening Participation’ and ‘Inclusion’ in Higher Education: An international study</w:t>
              </w:r>
            </w:hyperlink>
            <w:r w:rsidRPr="00AE4A60">
              <w:rPr>
                <w:rFonts w:ascii="Gill Sans" w:hAnsi="Gill Sans" w:cs="Gill Sans"/>
                <w:szCs w:val="22"/>
              </w:rPr>
              <w:t xml:space="preserve">, </w:t>
            </w:r>
            <w:r w:rsidRPr="00AE4A60">
              <w:rPr>
                <w:rFonts w:ascii="Gill Sans" w:hAnsi="Gill Sans" w:cs="Gill Sans"/>
                <w:i/>
                <w:szCs w:val="22"/>
              </w:rPr>
              <w:t xml:space="preserve">Widening Participation and Lifelong Learning, </w:t>
            </w:r>
            <w:r>
              <w:rPr>
                <w:rFonts w:ascii="Gill Sans" w:hAnsi="Gill Sans" w:cs="Gill Sans"/>
                <w:szCs w:val="22"/>
              </w:rPr>
              <w:t>18(3), 7–</w:t>
            </w:r>
            <w:r w:rsidRPr="00AE4A60">
              <w:rPr>
                <w:rFonts w:ascii="Gill Sans" w:hAnsi="Gill Sans" w:cs="Gill Sans"/>
                <w:szCs w:val="22"/>
              </w:rPr>
              <w:t>33.</w:t>
            </w:r>
          </w:p>
          <w:p w14:paraId="27CD1C48" w14:textId="77777777" w:rsidR="009E630F" w:rsidRPr="00AE4A60" w:rsidRDefault="009E630F" w:rsidP="009E630F">
            <w:pPr>
              <w:widowControl w:val="0"/>
              <w:autoSpaceDE w:val="0"/>
              <w:autoSpaceDN w:val="0"/>
              <w:adjustRightInd w:val="0"/>
              <w:rPr>
                <w:rFonts w:ascii="Gill Sans" w:hAnsi="Gill Sans" w:cs="Gill Sans"/>
                <w:szCs w:val="22"/>
              </w:rPr>
            </w:pPr>
          </w:p>
          <w:p w14:paraId="02C2C55C" w14:textId="77777777" w:rsidR="009E630F" w:rsidRPr="00AE4A60" w:rsidRDefault="009E630F" w:rsidP="009E630F">
            <w:pPr>
              <w:widowControl w:val="0"/>
              <w:autoSpaceDE w:val="0"/>
              <w:autoSpaceDN w:val="0"/>
              <w:adjustRightInd w:val="0"/>
              <w:rPr>
                <w:rFonts w:ascii="Gill Sans" w:hAnsi="Gill Sans" w:cs="Gill Sans"/>
                <w:szCs w:val="22"/>
              </w:rPr>
            </w:pPr>
            <w:r w:rsidRPr="00AE4A60">
              <w:rPr>
                <w:rFonts w:ascii="Gill Sans" w:hAnsi="Gill Sans" w:cs="Gill Sans"/>
                <w:szCs w:val="22"/>
              </w:rPr>
              <w:t>INT (UK/USA/NZ/ CYP)</w:t>
            </w:r>
          </w:p>
          <w:p w14:paraId="051A0DAD" w14:textId="77777777" w:rsidR="009E630F" w:rsidRPr="009A1CE0" w:rsidRDefault="009E630F" w:rsidP="009E630F">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538B629E" w14:textId="77777777" w:rsidR="009E630F" w:rsidRPr="005B7547" w:rsidRDefault="009E630F" w:rsidP="009E630F">
            <w:pPr>
              <w:widowControl w:val="0"/>
              <w:autoSpaceDE w:val="0"/>
              <w:autoSpaceDN w:val="0"/>
              <w:adjustRightInd w:val="0"/>
              <w:rPr>
                <w:rFonts w:ascii="Gill Sans MT" w:hAnsi="Gill Sans MT"/>
                <w:szCs w:val="22"/>
              </w:rPr>
            </w:pPr>
          </w:p>
          <w:p w14:paraId="104B6935" w14:textId="25531DC9" w:rsidR="009E630F" w:rsidRPr="009E630F" w:rsidRDefault="009E630F" w:rsidP="009E630F">
            <w:pPr>
              <w:rPr>
                <w:rFonts w:ascii="Gill Sans MT" w:hAnsi="Gill Sans MT" w:cstheme="minorHAnsi"/>
                <w:szCs w:val="22"/>
              </w:rPr>
            </w:pPr>
            <w:r w:rsidRPr="005B7547">
              <w:rPr>
                <w:rFonts w:ascii="Gill Sans MT" w:hAnsi="Gill Sans MT"/>
                <w:szCs w:val="22"/>
              </w:rPr>
              <w:t xml:space="preserve">Keywords: </w:t>
            </w:r>
            <w:r w:rsidRPr="005B7547">
              <w:rPr>
                <w:rFonts w:ascii="Gill Sans MT" w:hAnsi="Gill Sans MT"/>
                <w:i/>
                <w:szCs w:val="22"/>
              </w:rPr>
              <w:t>Widening Participation, diversity, inclusion, student experience, higher education</w:t>
            </w:r>
          </w:p>
        </w:tc>
        <w:tc>
          <w:tcPr>
            <w:tcW w:w="10064" w:type="dxa"/>
          </w:tcPr>
          <w:p w14:paraId="00AA5CC6"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 xml:space="preserve">Looks at WP through international lens – seen in higher education policy across the world, although the terminology is different: WP in </w:t>
            </w:r>
            <w:proofErr w:type="spellStart"/>
            <w:r w:rsidRPr="005B7547">
              <w:rPr>
                <w:rFonts w:ascii="Gill Sans MT" w:hAnsi="Gill Sans MT"/>
                <w:color w:val="000000"/>
                <w:szCs w:val="22"/>
                <w:lang w:val="en-AU"/>
              </w:rPr>
              <w:t>Engliand</w:t>
            </w:r>
            <w:proofErr w:type="spellEnd"/>
            <w:r w:rsidRPr="005B7547">
              <w:rPr>
                <w:rFonts w:ascii="Gill Sans MT" w:hAnsi="Gill Sans MT"/>
                <w:color w:val="000000"/>
                <w:szCs w:val="22"/>
                <w:lang w:val="en-AU"/>
              </w:rPr>
              <w:t xml:space="preserve">, focus on Maori students in NZ, ‘special criteria’ in Cyprus, ‘diversity’ in the USA. Authors note Quinn’s (2013) argument that WP and massification are not the same thing; inequitable patterns of under-representation stubbornly persist [often the word ‘inequality’ is used]. Authors make the point that most WP policies </w:t>
            </w:r>
            <w:proofErr w:type="spellStart"/>
            <w:r w:rsidRPr="005B7547">
              <w:rPr>
                <w:rFonts w:ascii="Gill Sans MT" w:hAnsi="Gill Sans MT"/>
                <w:color w:val="000000"/>
                <w:szCs w:val="22"/>
                <w:lang w:val="en-AU"/>
              </w:rPr>
              <w:t>orginate</w:t>
            </w:r>
            <w:proofErr w:type="spellEnd"/>
            <w:r w:rsidRPr="005B7547">
              <w:rPr>
                <w:rFonts w:ascii="Gill Sans MT" w:hAnsi="Gill Sans MT"/>
                <w:color w:val="000000"/>
                <w:szCs w:val="22"/>
                <w:lang w:val="en-AU"/>
              </w:rPr>
              <w:t xml:space="preserve"> from committees where ‘the other’ is rarely represented: “Devoid of </w:t>
            </w:r>
            <w:r w:rsidRPr="005B7547">
              <w:rPr>
                <w:rFonts w:ascii="Gill Sans MT" w:hAnsi="Gill Sans MT"/>
                <w:color w:val="000000"/>
                <w:szCs w:val="22"/>
              </w:rPr>
              <w:t xml:space="preserve">relational connections with the groups of students they supposedly represent, their policies fail to deliver in meaningful ways beyond recreating the same problem in their ‘solutions’” (p.10-11; see Ahmed, 2012). Authors note Ahmed’s (2012) argument about the linguistic value/ misappropriation of ‘diversity’ for </w:t>
            </w:r>
            <w:proofErr w:type="spellStart"/>
            <w:r w:rsidRPr="005B7547">
              <w:rPr>
                <w:rFonts w:ascii="Gill Sans MT" w:hAnsi="Gill Sans MT"/>
                <w:color w:val="000000"/>
                <w:szCs w:val="22"/>
              </w:rPr>
              <w:t>martketese</w:t>
            </w:r>
            <w:proofErr w:type="spellEnd"/>
            <w:r w:rsidRPr="005B7547">
              <w:rPr>
                <w:rFonts w:ascii="Gill Sans MT" w:hAnsi="Gill Sans MT"/>
                <w:color w:val="000000"/>
                <w:szCs w:val="22"/>
              </w:rPr>
              <w:t xml:space="preserve"> (see also Kimura, 2014)</w:t>
            </w:r>
          </w:p>
          <w:p w14:paraId="22B5C69D"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To draw on international research to “</w:t>
            </w:r>
            <w:r w:rsidRPr="005B7547">
              <w:rPr>
                <w:rFonts w:ascii="Gill Sans MT" w:hAnsi="Gill Sans MT"/>
                <w:color w:val="000000"/>
                <w:szCs w:val="22"/>
              </w:rPr>
              <w:t>show how institutionalised cultures and non-relational practices result in further student marginalization” (p.11); specifically probes ‘normalcy’ v. ‘other’; to develop understandings of what ‘diversity’ means/ how it plays out in positioning of ‘non-traditional’ students.</w:t>
            </w:r>
          </w:p>
          <w:p w14:paraId="32912EBB"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Theoretical frame: </w:t>
            </w:r>
            <w:r w:rsidRPr="005B7547">
              <w:rPr>
                <w:rFonts w:ascii="Gill Sans MT" w:hAnsi="Gill Sans MT"/>
                <w:color w:val="000000"/>
                <w:szCs w:val="22"/>
                <w:lang w:val="en-AU"/>
              </w:rPr>
              <w:t>None explicit</w:t>
            </w:r>
          </w:p>
          <w:p w14:paraId="06BA9C08"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Multisite participatory project between 6 universities in UK, USA, CYP, NZ. Started with online questionnaire to students to ascertain ‘diversity’ (definition given p.13) of students (174/373 respondents = ‘diverse'), who were then invited to participate in 4 x focus groups (n=25 from 4/6 universities). Questions in FGs: who/ what students perceived as ‘diverse’</w:t>
            </w:r>
          </w:p>
          <w:p w14:paraId="4000A3CE"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Key themes: binary of diverse/ non-diverse; university assemblage and bureaucracy; relationships</w:t>
            </w:r>
          </w:p>
          <w:p w14:paraId="7398DD34" w14:textId="77777777" w:rsidR="009E630F" w:rsidRPr="005B7547" w:rsidRDefault="009E630F" w:rsidP="009E630F">
            <w:pPr>
              <w:rPr>
                <w:rFonts w:ascii="Gill Sans MT" w:hAnsi="Gill Sans MT"/>
                <w:color w:val="000000"/>
                <w:szCs w:val="22"/>
              </w:rPr>
            </w:pPr>
            <w:r w:rsidRPr="005B7547">
              <w:rPr>
                <w:rFonts w:ascii="Gill Sans MT" w:hAnsi="Gill Sans MT"/>
                <w:i/>
                <w:color w:val="000000"/>
                <w:szCs w:val="22"/>
                <w:lang w:val="en-AU"/>
              </w:rPr>
              <w:t>Binary of diverse/non-diverse</w:t>
            </w:r>
            <w:r w:rsidRPr="005B7547">
              <w:rPr>
                <w:rFonts w:ascii="Gill Sans MT" w:hAnsi="Gill Sans MT"/>
                <w:color w:val="000000"/>
                <w:szCs w:val="22"/>
                <w:lang w:val="en-AU"/>
              </w:rPr>
              <w:t>: noted in other literature; “</w:t>
            </w:r>
            <w:r w:rsidRPr="005B7547">
              <w:rPr>
                <w:rFonts w:ascii="Gill Sans MT" w:hAnsi="Gill Sans MT"/>
                <w:color w:val="000000"/>
                <w:szCs w:val="22"/>
              </w:rPr>
              <w:t xml:space="preserve">Cultures of difference, when not acknowledged or suppressed, add further to covert practices of institutionalised segregation and stigma” (p.16). Most participants viewed term ‘diverse’ as signifier of ‘minority status’, as political, and –for some- as a negative label. Participants viewed the use of term as creating stereotypes, and one American student questioned whether a ‘non-diverse </w:t>
            </w:r>
            <w:proofErr w:type="spellStart"/>
            <w:r w:rsidRPr="005B7547">
              <w:rPr>
                <w:rFonts w:ascii="Gill Sans MT" w:hAnsi="Gill Sans MT"/>
                <w:color w:val="000000"/>
                <w:szCs w:val="22"/>
              </w:rPr>
              <w:t>student’actually</w:t>
            </w:r>
            <w:proofErr w:type="spellEnd"/>
            <w:r w:rsidRPr="005B7547">
              <w:rPr>
                <w:rFonts w:ascii="Gill Sans MT" w:hAnsi="Gill Sans MT"/>
                <w:color w:val="000000"/>
                <w:szCs w:val="22"/>
              </w:rPr>
              <w:t xml:space="preserve"> exists (see p.17). Self-disclosure (and what of) = noted as problematic; external </w:t>
            </w:r>
            <w:proofErr w:type="spellStart"/>
            <w:r w:rsidRPr="005B7547">
              <w:rPr>
                <w:rFonts w:ascii="Gill Sans MT" w:hAnsi="Gill Sans MT"/>
                <w:color w:val="000000"/>
                <w:szCs w:val="22"/>
              </w:rPr>
              <w:t>labeling</w:t>
            </w:r>
            <w:proofErr w:type="spellEnd"/>
            <w:r w:rsidRPr="005B7547">
              <w:rPr>
                <w:rFonts w:ascii="Gill Sans MT" w:hAnsi="Gill Sans MT"/>
                <w:color w:val="000000"/>
                <w:szCs w:val="22"/>
              </w:rPr>
              <w:t xml:space="preserve"> (assignation of labels by others) = also concerning/ disempowering/ exposing. Several participants suggested that tutors aren’t able to </w:t>
            </w:r>
            <w:proofErr w:type="spellStart"/>
            <w:r w:rsidRPr="005B7547">
              <w:rPr>
                <w:rFonts w:ascii="Gill Sans MT" w:hAnsi="Gill Sans MT"/>
                <w:color w:val="000000"/>
                <w:szCs w:val="22"/>
              </w:rPr>
              <w:t>sup port</w:t>
            </w:r>
            <w:proofErr w:type="spellEnd"/>
            <w:r w:rsidRPr="005B7547">
              <w:rPr>
                <w:rFonts w:ascii="Gill Sans MT" w:hAnsi="Gill Sans MT"/>
                <w:color w:val="000000"/>
                <w:szCs w:val="22"/>
              </w:rPr>
              <w:t xml:space="preserve"> students; peer support = also important: “For some using the term ‘diversity’ to describe who they were resulted in their personally held self-definitions and </w:t>
            </w:r>
            <w:r w:rsidRPr="005B7547">
              <w:rPr>
                <w:rFonts w:ascii="Gill Sans MT" w:hAnsi="Gill Sans MT"/>
                <w:color w:val="000000"/>
                <w:szCs w:val="22"/>
              </w:rPr>
              <w:lastRenderedPageBreak/>
              <w:t>identities being forcibly simplified and their sense of ‘self’ being mis-represented, redefined by institutionally directed practice, whilst others felt academics and other staff didn’t necessarily want to engage with ‘diversity’ when considering their teaching practices” (p.20).</w:t>
            </w:r>
          </w:p>
          <w:p w14:paraId="4A6B016F" w14:textId="77777777" w:rsidR="009E630F" w:rsidRPr="005B7547" w:rsidRDefault="009E630F" w:rsidP="009E630F">
            <w:pPr>
              <w:rPr>
                <w:rFonts w:ascii="Gill Sans MT" w:hAnsi="Gill Sans MT"/>
                <w:color w:val="000000"/>
                <w:szCs w:val="22"/>
              </w:rPr>
            </w:pPr>
            <w:r w:rsidRPr="005B7547">
              <w:rPr>
                <w:rFonts w:ascii="Gill Sans MT" w:hAnsi="Gill Sans MT"/>
                <w:i/>
                <w:color w:val="000000"/>
                <w:szCs w:val="22"/>
              </w:rPr>
              <w:t>University assemblage:</w:t>
            </w:r>
            <w:r w:rsidRPr="005B7547">
              <w:rPr>
                <w:rFonts w:ascii="Gill Sans MT" w:hAnsi="Gill Sans MT"/>
                <w:color w:val="000000"/>
                <w:szCs w:val="22"/>
              </w:rPr>
              <w:t xml:space="preserve"> Concerns voiced about ineffective university bureaucracy and resulting feelings of anger and disconnect (students to institution and disconnections between services within university) = ‘disjointed forms of communication’.</w:t>
            </w:r>
          </w:p>
          <w:p w14:paraId="380FBE7E" w14:textId="0622EEBF" w:rsidR="009E630F" w:rsidRPr="009E630F" w:rsidRDefault="009E630F" w:rsidP="009E630F">
            <w:pPr>
              <w:rPr>
                <w:rFonts w:ascii="Gill Sans MT" w:hAnsi="Gill Sans MT"/>
                <w:b/>
                <w:color w:val="000000"/>
                <w:szCs w:val="22"/>
                <w:lang w:val="en-AU"/>
              </w:rPr>
            </w:pPr>
            <w:r w:rsidRPr="005B7547">
              <w:rPr>
                <w:rFonts w:ascii="Gill Sans MT" w:hAnsi="Gill Sans MT"/>
                <w:i/>
                <w:color w:val="000000"/>
                <w:szCs w:val="22"/>
              </w:rPr>
              <w:t xml:space="preserve">Relationships: </w:t>
            </w:r>
            <w:r w:rsidRPr="005B7547">
              <w:rPr>
                <w:rFonts w:ascii="Gill Sans MT" w:hAnsi="Gill Sans MT"/>
                <w:color w:val="000000"/>
                <w:szCs w:val="22"/>
              </w:rPr>
              <w:t>relationship practices lead to both exclusion and inclusion (see Table 3, p.22). Participants found that supportive relationships with tutors and staff = inclusive relationship practices; however, these can be eroded by managerial processes. Authors note connections with affective literature. Emotions = significant result of relationships: “Within the focus groups students shared where they had experienced anger and frustration, the impact of being ‘othered’ by bureaucracy and fellow students” (p.24). Raising of emotional issues = methodological limitation/ note for future research (see p.25).</w:t>
            </w:r>
            <w:r w:rsidRPr="005B7547">
              <w:rPr>
                <w:rFonts w:ascii="Gill Sans MT" w:hAnsi="Gill Sans MT"/>
                <w:b/>
                <w:color w:val="000000"/>
                <w:szCs w:val="22"/>
                <w:lang w:val="en-AU"/>
              </w:rPr>
              <w:br/>
              <w:t xml:space="preserve">Core argument: </w:t>
            </w:r>
            <w:r w:rsidRPr="005B7547">
              <w:rPr>
                <w:rFonts w:ascii="Gill Sans MT" w:hAnsi="Gill Sans MT"/>
                <w:color w:val="000000"/>
                <w:szCs w:val="22"/>
                <w:lang w:val="en-AU"/>
              </w:rPr>
              <w:t>‘Diversity’ (and its use by institutions for marketing/ support/ identifying ‘non-traditional’ and ‘at risk’ students) = needs to be carefully reconsidered so as to avoid the negative impacts (disempowerment, stereotyping, exposing, disconnecting) students. More consideration needed of affective/ emotional dimension of this kind of research and impacts of ‘diversity’/ WP agenda. More is needed: “</w:t>
            </w:r>
            <w:r w:rsidRPr="005B7547">
              <w:rPr>
                <w:rFonts w:ascii="Gill Sans MT" w:hAnsi="Gill Sans MT"/>
                <w:color w:val="000000"/>
                <w:szCs w:val="22"/>
              </w:rPr>
              <w:t>there must be a recognised space for dialogue about the university’s aims and objectives, where discussion and debate about the need for and possibilities of how to push against established cultures reinforcing insiders and outsiders, a binary of ‘what does’ and ‘what does not fit’ can take place” (p.27-8).</w:t>
            </w:r>
          </w:p>
        </w:tc>
      </w:tr>
      <w:tr w:rsidR="009E630F" w:rsidRPr="009E630F" w14:paraId="596D27DF" w14:textId="77777777" w:rsidTr="000C6DDE">
        <w:tc>
          <w:tcPr>
            <w:tcW w:w="5529" w:type="dxa"/>
          </w:tcPr>
          <w:p w14:paraId="004B248D" w14:textId="37F132E2" w:rsidR="009E630F" w:rsidRPr="009E630F" w:rsidRDefault="009E630F" w:rsidP="009E630F">
            <w:pPr>
              <w:rPr>
                <w:rFonts w:ascii="Gill Sans MT" w:hAnsi="Gill Sans MT" w:cstheme="minorHAnsi"/>
                <w:szCs w:val="22"/>
              </w:rPr>
            </w:pPr>
            <w:proofErr w:type="spellStart"/>
            <w:r w:rsidRPr="009E630F">
              <w:rPr>
                <w:rFonts w:ascii="Gill Sans MT" w:hAnsi="Gill Sans MT" w:cstheme="minorHAnsi"/>
                <w:szCs w:val="22"/>
              </w:rPr>
              <w:lastRenderedPageBreak/>
              <w:t>Kettley</w:t>
            </w:r>
            <w:proofErr w:type="spellEnd"/>
            <w:r w:rsidRPr="009E630F">
              <w:rPr>
                <w:rFonts w:ascii="Gill Sans MT" w:hAnsi="Gill Sans MT" w:cstheme="minorHAnsi"/>
                <w:szCs w:val="22"/>
              </w:rPr>
              <w:t xml:space="preserve">, N. (2007). </w:t>
            </w:r>
            <w:hyperlink r:id="rId20" w:history="1">
              <w:r w:rsidRPr="009E630F">
                <w:rPr>
                  <w:rStyle w:val="Hyperlink"/>
                  <w:rFonts w:ascii="Gill Sans MT" w:hAnsi="Gill Sans MT" w:cstheme="minorHAnsi"/>
                  <w:szCs w:val="22"/>
                </w:rPr>
                <w:t>The past, present and future of widening participation research</w:t>
              </w:r>
            </w:hyperlink>
            <w:r w:rsidRPr="009E630F">
              <w:rPr>
                <w:rFonts w:ascii="Gill Sans MT" w:hAnsi="Gill Sans MT" w:cstheme="minorHAnsi"/>
                <w:szCs w:val="22"/>
              </w:rPr>
              <w:t xml:space="preserve">, </w:t>
            </w:r>
            <w:r w:rsidRPr="009E630F">
              <w:rPr>
                <w:rFonts w:ascii="Gill Sans MT" w:hAnsi="Gill Sans MT" w:cstheme="minorHAnsi"/>
                <w:i/>
                <w:szCs w:val="22"/>
              </w:rPr>
              <w:t xml:space="preserve">British Journal of Sociology of Education, </w:t>
            </w:r>
            <w:r w:rsidRPr="009E630F">
              <w:rPr>
                <w:rFonts w:ascii="Gill Sans MT" w:hAnsi="Gill Sans MT" w:cstheme="minorHAnsi"/>
                <w:szCs w:val="22"/>
              </w:rPr>
              <w:t>28(3)</w:t>
            </w:r>
            <w:r>
              <w:rPr>
                <w:rFonts w:ascii="Gill Sans MT" w:hAnsi="Gill Sans MT" w:cstheme="minorHAnsi"/>
                <w:szCs w:val="22"/>
              </w:rPr>
              <w:t xml:space="preserve">, </w:t>
            </w:r>
            <w:r w:rsidRPr="009E630F">
              <w:rPr>
                <w:rFonts w:ascii="Gill Sans MT" w:hAnsi="Gill Sans MT" w:cstheme="minorHAnsi"/>
                <w:szCs w:val="22"/>
              </w:rPr>
              <w:t>333</w:t>
            </w:r>
            <w:r>
              <w:rPr>
                <w:rFonts w:ascii="Gill Sans MT" w:hAnsi="Gill Sans MT" w:cstheme="minorHAnsi"/>
                <w:szCs w:val="22"/>
              </w:rPr>
              <w:t>–</w:t>
            </w:r>
            <w:r w:rsidRPr="009E630F">
              <w:rPr>
                <w:rFonts w:ascii="Gill Sans MT" w:hAnsi="Gill Sans MT" w:cstheme="minorHAnsi"/>
                <w:szCs w:val="22"/>
              </w:rPr>
              <w:t>347.</w:t>
            </w:r>
          </w:p>
          <w:p w14:paraId="0B1B5C9C" w14:textId="77777777" w:rsidR="009E630F" w:rsidRPr="009E630F" w:rsidRDefault="009E630F" w:rsidP="009E630F">
            <w:pPr>
              <w:rPr>
                <w:rFonts w:ascii="Gill Sans MT" w:hAnsi="Gill Sans MT" w:cstheme="minorHAnsi"/>
                <w:szCs w:val="22"/>
              </w:rPr>
            </w:pPr>
          </w:p>
          <w:p w14:paraId="33BC9641" w14:textId="77777777" w:rsidR="009E630F" w:rsidRPr="009E630F" w:rsidRDefault="009E630F" w:rsidP="009E630F">
            <w:pPr>
              <w:rPr>
                <w:rFonts w:ascii="Gill Sans MT" w:hAnsi="Gill Sans MT" w:cstheme="minorHAnsi"/>
                <w:szCs w:val="22"/>
              </w:rPr>
            </w:pPr>
            <w:r w:rsidRPr="009E630F">
              <w:rPr>
                <w:rFonts w:ascii="Gill Sans MT" w:hAnsi="Gill Sans MT" w:cstheme="minorHAnsi"/>
                <w:szCs w:val="22"/>
              </w:rPr>
              <w:t>UK</w:t>
            </w:r>
          </w:p>
          <w:p w14:paraId="19ECEA88" w14:textId="77777777" w:rsidR="009E630F" w:rsidRPr="009E630F" w:rsidRDefault="009E630F" w:rsidP="009E630F">
            <w:pPr>
              <w:rPr>
                <w:rFonts w:ascii="Gill Sans MT" w:hAnsi="Gill Sans MT"/>
                <w:szCs w:val="22"/>
              </w:rPr>
            </w:pPr>
            <w:r w:rsidRPr="009E630F">
              <w:rPr>
                <w:rFonts w:ascii="Gill Sans MT" w:hAnsi="Gill Sans MT"/>
                <w:szCs w:val="22"/>
              </w:rPr>
              <w:t>Annotation by Sally Baker</w:t>
            </w:r>
          </w:p>
          <w:p w14:paraId="58273BD6" w14:textId="16E59328" w:rsidR="009E630F" w:rsidRPr="009E630F" w:rsidRDefault="009E630F" w:rsidP="009E630F">
            <w:pPr>
              <w:rPr>
                <w:rFonts w:ascii="Gill Sans MT" w:hAnsi="Gill Sans MT" w:cstheme="minorHAnsi"/>
                <w:szCs w:val="22"/>
              </w:rPr>
            </w:pPr>
          </w:p>
        </w:tc>
        <w:tc>
          <w:tcPr>
            <w:tcW w:w="10064" w:type="dxa"/>
          </w:tcPr>
          <w:p w14:paraId="73D65305" w14:textId="376B38F3"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 xml:space="preserve">Examines research that has examined WP over 45 years (mostly UK-focused). Argued that at time of writing, contemporary research = driven by ‘third way politics’ (new right + new Labour) = balance social + economic concerns. </w:t>
            </w:r>
          </w:p>
          <w:p w14:paraId="003BCEBF" w14:textId="62D3A7E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Aim: </w:t>
            </w:r>
            <w:r w:rsidRPr="009E630F">
              <w:rPr>
                <w:rFonts w:ascii="Gill Sans MT" w:hAnsi="Gill Sans MT"/>
                <w:color w:val="000000"/>
                <w:szCs w:val="22"/>
                <w:lang w:val="en-AU"/>
              </w:rPr>
              <w:t>To “</w:t>
            </w:r>
            <w:r w:rsidRPr="009E630F">
              <w:rPr>
                <w:rFonts w:ascii="Gill Sans MT" w:hAnsi="Gill Sans MT"/>
                <w:sz w:val="23"/>
                <w:szCs w:val="23"/>
              </w:rPr>
              <w:t>trace the origin, history and (dis)continuities of widening participation research” (p.334)</w:t>
            </w:r>
          </w:p>
          <w:p w14:paraId="11772678" w14:textId="410672CD"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Theoretical frame: </w:t>
            </w:r>
            <w:r w:rsidRPr="009E630F">
              <w:rPr>
                <w:rFonts w:ascii="Gill Sans MT" w:hAnsi="Gill Sans MT"/>
                <w:color w:val="000000"/>
                <w:szCs w:val="22"/>
                <w:lang w:val="en-AU"/>
              </w:rPr>
              <w:t>Historical literature review and analysis (not explicitly set out)</w:t>
            </w:r>
          </w:p>
          <w:p w14:paraId="230B7C19" w14:textId="75E7A813"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Methodology: </w:t>
            </w:r>
            <w:r w:rsidRPr="009E630F">
              <w:rPr>
                <w:rFonts w:ascii="Gill Sans MT" w:hAnsi="Gill Sans MT"/>
                <w:color w:val="000000"/>
                <w:szCs w:val="22"/>
                <w:lang w:val="en-AU"/>
              </w:rPr>
              <w:t>Essay</w:t>
            </w:r>
          </w:p>
          <w:p w14:paraId="2774979F" w14:textId="77777777" w:rsidR="009E630F" w:rsidRPr="009E630F" w:rsidRDefault="009E630F" w:rsidP="009E630F">
            <w:pPr>
              <w:rPr>
                <w:rFonts w:ascii="Gill Sans MT" w:hAnsi="Gill Sans MT"/>
                <w:sz w:val="23"/>
                <w:szCs w:val="23"/>
              </w:rPr>
            </w:pPr>
            <w:r w:rsidRPr="009E630F">
              <w:rPr>
                <w:rFonts w:ascii="Gill Sans MT" w:hAnsi="Gill Sans MT"/>
                <w:b/>
                <w:color w:val="000000"/>
                <w:szCs w:val="22"/>
                <w:lang w:val="en-AU"/>
              </w:rPr>
              <w:t xml:space="preserve">Findings: </w:t>
            </w:r>
            <w:r w:rsidRPr="009E630F">
              <w:rPr>
                <w:rFonts w:ascii="Gill Sans MT" w:hAnsi="Gill Sans MT"/>
                <w:color w:val="000000"/>
                <w:szCs w:val="22"/>
                <w:lang w:val="en-AU"/>
              </w:rPr>
              <w:t xml:space="preserve">Influence of critiques of HE </w:t>
            </w:r>
            <w:proofErr w:type="gramStart"/>
            <w:r w:rsidRPr="009E630F">
              <w:rPr>
                <w:rFonts w:ascii="Gill Sans MT" w:hAnsi="Gill Sans MT"/>
                <w:color w:val="000000"/>
                <w:szCs w:val="22"/>
                <w:lang w:val="en-AU"/>
              </w:rPr>
              <w:t>structure</w:t>
            </w:r>
            <w:proofErr w:type="gramEnd"/>
            <w:r w:rsidRPr="009E630F">
              <w:rPr>
                <w:rFonts w:ascii="Gill Sans MT" w:hAnsi="Gill Sans MT"/>
                <w:color w:val="000000"/>
                <w:szCs w:val="22"/>
                <w:lang w:val="en-AU"/>
              </w:rPr>
              <w:t>, political context and sociological approaches have limited the debates/ discussion of barriers to participation: “</w:t>
            </w:r>
            <w:r w:rsidRPr="009E630F">
              <w:rPr>
                <w:rFonts w:ascii="Gill Sans MT" w:hAnsi="Gill Sans MT"/>
                <w:sz w:val="23"/>
                <w:szCs w:val="23"/>
              </w:rPr>
              <w:t>Contemporary research is in danger of reinventing the wheel and replicating the errors of earlier approach” (p.334) – fails to recognise work that came before.</w:t>
            </w:r>
          </w:p>
          <w:p w14:paraId="1F8674FE" w14:textId="77777777" w:rsidR="009E630F" w:rsidRPr="009E630F" w:rsidRDefault="009E630F" w:rsidP="009E630F">
            <w:pPr>
              <w:rPr>
                <w:rFonts w:ascii="Gill Sans MT" w:hAnsi="Gill Sans MT"/>
                <w:sz w:val="23"/>
                <w:szCs w:val="23"/>
              </w:rPr>
            </w:pPr>
          </w:p>
          <w:p w14:paraId="16655B0E" w14:textId="77777777" w:rsidR="009E630F" w:rsidRPr="009E630F" w:rsidRDefault="009E630F" w:rsidP="009E630F">
            <w:pPr>
              <w:rPr>
                <w:rFonts w:ascii="Gill Sans MT" w:hAnsi="Gill Sans MT"/>
                <w:szCs w:val="22"/>
              </w:rPr>
            </w:pPr>
            <w:r w:rsidRPr="009E630F">
              <w:rPr>
                <w:rFonts w:ascii="Gill Sans MT" w:hAnsi="Gill Sans MT"/>
                <w:color w:val="000000"/>
                <w:szCs w:val="22"/>
                <w:lang w:val="en-AU"/>
              </w:rPr>
              <w:t xml:space="preserve">Offers historical overview of WP in UK HE (from 1825 onwards) and notes the enduring context of privilege and elitism due to private (‘public’) schooling; Scotland’s HE system evolved differently because of less public schools. Discusses evolution of ‘access’ as concern/discourse (first focusing on daughters of higher classes. </w:t>
            </w:r>
            <w:r w:rsidRPr="009E630F">
              <w:rPr>
                <w:rFonts w:ascii="Gill Sans MT" w:hAnsi="Gill Sans MT"/>
                <w:color w:val="000000"/>
                <w:szCs w:val="22"/>
                <w:lang w:val="en-AU"/>
              </w:rPr>
              <w:lastRenderedPageBreak/>
              <w:t xml:space="preserve">Early research into HE experience = </w:t>
            </w:r>
            <w:r w:rsidRPr="009E630F">
              <w:rPr>
                <w:rFonts w:ascii="Gill Sans MT" w:hAnsi="Gill Sans MT"/>
                <w:szCs w:val="22"/>
              </w:rPr>
              <w:t>three strands: “the desire to extend citizenship rights, the quantitative monitoring of participation rates and the qualitative exploration of student lifestyles” (p.335) = reflect scholarly divisions in sociology = limiting. Post 1945, discussion and critique = narrowed to ‘structural functionalism’ (“</w:t>
            </w:r>
            <w:r w:rsidRPr="009E630F">
              <w:rPr>
                <w:rFonts w:ascii="Gill Sans MT" w:hAnsi="Gill Sans MT"/>
                <w:sz w:val="23"/>
                <w:szCs w:val="23"/>
              </w:rPr>
              <w:t xml:space="preserve">recreate value consensus and the division of labour”) </w:t>
            </w:r>
            <w:r w:rsidRPr="009E630F">
              <w:rPr>
                <w:rFonts w:ascii="Gill Sans MT" w:hAnsi="Gill Sans MT"/>
                <w:szCs w:val="22"/>
              </w:rPr>
              <w:t>and class analysis (following Weberian traditions in sociology). In UK in 1944, secondary education = made free and compulsory to age 15 and 3 different streams depending on results of 11+ exam: grammar, secondary modern or technical schools. Research = focused on social class and schooling at this time: “Functionalists located the barriers to university participation in the value orientations of particular social classes” (p.336), whereas “Educability researchers located the barriers to HE in the structure of the family, rather than wider processes of cultural deprivation” (p.337).</w:t>
            </w:r>
          </w:p>
          <w:p w14:paraId="6FC79DE8" w14:textId="77777777" w:rsidR="009E630F" w:rsidRPr="009E630F" w:rsidRDefault="009E630F" w:rsidP="009E630F">
            <w:pPr>
              <w:rPr>
                <w:rFonts w:ascii="Gill Sans MT" w:hAnsi="Gill Sans MT"/>
                <w:szCs w:val="22"/>
              </w:rPr>
            </w:pPr>
          </w:p>
          <w:p w14:paraId="3318E93B" w14:textId="20722548" w:rsidR="009E630F" w:rsidRPr="009E630F" w:rsidRDefault="009E630F" w:rsidP="009E630F">
            <w:pPr>
              <w:rPr>
                <w:rFonts w:ascii="Gill Sans MT" w:hAnsi="Gill Sans MT"/>
                <w:szCs w:val="22"/>
              </w:rPr>
            </w:pPr>
            <w:r w:rsidRPr="009E630F">
              <w:rPr>
                <w:rFonts w:ascii="Gill Sans MT" w:hAnsi="Gill Sans MT"/>
                <w:szCs w:val="22"/>
              </w:rPr>
              <w:t>Post 1970s = rise of “phenomenological, neo-</w:t>
            </w:r>
            <w:proofErr w:type="spellStart"/>
            <w:r w:rsidRPr="009E630F">
              <w:rPr>
                <w:rFonts w:ascii="Gill Sans MT" w:hAnsi="Gill Sans MT"/>
                <w:szCs w:val="22"/>
              </w:rPr>
              <w:t>marxist</w:t>
            </w:r>
            <w:proofErr w:type="spellEnd"/>
            <w:r w:rsidRPr="009E630F">
              <w:rPr>
                <w:rFonts w:ascii="Gill Sans MT" w:hAnsi="Gill Sans MT"/>
                <w:szCs w:val="22"/>
              </w:rPr>
              <w:t>, feminist and ethno- graphic approaches to schooling” = paradigm shift in sociology of education which corresponded with policy changes (increased age of compulsory schooling/ expansion of HE. “Phenomenologists were primarily interested in the stratification of knowledge in education and society, neo-</w:t>
            </w:r>
            <w:proofErr w:type="spellStart"/>
            <w:r w:rsidRPr="009E630F">
              <w:rPr>
                <w:rFonts w:ascii="Gill Sans MT" w:hAnsi="Gill Sans MT"/>
                <w:szCs w:val="22"/>
              </w:rPr>
              <w:t>marxists</w:t>
            </w:r>
            <w:proofErr w:type="spellEnd"/>
            <w:r w:rsidRPr="009E630F">
              <w:rPr>
                <w:rFonts w:ascii="Gill Sans MT" w:hAnsi="Gill Sans MT"/>
                <w:szCs w:val="22"/>
              </w:rPr>
              <w:t xml:space="preserve"> with the relationship between schooling and capitalism, feminists with the reproduction of patriarchy and ethnographers with the exploration of student life” (p.338).</w:t>
            </w:r>
          </w:p>
          <w:p w14:paraId="01010D91" w14:textId="77777777" w:rsidR="009E630F" w:rsidRPr="009E630F" w:rsidRDefault="009E630F" w:rsidP="009E630F">
            <w:pPr>
              <w:rPr>
                <w:rFonts w:ascii="Gill Sans MT" w:hAnsi="Gill Sans MT"/>
                <w:szCs w:val="22"/>
              </w:rPr>
            </w:pPr>
          </w:p>
          <w:p w14:paraId="1199CCCD" w14:textId="4ABCCE0D" w:rsidR="009E630F" w:rsidRPr="009E630F" w:rsidRDefault="009E630F" w:rsidP="009E630F">
            <w:pPr>
              <w:rPr>
                <w:rFonts w:ascii="Gill Sans MT" w:hAnsi="Gill Sans MT"/>
                <w:color w:val="000000"/>
                <w:szCs w:val="22"/>
                <w:lang w:val="en-US"/>
              </w:rPr>
            </w:pPr>
            <w:r w:rsidRPr="009E630F">
              <w:rPr>
                <w:rFonts w:ascii="Gill Sans MT" w:hAnsi="Gill Sans MT"/>
                <w:szCs w:val="22"/>
              </w:rPr>
              <w:t>More recent research = “</w:t>
            </w:r>
            <w:r w:rsidRPr="009E630F">
              <w:rPr>
                <w:rFonts w:ascii="Gill Sans MT" w:hAnsi="Gill Sans MT"/>
                <w:sz w:val="23"/>
                <w:szCs w:val="23"/>
              </w:rPr>
              <w:t>the resurgence of official, managerial and monitoring studies of widening participation; the extension of ethnographic, feminist and postmodern research related to access and non-traditional student life; and studies that have deconstructed access discourses”(p.339)</w:t>
            </w:r>
            <w:r w:rsidRPr="009E630F">
              <w:rPr>
                <w:rFonts w:ascii="Gill Sans MT" w:hAnsi="Gill Sans MT"/>
                <w:szCs w:val="22"/>
              </w:rPr>
              <w:t>. Research trends again mirrored/reflected political shifts (declines in HE funding and enrolments in 1980s; New Labour in 1997. Findings of more modern research echo findings of previous work (e.g. higher numbers of privately educated students in most elite institutions; selective mechanisms of admission by social class): “recent access research often represents the re-emergence of old ideas in new guises“ (p.340) – but ‘new access’ studies extended knowledge by focusing on over- and under-representation in HE</w:t>
            </w:r>
            <w:r w:rsidRPr="009E630F">
              <w:rPr>
                <w:rFonts w:ascii="Gill Sans MT" w:hAnsi="Gill Sans MT"/>
                <w:b/>
                <w:color w:val="000000"/>
                <w:szCs w:val="22"/>
                <w:lang w:val="en-AU"/>
              </w:rPr>
              <w:br/>
              <w:t xml:space="preserve">Core argument: </w:t>
            </w:r>
            <w:r w:rsidRPr="009E630F">
              <w:rPr>
                <w:rFonts w:ascii="Gill Sans MT" w:hAnsi="Gill Sans MT"/>
                <w:color w:val="000000"/>
                <w:szCs w:val="22"/>
                <w:lang w:val="en-AU"/>
              </w:rPr>
              <w:t>Future research into WP needs to reconceptualise the field: “</w:t>
            </w:r>
            <w:r w:rsidRPr="009E630F">
              <w:rPr>
                <w:rFonts w:ascii="Gill Sans MT" w:hAnsi="Gill Sans MT"/>
                <w:color w:val="000000"/>
                <w:szCs w:val="22"/>
                <w:lang w:val="en-US"/>
              </w:rPr>
              <w:t>Future research must deploy an inclusive definition of the social processes shaping higher learning ranging from those that promote (bridges) to those that inhibit (barriers) differential participation in, progression through and outcomes from HE for certain individuals and social groups” (p.343) and avoid separating out cultural and material experiences. 5 criteria for future work:</w:t>
            </w:r>
          </w:p>
          <w:p w14:paraId="31B60A0D" w14:textId="0400A8AA" w:rsidR="009E630F" w:rsidRPr="009E630F" w:rsidRDefault="009E630F" w:rsidP="009E630F">
            <w:pPr>
              <w:pStyle w:val="ListParagraph"/>
              <w:numPr>
                <w:ilvl w:val="0"/>
                <w:numId w:val="14"/>
              </w:numPr>
              <w:rPr>
                <w:rFonts w:ascii="Gill Sans MT" w:hAnsi="Gill Sans MT"/>
                <w:color w:val="000000"/>
                <w:szCs w:val="22"/>
                <w:lang w:val="en-US"/>
              </w:rPr>
            </w:pPr>
            <w:r w:rsidRPr="009E630F">
              <w:rPr>
                <w:rFonts w:ascii="Gill Sans MT" w:hAnsi="Gill Sans MT"/>
                <w:color w:val="000000"/>
                <w:szCs w:val="22"/>
                <w:lang w:val="en-US"/>
              </w:rPr>
              <w:t>must establish intellectual basis</w:t>
            </w:r>
          </w:p>
          <w:p w14:paraId="4C318371" w14:textId="77777777" w:rsidR="009E630F" w:rsidRPr="009E630F" w:rsidRDefault="009E630F" w:rsidP="009E630F">
            <w:pPr>
              <w:pStyle w:val="ListParagraph"/>
              <w:numPr>
                <w:ilvl w:val="0"/>
                <w:numId w:val="14"/>
              </w:numPr>
              <w:rPr>
                <w:rFonts w:ascii="Gill Sans MT" w:hAnsi="Gill Sans MT"/>
                <w:color w:val="000000"/>
                <w:szCs w:val="22"/>
                <w:lang w:val="en-AU"/>
              </w:rPr>
            </w:pPr>
            <w:r w:rsidRPr="009E630F">
              <w:rPr>
                <w:rFonts w:ascii="Gill Sans MT" w:hAnsi="Gill Sans MT"/>
                <w:color w:val="000000"/>
                <w:szCs w:val="22"/>
                <w:lang w:val="en-AU"/>
              </w:rPr>
              <w:t xml:space="preserve">provide simultaneous accounts of patterns and causes of differentiated participation/ </w:t>
            </w:r>
            <w:r w:rsidRPr="009E630F">
              <w:rPr>
                <w:rFonts w:ascii="Gill Sans MT" w:hAnsi="Gill Sans MT"/>
                <w:color w:val="000000"/>
                <w:szCs w:val="22"/>
                <w:lang w:val="en-AU"/>
              </w:rPr>
              <w:lastRenderedPageBreak/>
              <w:t>progression/outcomes</w:t>
            </w:r>
          </w:p>
          <w:p w14:paraId="453FCA3A" w14:textId="77777777" w:rsidR="009E630F" w:rsidRPr="009E630F" w:rsidRDefault="009E630F" w:rsidP="009E630F">
            <w:pPr>
              <w:pStyle w:val="ListParagraph"/>
              <w:numPr>
                <w:ilvl w:val="0"/>
                <w:numId w:val="14"/>
              </w:numPr>
              <w:rPr>
                <w:rFonts w:ascii="Gill Sans MT" w:hAnsi="Gill Sans MT"/>
                <w:color w:val="000000"/>
                <w:szCs w:val="22"/>
                <w:lang w:val="en-AU"/>
              </w:rPr>
            </w:pPr>
            <w:r w:rsidRPr="009E630F">
              <w:rPr>
                <w:rFonts w:ascii="Gill Sans MT" w:hAnsi="Gill Sans MT"/>
                <w:color w:val="000000"/>
                <w:szCs w:val="22"/>
                <w:lang w:val="en-AU"/>
              </w:rPr>
              <w:t>provide holistic accounts of students’ characteristics</w:t>
            </w:r>
          </w:p>
          <w:p w14:paraId="7D93BD85" w14:textId="77777777" w:rsidR="009E630F" w:rsidRPr="009E630F" w:rsidRDefault="009E630F" w:rsidP="009E630F">
            <w:pPr>
              <w:pStyle w:val="ListParagraph"/>
              <w:numPr>
                <w:ilvl w:val="0"/>
                <w:numId w:val="14"/>
              </w:numPr>
              <w:rPr>
                <w:rFonts w:ascii="Gill Sans MT" w:hAnsi="Gill Sans MT"/>
                <w:color w:val="000000"/>
                <w:szCs w:val="22"/>
                <w:lang w:val="en-AU"/>
              </w:rPr>
            </w:pPr>
            <w:r w:rsidRPr="009E630F">
              <w:rPr>
                <w:rFonts w:ascii="Gill Sans MT" w:hAnsi="Gill Sans MT"/>
                <w:color w:val="000000"/>
                <w:szCs w:val="22"/>
                <w:lang w:val="en-AU"/>
              </w:rPr>
              <w:t>more longitudinal research (to investigate impact of early education/ childhood)</w:t>
            </w:r>
          </w:p>
          <w:p w14:paraId="742F661C" w14:textId="4E2981C3" w:rsidR="009E630F" w:rsidRPr="009E630F" w:rsidRDefault="009E630F" w:rsidP="009E630F">
            <w:pPr>
              <w:pStyle w:val="ListParagraph"/>
              <w:numPr>
                <w:ilvl w:val="0"/>
                <w:numId w:val="14"/>
              </w:numPr>
              <w:rPr>
                <w:rFonts w:ascii="Gill Sans MT" w:hAnsi="Gill Sans MT"/>
                <w:color w:val="000000"/>
                <w:szCs w:val="22"/>
                <w:lang w:val="en-AU"/>
              </w:rPr>
            </w:pPr>
            <w:r w:rsidRPr="009E630F">
              <w:rPr>
                <w:rFonts w:ascii="Gill Sans MT" w:hAnsi="Gill Sans MT"/>
                <w:color w:val="000000"/>
                <w:szCs w:val="22"/>
                <w:lang w:val="en-AU"/>
              </w:rPr>
              <w:t>explore both reproduction and transformative of bridges and barriers to HE (not distinct entities) = p.344</w:t>
            </w:r>
          </w:p>
        </w:tc>
      </w:tr>
      <w:tr w:rsidR="009E630F" w:rsidRPr="009E630F" w14:paraId="77B931B2" w14:textId="77777777" w:rsidTr="000C6DDE">
        <w:tc>
          <w:tcPr>
            <w:tcW w:w="5529" w:type="dxa"/>
          </w:tcPr>
          <w:p w14:paraId="268DD518" w14:textId="614D215D" w:rsidR="009E630F" w:rsidRPr="009E630F" w:rsidRDefault="009E630F" w:rsidP="009E630F">
            <w:pPr>
              <w:rPr>
                <w:rFonts w:ascii="Gill Sans MT" w:hAnsi="Gill Sans MT" w:cstheme="minorHAnsi"/>
                <w:szCs w:val="22"/>
              </w:rPr>
            </w:pPr>
            <w:r w:rsidRPr="009E630F">
              <w:rPr>
                <w:rFonts w:ascii="Gill Sans MT" w:hAnsi="Gill Sans MT" w:cstheme="minorHAnsi"/>
                <w:szCs w:val="22"/>
              </w:rPr>
              <w:lastRenderedPageBreak/>
              <w:t xml:space="preserve">Lamb, S.; Jackson, J.; </w:t>
            </w:r>
            <w:proofErr w:type="spellStart"/>
            <w:r w:rsidRPr="009E630F">
              <w:rPr>
                <w:rFonts w:ascii="Gill Sans MT" w:hAnsi="Gill Sans MT" w:cstheme="minorHAnsi"/>
                <w:szCs w:val="22"/>
              </w:rPr>
              <w:t>Walstab</w:t>
            </w:r>
            <w:proofErr w:type="spellEnd"/>
            <w:r w:rsidRPr="009E630F">
              <w:rPr>
                <w:rFonts w:ascii="Gill Sans MT" w:hAnsi="Gill Sans MT" w:cstheme="minorHAnsi"/>
                <w:szCs w:val="22"/>
              </w:rPr>
              <w:t xml:space="preserve">, A.; &amp; </w:t>
            </w:r>
            <w:proofErr w:type="spellStart"/>
            <w:r w:rsidRPr="009E630F">
              <w:rPr>
                <w:rFonts w:ascii="Gill Sans MT" w:hAnsi="Gill Sans MT" w:cstheme="minorHAnsi"/>
                <w:szCs w:val="22"/>
              </w:rPr>
              <w:t>Huo</w:t>
            </w:r>
            <w:proofErr w:type="spellEnd"/>
            <w:r w:rsidRPr="009E630F">
              <w:rPr>
                <w:rFonts w:ascii="Gill Sans MT" w:hAnsi="Gill Sans MT" w:cstheme="minorHAnsi"/>
                <w:szCs w:val="22"/>
              </w:rPr>
              <w:t xml:space="preserve">, S. (2015). </w:t>
            </w:r>
            <w:hyperlink r:id="rId21" w:history="1">
              <w:r w:rsidRPr="00CA6562">
                <w:rPr>
                  <w:rStyle w:val="Hyperlink"/>
                  <w:rFonts w:ascii="Gill Sans MT" w:hAnsi="Gill Sans MT" w:cstheme="minorHAnsi"/>
                  <w:i/>
                  <w:iCs/>
                  <w:szCs w:val="22"/>
                </w:rPr>
                <w:t>Educational opportunity in Australia 2015: Who succeeds and who misses out</w:t>
              </w:r>
              <w:r w:rsidRPr="00CA6562">
                <w:rPr>
                  <w:rStyle w:val="Hyperlink"/>
                  <w:rFonts w:ascii="Gill Sans MT" w:hAnsi="Gill Sans MT" w:cstheme="minorHAnsi"/>
                  <w:szCs w:val="22"/>
                </w:rPr>
                <w:t>,</w:t>
              </w:r>
            </w:hyperlink>
            <w:r w:rsidRPr="009E630F">
              <w:rPr>
                <w:rFonts w:ascii="Gill Sans MT" w:hAnsi="Gill Sans MT" w:cstheme="minorHAnsi"/>
                <w:szCs w:val="22"/>
              </w:rPr>
              <w:t xml:space="preserve"> Centre for International Research on Education Systems, Victoria University, for the Mitchell Institute, Melbourne: Mitchell Institute.</w:t>
            </w:r>
          </w:p>
          <w:p w14:paraId="2A34B24B" w14:textId="77777777" w:rsidR="009E630F" w:rsidRPr="009E630F" w:rsidRDefault="009E630F" w:rsidP="009E630F">
            <w:pPr>
              <w:rPr>
                <w:rFonts w:ascii="Gill Sans MT" w:hAnsi="Gill Sans MT" w:cstheme="minorHAnsi"/>
                <w:szCs w:val="22"/>
              </w:rPr>
            </w:pPr>
          </w:p>
          <w:p w14:paraId="497DB309" w14:textId="77777777" w:rsidR="009E630F" w:rsidRPr="009E630F" w:rsidRDefault="009E630F" w:rsidP="009E630F">
            <w:pPr>
              <w:rPr>
                <w:rFonts w:ascii="Gill Sans MT" w:hAnsi="Gill Sans MT" w:cstheme="minorHAnsi"/>
                <w:szCs w:val="22"/>
              </w:rPr>
            </w:pPr>
            <w:r w:rsidRPr="009E630F">
              <w:rPr>
                <w:rFonts w:ascii="Gill Sans MT" w:hAnsi="Gill Sans MT" w:cstheme="minorHAnsi"/>
                <w:szCs w:val="22"/>
              </w:rPr>
              <w:t>AUS</w:t>
            </w:r>
          </w:p>
          <w:p w14:paraId="0BBBBD26" w14:textId="77777777" w:rsidR="009E630F" w:rsidRPr="009E630F" w:rsidRDefault="009E630F" w:rsidP="009E630F">
            <w:pPr>
              <w:rPr>
                <w:rFonts w:ascii="Gill Sans MT" w:hAnsi="Gill Sans MT"/>
                <w:szCs w:val="22"/>
              </w:rPr>
            </w:pPr>
            <w:r w:rsidRPr="009E630F">
              <w:rPr>
                <w:rFonts w:ascii="Gill Sans MT" w:hAnsi="Gill Sans MT"/>
                <w:szCs w:val="22"/>
              </w:rPr>
              <w:t>Annotation by Sally Baker</w:t>
            </w:r>
          </w:p>
          <w:p w14:paraId="7F1C5B58" w14:textId="42A8A00B" w:rsidR="009E630F" w:rsidRPr="009E630F" w:rsidRDefault="009E630F" w:rsidP="009E630F">
            <w:pPr>
              <w:rPr>
                <w:rFonts w:ascii="Gill Sans MT" w:hAnsi="Gill Sans MT"/>
                <w:szCs w:val="22"/>
              </w:rPr>
            </w:pPr>
          </w:p>
        </w:tc>
        <w:tc>
          <w:tcPr>
            <w:tcW w:w="10064" w:type="dxa"/>
          </w:tcPr>
          <w:p w14:paraId="5A1093B2"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Examines notion of Australia as a fair and egalitarian society through education system in modern times.</w:t>
            </w:r>
          </w:p>
          <w:p w14:paraId="48FEFB5D"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Aim: </w:t>
            </w:r>
            <w:r w:rsidRPr="009E630F">
              <w:rPr>
                <w:rFonts w:ascii="Gill Sans MT" w:hAnsi="Gill Sans MT"/>
                <w:color w:val="000000"/>
                <w:szCs w:val="22"/>
                <w:lang w:val="en-AU"/>
              </w:rPr>
              <w:t xml:space="preserve">To </w:t>
            </w:r>
            <w:r w:rsidRPr="009E630F">
              <w:rPr>
                <w:rFonts w:ascii="Gill Sans MT" w:hAnsi="Gill Sans MT"/>
                <w:color w:val="000000"/>
                <w:szCs w:val="22"/>
                <w:lang w:val="en-US"/>
              </w:rPr>
              <w:t xml:space="preserve">draw together information on the opportunities being provided to young Australians as they negotiate the various stages of education and training (Executive Summary, </w:t>
            </w:r>
            <w:proofErr w:type="spellStart"/>
            <w:r w:rsidRPr="009E630F">
              <w:rPr>
                <w:rFonts w:ascii="Gill Sans MT" w:hAnsi="Gill Sans MT"/>
                <w:color w:val="000000"/>
                <w:szCs w:val="22"/>
                <w:lang w:val="en-US"/>
              </w:rPr>
              <w:t>p.iii</w:t>
            </w:r>
            <w:proofErr w:type="spellEnd"/>
            <w:r w:rsidRPr="009E630F">
              <w:rPr>
                <w:rFonts w:ascii="Gill Sans MT" w:hAnsi="Gill Sans MT"/>
                <w:color w:val="000000"/>
                <w:szCs w:val="22"/>
                <w:lang w:val="en-US"/>
              </w:rPr>
              <w:t>). Education conceived as four milestones: early years (children who as ‘developmentally ready’ at start of school), middle years (Year 7 children), senior school years (completers of HSC/ Year 12), early adulthood (24 year olds in education, training or work) = measured across five domains: physical health and wellbeing, social competence, emotional maturity, language and cognitive skills, and communication skills.</w:t>
            </w:r>
          </w:p>
          <w:p w14:paraId="4476C9EF" w14:textId="2ECF5ED9"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Methodology: </w:t>
            </w:r>
            <w:r w:rsidRPr="009E630F">
              <w:rPr>
                <w:rFonts w:ascii="Gill Sans MT" w:hAnsi="Gill Sans MT"/>
                <w:color w:val="000000"/>
                <w:szCs w:val="22"/>
                <w:lang w:val="en-AU"/>
              </w:rPr>
              <w:t>Statistical/ quantitative analysis</w:t>
            </w:r>
          </w:p>
          <w:p w14:paraId="1C2D9CC9" w14:textId="77777777" w:rsidR="009E630F" w:rsidRPr="009E630F" w:rsidRDefault="009E630F" w:rsidP="009E630F">
            <w:pPr>
              <w:rPr>
                <w:rFonts w:ascii="Gill Sans MT" w:hAnsi="Gill Sans MT"/>
                <w:b/>
                <w:color w:val="000000"/>
                <w:szCs w:val="22"/>
                <w:lang w:val="en-AU"/>
              </w:rPr>
            </w:pPr>
            <w:r w:rsidRPr="009E630F">
              <w:rPr>
                <w:rFonts w:ascii="Gill Sans MT" w:hAnsi="Gill Sans MT"/>
                <w:b/>
                <w:color w:val="000000"/>
                <w:szCs w:val="22"/>
                <w:lang w:val="en-AU"/>
              </w:rPr>
              <w:t xml:space="preserve">Findings: </w:t>
            </w:r>
          </w:p>
          <w:p w14:paraId="1CE47F06" w14:textId="77777777" w:rsidR="009E630F" w:rsidRPr="009E630F" w:rsidRDefault="009E630F" w:rsidP="009E630F">
            <w:pPr>
              <w:pStyle w:val="ListParagraph"/>
              <w:numPr>
                <w:ilvl w:val="0"/>
                <w:numId w:val="6"/>
              </w:numPr>
              <w:rPr>
                <w:rFonts w:ascii="Gill Sans MT" w:hAnsi="Gill Sans MT"/>
                <w:color w:val="000000"/>
                <w:szCs w:val="22"/>
                <w:lang w:val="en-US"/>
              </w:rPr>
            </w:pPr>
            <w:r w:rsidRPr="009E630F">
              <w:rPr>
                <w:rFonts w:ascii="Gill Sans MT" w:hAnsi="Gill Sans MT"/>
                <w:color w:val="000000"/>
                <w:szCs w:val="22"/>
                <w:lang w:val="en-US"/>
              </w:rPr>
              <w:t>On average, 78% of students ‘succeed at milestones’ and a quarter do not.</w:t>
            </w:r>
          </w:p>
          <w:p w14:paraId="04E9BEE8" w14:textId="77777777" w:rsidR="009E630F" w:rsidRPr="009E630F" w:rsidRDefault="009E630F" w:rsidP="009E630F">
            <w:pPr>
              <w:pStyle w:val="ListParagraph"/>
              <w:numPr>
                <w:ilvl w:val="0"/>
                <w:numId w:val="6"/>
              </w:numPr>
              <w:rPr>
                <w:rFonts w:ascii="Gill Sans MT" w:hAnsi="Gill Sans MT"/>
                <w:color w:val="000000"/>
                <w:szCs w:val="22"/>
                <w:lang w:val="en-US"/>
              </w:rPr>
            </w:pPr>
            <w:r w:rsidRPr="009E630F">
              <w:rPr>
                <w:rFonts w:ascii="Gill Sans MT" w:hAnsi="Gill Sans MT"/>
                <w:color w:val="000000"/>
                <w:szCs w:val="22"/>
                <w:lang w:val="en-US"/>
              </w:rPr>
              <w:t>Boys are more likely than girls to miss milestones (by 1.82 times) – this is largely due to social and emotional dimensions of readiness</w:t>
            </w:r>
          </w:p>
          <w:p w14:paraId="164D86D4" w14:textId="77777777" w:rsidR="009E630F" w:rsidRPr="009E630F" w:rsidRDefault="009E630F" w:rsidP="009E630F">
            <w:pPr>
              <w:pStyle w:val="ListParagraph"/>
              <w:numPr>
                <w:ilvl w:val="0"/>
                <w:numId w:val="6"/>
              </w:numPr>
              <w:rPr>
                <w:rFonts w:ascii="Gill Sans MT" w:hAnsi="Gill Sans MT"/>
                <w:color w:val="000000"/>
                <w:szCs w:val="22"/>
                <w:lang w:val="en-US"/>
              </w:rPr>
            </w:pPr>
            <w:r w:rsidRPr="009E630F">
              <w:rPr>
                <w:rFonts w:ascii="Gill Sans MT" w:hAnsi="Gill Sans MT"/>
                <w:color w:val="000000"/>
                <w:szCs w:val="22"/>
                <w:lang w:val="en-US"/>
              </w:rPr>
              <w:t>Indigenous students are 2.07 times more likely to miss out on milestones</w:t>
            </w:r>
          </w:p>
          <w:p w14:paraId="373A1D80" w14:textId="77777777" w:rsidR="009E630F" w:rsidRPr="009E630F" w:rsidRDefault="009E630F" w:rsidP="009E630F">
            <w:pPr>
              <w:pStyle w:val="ListParagraph"/>
              <w:numPr>
                <w:ilvl w:val="0"/>
                <w:numId w:val="6"/>
              </w:numPr>
              <w:rPr>
                <w:rFonts w:ascii="Gill Sans MT" w:hAnsi="Gill Sans MT"/>
                <w:color w:val="000000"/>
                <w:szCs w:val="22"/>
                <w:lang w:val="en-US"/>
              </w:rPr>
            </w:pPr>
            <w:r w:rsidRPr="009E630F">
              <w:rPr>
                <w:rFonts w:ascii="Gill Sans MT" w:hAnsi="Gill Sans MT"/>
                <w:color w:val="000000"/>
                <w:szCs w:val="22"/>
                <w:lang w:val="en-US"/>
              </w:rPr>
              <w:t>Low SES students = 2.08 times more likely to miss out on milestones (mostly in terms of school readiness) = strongest effect</w:t>
            </w:r>
          </w:p>
          <w:p w14:paraId="4B8A90F7"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AU"/>
              </w:rPr>
              <w:t>At each milestone, children are succeeding but some are missing out: “</w:t>
            </w:r>
            <w:r w:rsidRPr="009E630F">
              <w:rPr>
                <w:rFonts w:ascii="Gill Sans MT" w:hAnsi="Gill Sans MT"/>
                <w:color w:val="000000"/>
                <w:szCs w:val="22"/>
                <w:lang w:val="en-US"/>
              </w:rPr>
              <w:t xml:space="preserve">insufficiently prepared to take on the challenges of the following stages of their lives” (Executive Summary, </w:t>
            </w:r>
            <w:proofErr w:type="spellStart"/>
            <w:r w:rsidRPr="009E630F">
              <w:rPr>
                <w:rFonts w:ascii="Gill Sans MT" w:hAnsi="Gill Sans MT"/>
                <w:color w:val="000000"/>
                <w:szCs w:val="22"/>
                <w:lang w:val="en-US"/>
              </w:rPr>
              <w:t>p.iii</w:t>
            </w:r>
            <w:proofErr w:type="spellEnd"/>
            <w:r w:rsidRPr="009E630F">
              <w:rPr>
                <w:rFonts w:ascii="Gill Sans MT" w:hAnsi="Gill Sans MT"/>
                <w:color w:val="000000"/>
                <w:szCs w:val="22"/>
                <w:lang w:val="en-US"/>
              </w:rPr>
              <w:t>). Data suggests that 6 out of 10 children start with academic and social skills needed at all four milestones. Approximately 10% are not developmentally ready and remain behind in all milestones = these people are “not gaining the preparation needed to take up later opportunities in life” (</w:t>
            </w:r>
            <w:proofErr w:type="spellStart"/>
            <w:r w:rsidRPr="009E630F">
              <w:rPr>
                <w:rFonts w:ascii="Gill Sans MT" w:hAnsi="Gill Sans MT"/>
                <w:color w:val="000000"/>
                <w:szCs w:val="22"/>
                <w:lang w:val="en-US"/>
              </w:rPr>
              <w:t>p.iii</w:t>
            </w:r>
            <w:proofErr w:type="spellEnd"/>
            <w:r w:rsidRPr="009E630F">
              <w:rPr>
                <w:rFonts w:ascii="Gill Sans MT" w:hAnsi="Gill Sans MT"/>
                <w:color w:val="000000"/>
                <w:szCs w:val="22"/>
                <w:lang w:val="en-US"/>
              </w:rPr>
              <w:t>). 1/6 students fall behind somewhere after Year 7 and fail to complete Year 12, and a similar proportion are not fully engaged in work or education at 24. Disadvantage = significant: “Success at each stage varies by Indigenous status, language background, region and gender, and markedly by the socio-economic status (SES) of students” (</w:t>
            </w:r>
            <w:proofErr w:type="spellStart"/>
            <w:r w:rsidRPr="009E630F">
              <w:rPr>
                <w:rFonts w:ascii="Gill Sans MT" w:hAnsi="Gill Sans MT"/>
                <w:color w:val="000000"/>
                <w:szCs w:val="22"/>
                <w:lang w:val="en-US"/>
              </w:rPr>
              <w:t>p.iv</w:t>
            </w:r>
            <w:proofErr w:type="spellEnd"/>
            <w:r w:rsidRPr="009E630F">
              <w:rPr>
                <w:rFonts w:ascii="Gill Sans MT" w:hAnsi="Gill Sans MT"/>
                <w:color w:val="000000"/>
                <w:szCs w:val="22"/>
                <w:lang w:val="en-US"/>
              </w:rPr>
              <w:t>). However, students can recover ground (but this is easier for high SES students).</w:t>
            </w:r>
          </w:p>
          <w:p w14:paraId="1DE828ED" w14:textId="77777777" w:rsidR="009E630F" w:rsidRPr="009E630F" w:rsidRDefault="009E630F" w:rsidP="009E630F">
            <w:pPr>
              <w:rPr>
                <w:rFonts w:ascii="Gill Sans MT" w:hAnsi="Gill Sans MT"/>
                <w:i/>
                <w:color w:val="000000"/>
                <w:szCs w:val="22"/>
                <w:lang w:val="en-US"/>
              </w:rPr>
            </w:pPr>
            <w:r w:rsidRPr="009E630F">
              <w:rPr>
                <w:rFonts w:ascii="Gill Sans MT" w:hAnsi="Gill Sans MT"/>
                <w:i/>
                <w:color w:val="000000"/>
                <w:szCs w:val="22"/>
                <w:lang w:val="en-US"/>
              </w:rPr>
              <w:t>Early years</w:t>
            </w:r>
          </w:p>
          <w:p w14:paraId="6E76D3BA" w14:textId="77777777" w:rsidR="009E630F" w:rsidRPr="009E630F" w:rsidRDefault="009E630F" w:rsidP="009E630F">
            <w:pPr>
              <w:pStyle w:val="ListParagraph"/>
              <w:numPr>
                <w:ilvl w:val="0"/>
                <w:numId w:val="11"/>
              </w:numPr>
              <w:rPr>
                <w:rFonts w:ascii="Gill Sans MT" w:hAnsi="Gill Sans MT"/>
                <w:color w:val="000000"/>
                <w:szCs w:val="22"/>
                <w:lang w:val="en-US"/>
              </w:rPr>
            </w:pPr>
            <w:r w:rsidRPr="009E630F">
              <w:rPr>
                <w:rFonts w:ascii="Gill Sans MT" w:hAnsi="Gill Sans MT"/>
                <w:color w:val="000000"/>
                <w:szCs w:val="22"/>
                <w:lang w:val="en-US"/>
              </w:rPr>
              <w:t>Learners = more likely to meet milestones the earlier they engage with education system</w:t>
            </w:r>
          </w:p>
          <w:p w14:paraId="5FA57949" w14:textId="77777777" w:rsidR="009E630F" w:rsidRPr="009E630F" w:rsidRDefault="009E630F" w:rsidP="009E630F">
            <w:pPr>
              <w:pStyle w:val="ListParagraph"/>
              <w:numPr>
                <w:ilvl w:val="0"/>
                <w:numId w:val="11"/>
              </w:numPr>
              <w:rPr>
                <w:rFonts w:ascii="Gill Sans MT" w:hAnsi="Gill Sans MT"/>
                <w:color w:val="000000"/>
                <w:szCs w:val="22"/>
                <w:lang w:val="en-US"/>
              </w:rPr>
            </w:pPr>
            <w:r w:rsidRPr="009E630F">
              <w:rPr>
                <w:rFonts w:ascii="Gill Sans MT" w:hAnsi="Gill Sans MT"/>
                <w:color w:val="000000"/>
                <w:szCs w:val="22"/>
                <w:lang w:val="en-US"/>
              </w:rPr>
              <w:lastRenderedPageBreak/>
              <w:t>Communities with higher levels of children who do not meet milestones tend to have lower quality early childhood education and then schools with ‘low standards of performance’</w:t>
            </w:r>
          </w:p>
          <w:p w14:paraId="6A2AC2F4" w14:textId="77777777" w:rsidR="009E630F" w:rsidRPr="009E630F" w:rsidRDefault="009E630F" w:rsidP="009E630F">
            <w:pPr>
              <w:rPr>
                <w:rFonts w:ascii="Gill Sans MT" w:hAnsi="Gill Sans MT"/>
                <w:i/>
                <w:color w:val="000000"/>
                <w:szCs w:val="22"/>
                <w:lang w:val="en-US"/>
              </w:rPr>
            </w:pPr>
            <w:r w:rsidRPr="009E630F">
              <w:rPr>
                <w:rFonts w:ascii="Gill Sans MT" w:hAnsi="Gill Sans MT"/>
                <w:i/>
                <w:color w:val="000000"/>
                <w:szCs w:val="22"/>
                <w:lang w:val="en-US"/>
              </w:rPr>
              <w:t>Middle years</w:t>
            </w:r>
          </w:p>
          <w:p w14:paraId="0585F7E4" w14:textId="77777777" w:rsidR="009E630F" w:rsidRPr="009E630F" w:rsidRDefault="009E630F" w:rsidP="009E630F">
            <w:pPr>
              <w:pStyle w:val="ListParagraph"/>
              <w:numPr>
                <w:ilvl w:val="0"/>
                <w:numId w:val="10"/>
              </w:numPr>
              <w:rPr>
                <w:rFonts w:ascii="Gill Sans MT" w:hAnsi="Gill Sans MT"/>
                <w:color w:val="000000"/>
                <w:szCs w:val="22"/>
                <w:lang w:val="en-US"/>
              </w:rPr>
            </w:pPr>
            <w:r w:rsidRPr="009E630F">
              <w:rPr>
                <w:rFonts w:ascii="Gill Sans MT" w:hAnsi="Gill Sans MT"/>
                <w:color w:val="000000"/>
                <w:szCs w:val="22"/>
                <w:lang w:val="en-US"/>
              </w:rPr>
              <w:t>According to NAPLAN data, 28.4% of learners have not developed ‘core skills’</w:t>
            </w:r>
          </w:p>
          <w:p w14:paraId="7F8392DB" w14:textId="77777777" w:rsidR="009E630F" w:rsidRPr="009E630F" w:rsidRDefault="009E630F" w:rsidP="009E630F">
            <w:pPr>
              <w:pStyle w:val="ListParagraph"/>
              <w:numPr>
                <w:ilvl w:val="0"/>
                <w:numId w:val="10"/>
              </w:numPr>
              <w:rPr>
                <w:rFonts w:ascii="Gill Sans MT" w:hAnsi="Gill Sans MT"/>
                <w:color w:val="000000"/>
                <w:szCs w:val="22"/>
                <w:lang w:val="en-US"/>
              </w:rPr>
            </w:pPr>
            <w:r w:rsidRPr="009E630F">
              <w:rPr>
                <w:rFonts w:ascii="Gill Sans MT" w:hAnsi="Gill Sans MT"/>
                <w:color w:val="000000"/>
                <w:szCs w:val="22"/>
                <w:lang w:val="en-US"/>
              </w:rPr>
              <w:t>Boys are more likely to be below benchmark with reading but more likely than girls to meet numeracy benchmark</w:t>
            </w:r>
          </w:p>
          <w:p w14:paraId="75A5E220" w14:textId="77777777" w:rsidR="009E630F" w:rsidRPr="009E630F" w:rsidRDefault="009E630F" w:rsidP="009E630F">
            <w:pPr>
              <w:pStyle w:val="ListParagraph"/>
              <w:numPr>
                <w:ilvl w:val="0"/>
                <w:numId w:val="10"/>
              </w:numPr>
              <w:rPr>
                <w:rFonts w:ascii="Gill Sans MT" w:hAnsi="Gill Sans MT"/>
                <w:color w:val="000000"/>
                <w:szCs w:val="22"/>
                <w:lang w:val="en-US"/>
              </w:rPr>
            </w:pPr>
            <w:r w:rsidRPr="009E630F">
              <w:rPr>
                <w:rFonts w:ascii="Gill Sans MT" w:hAnsi="Gill Sans MT"/>
                <w:color w:val="000000"/>
                <w:szCs w:val="22"/>
                <w:lang w:val="en-US"/>
              </w:rPr>
              <w:t>By Year 7, Indigenous learners = 2.32 times less likely to meet milestone</w:t>
            </w:r>
          </w:p>
          <w:p w14:paraId="77E0EE84" w14:textId="77777777" w:rsidR="009E630F" w:rsidRPr="009E630F" w:rsidRDefault="009E630F" w:rsidP="009E630F">
            <w:pPr>
              <w:pStyle w:val="ListParagraph"/>
              <w:numPr>
                <w:ilvl w:val="0"/>
                <w:numId w:val="10"/>
              </w:numPr>
              <w:rPr>
                <w:rFonts w:ascii="Gill Sans MT" w:hAnsi="Gill Sans MT"/>
                <w:color w:val="000000"/>
                <w:szCs w:val="22"/>
                <w:lang w:val="en-US"/>
              </w:rPr>
            </w:pPr>
            <w:r w:rsidRPr="009E630F">
              <w:rPr>
                <w:rFonts w:ascii="Gill Sans MT" w:hAnsi="Gill Sans MT"/>
                <w:color w:val="000000"/>
                <w:szCs w:val="22"/>
                <w:lang w:val="en-US"/>
              </w:rPr>
              <w:t>Children whose parents did not complete Year 12 = 3.72 times more likely to miss out. Plus low SES students = more likely to go into government school</w:t>
            </w:r>
          </w:p>
          <w:p w14:paraId="0B2B38C4" w14:textId="77777777" w:rsidR="009E630F" w:rsidRPr="009E630F" w:rsidRDefault="009E630F" w:rsidP="009E630F">
            <w:pPr>
              <w:pStyle w:val="ListParagraph"/>
              <w:numPr>
                <w:ilvl w:val="0"/>
                <w:numId w:val="10"/>
              </w:numPr>
              <w:rPr>
                <w:rFonts w:ascii="Gill Sans MT" w:hAnsi="Gill Sans MT"/>
                <w:color w:val="000000"/>
                <w:szCs w:val="22"/>
                <w:lang w:val="en-US"/>
              </w:rPr>
            </w:pPr>
            <w:r w:rsidRPr="009E630F">
              <w:rPr>
                <w:rFonts w:ascii="Gill Sans MT" w:hAnsi="Gill Sans MT"/>
                <w:color w:val="000000"/>
                <w:szCs w:val="22"/>
                <w:lang w:val="en-US"/>
              </w:rPr>
              <w:t>Learners behind at Year 7 milestone = lower levels of self-efficacy</w:t>
            </w:r>
          </w:p>
          <w:p w14:paraId="142D5F98" w14:textId="77777777" w:rsidR="009E630F" w:rsidRPr="009E630F" w:rsidRDefault="009E630F" w:rsidP="009E630F">
            <w:pPr>
              <w:rPr>
                <w:rFonts w:ascii="Gill Sans MT" w:hAnsi="Gill Sans MT"/>
                <w:color w:val="000000"/>
                <w:szCs w:val="22"/>
                <w:lang w:val="en-AU"/>
              </w:rPr>
            </w:pPr>
            <w:r w:rsidRPr="009E630F">
              <w:rPr>
                <w:rFonts w:ascii="Gill Sans MT" w:hAnsi="Gill Sans MT"/>
                <w:i/>
                <w:color w:val="000000"/>
                <w:szCs w:val="22"/>
                <w:lang w:val="en-US"/>
              </w:rPr>
              <w:t>Senior school</w:t>
            </w:r>
          </w:p>
          <w:p w14:paraId="2BB8FA06" w14:textId="77777777" w:rsidR="009E630F" w:rsidRPr="009E630F" w:rsidRDefault="009E630F" w:rsidP="009E630F">
            <w:pPr>
              <w:pStyle w:val="ListParagraph"/>
              <w:numPr>
                <w:ilvl w:val="0"/>
                <w:numId w:val="8"/>
              </w:numPr>
              <w:rPr>
                <w:rFonts w:ascii="Gill Sans MT" w:hAnsi="Gill Sans MT"/>
                <w:color w:val="000000"/>
                <w:szCs w:val="22"/>
                <w:lang w:val="en-AU"/>
              </w:rPr>
            </w:pPr>
            <w:r w:rsidRPr="009E630F">
              <w:rPr>
                <w:rFonts w:ascii="Gill Sans MT" w:hAnsi="Gill Sans MT"/>
                <w:color w:val="000000"/>
                <w:szCs w:val="22"/>
                <w:lang w:val="en-AU"/>
              </w:rPr>
              <w:t>26% of young people do not complete Year 12/ Cert III equivalent by age 19</w:t>
            </w:r>
          </w:p>
          <w:p w14:paraId="725C8DAC" w14:textId="77777777" w:rsidR="009E630F" w:rsidRPr="009E630F" w:rsidRDefault="009E630F" w:rsidP="009E630F">
            <w:pPr>
              <w:pStyle w:val="ListParagraph"/>
              <w:numPr>
                <w:ilvl w:val="0"/>
                <w:numId w:val="7"/>
              </w:numPr>
              <w:rPr>
                <w:rFonts w:ascii="Gill Sans MT" w:hAnsi="Gill Sans MT"/>
                <w:color w:val="000000"/>
                <w:szCs w:val="22"/>
              </w:rPr>
            </w:pPr>
            <w:r w:rsidRPr="009E630F">
              <w:rPr>
                <w:rFonts w:ascii="Gill Sans MT" w:hAnsi="Gill Sans MT"/>
                <w:color w:val="000000"/>
                <w:szCs w:val="22"/>
                <w:lang w:val="en-AU"/>
              </w:rPr>
              <w:t>This can partly be explained by geographic/ remoteness (especially location)/ population differences: “</w:t>
            </w:r>
          </w:p>
          <w:p w14:paraId="63B3E2FD" w14:textId="77777777" w:rsidR="009E630F" w:rsidRPr="009E630F" w:rsidRDefault="009E630F" w:rsidP="009E630F">
            <w:pPr>
              <w:pStyle w:val="ListParagraph"/>
              <w:numPr>
                <w:ilvl w:val="0"/>
                <w:numId w:val="7"/>
              </w:numPr>
              <w:rPr>
                <w:rFonts w:ascii="Gill Sans MT" w:hAnsi="Gill Sans MT"/>
                <w:color w:val="000000"/>
                <w:szCs w:val="22"/>
                <w:lang w:val="en-US"/>
              </w:rPr>
            </w:pPr>
            <w:r w:rsidRPr="009E630F">
              <w:rPr>
                <w:rFonts w:ascii="Gill Sans MT" w:hAnsi="Gill Sans MT"/>
                <w:color w:val="000000"/>
                <w:szCs w:val="22"/>
                <w:lang w:val="en-US"/>
              </w:rPr>
              <w:t>Remote and very remote communities have high numbers of young people not completing – 56.6 per cent and 43.6 per cent respectively” (p.vi)</w:t>
            </w:r>
          </w:p>
          <w:p w14:paraId="0717E625" w14:textId="77777777" w:rsidR="009E630F" w:rsidRPr="009E630F" w:rsidRDefault="009E630F" w:rsidP="009E630F">
            <w:pPr>
              <w:pStyle w:val="ListParagraph"/>
              <w:numPr>
                <w:ilvl w:val="0"/>
                <w:numId w:val="7"/>
              </w:numPr>
              <w:rPr>
                <w:rFonts w:ascii="Gill Sans MT" w:hAnsi="Gill Sans MT"/>
                <w:color w:val="000000"/>
                <w:szCs w:val="22"/>
                <w:lang w:val="en-US"/>
              </w:rPr>
            </w:pPr>
            <w:r w:rsidRPr="009E630F">
              <w:rPr>
                <w:rFonts w:ascii="Gill Sans MT" w:hAnsi="Gill Sans MT"/>
                <w:color w:val="000000"/>
                <w:szCs w:val="22"/>
                <w:lang w:val="en-US"/>
              </w:rPr>
              <w:t>SES = very significant. 40% of lowest SES quartile do not complete Year 12 or equivalent; similar figure for Indigenous – all in comparison</w:t>
            </w:r>
          </w:p>
          <w:p w14:paraId="3AE4D1F0" w14:textId="77777777" w:rsidR="009E630F" w:rsidRPr="009E630F" w:rsidRDefault="009E630F" w:rsidP="009E630F">
            <w:pPr>
              <w:pStyle w:val="ListParagraph"/>
              <w:numPr>
                <w:ilvl w:val="0"/>
                <w:numId w:val="7"/>
              </w:numPr>
              <w:rPr>
                <w:rFonts w:ascii="Gill Sans MT" w:hAnsi="Gill Sans MT"/>
                <w:color w:val="000000"/>
                <w:szCs w:val="22"/>
                <w:lang w:val="en-US"/>
              </w:rPr>
            </w:pPr>
            <w:r w:rsidRPr="009E630F">
              <w:rPr>
                <w:rFonts w:ascii="Gill Sans MT" w:hAnsi="Gill Sans MT"/>
                <w:color w:val="000000"/>
                <w:szCs w:val="22"/>
                <w:lang w:val="en-US"/>
              </w:rPr>
              <w:t>Girls = more likely to complete school</w:t>
            </w:r>
          </w:p>
          <w:p w14:paraId="7756BC60" w14:textId="77777777" w:rsidR="009E630F" w:rsidRPr="009E630F" w:rsidRDefault="009E630F" w:rsidP="009E630F">
            <w:pPr>
              <w:pStyle w:val="ListParagraph"/>
              <w:numPr>
                <w:ilvl w:val="0"/>
                <w:numId w:val="7"/>
              </w:numPr>
              <w:rPr>
                <w:rFonts w:ascii="Gill Sans MT" w:hAnsi="Gill Sans MT"/>
                <w:color w:val="000000"/>
                <w:szCs w:val="22"/>
                <w:lang w:val="en-US"/>
              </w:rPr>
            </w:pPr>
            <w:r w:rsidRPr="009E630F">
              <w:rPr>
                <w:rFonts w:ascii="Gill Sans MT" w:hAnsi="Gill Sans MT"/>
                <w:color w:val="000000"/>
                <w:szCs w:val="22"/>
                <w:lang w:val="en-US"/>
              </w:rPr>
              <w:t>LBOTE = more likely to complete school but with average lower educational attainment – but differences between language groups (Southeast Asian languages = higher achievers)</w:t>
            </w:r>
          </w:p>
          <w:p w14:paraId="5585A70F" w14:textId="77777777" w:rsidR="009E630F" w:rsidRPr="009E630F" w:rsidRDefault="009E630F" w:rsidP="009E630F">
            <w:pPr>
              <w:pStyle w:val="ListParagraph"/>
              <w:numPr>
                <w:ilvl w:val="0"/>
                <w:numId w:val="7"/>
              </w:numPr>
              <w:rPr>
                <w:rFonts w:ascii="Gill Sans MT" w:hAnsi="Gill Sans MT"/>
                <w:color w:val="000000"/>
                <w:szCs w:val="22"/>
                <w:lang w:val="en-US"/>
              </w:rPr>
            </w:pPr>
            <w:r w:rsidRPr="009E630F">
              <w:rPr>
                <w:rFonts w:ascii="Gill Sans MT" w:hAnsi="Gill Sans MT"/>
                <w:color w:val="000000"/>
                <w:szCs w:val="22"/>
                <w:lang w:val="en-US"/>
              </w:rPr>
              <w:t>Only 56% of young people get an ATAR</w:t>
            </w:r>
          </w:p>
          <w:p w14:paraId="0366D1C8" w14:textId="77777777" w:rsidR="009E630F" w:rsidRPr="009E630F" w:rsidRDefault="009E630F" w:rsidP="009E630F">
            <w:pPr>
              <w:rPr>
                <w:rFonts w:ascii="Gill Sans MT" w:hAnsi="Gill Sans MT"/>
                <w:i/>
                <w:color w:val="000000"/>
                <w:szCs w:val="22"/>
                <w:lang w:val="en-US"/>
              </w:rPr>
            </w:pPr>
            <w:r w:rsidRPr="009E630F">
              <w:rPr>
                <w:rFonts w:ascii="Gill Sans MT" w:hAnsi="Gill Sans MT"/>
                <w:i/>
                <w:color w:val="000000"/>
                <w:szCs w:val="22"/>
                <w:lang w:val="en-US"/>
              </w:rPr>
              <w:t>Early adulthood</w:t>
            </w:r>
          </w:p>
          <w:p w14:paraId="1A8A8547" w14:textId="77777777" w:rsidR="009E630F" w:rsidRPr="009E630F" w:rsidRDefault="009E630F" w:rsidP="009E630F">
            <w:pPr>
              <w:pStyle w:val="ListParagraph"/>
              <w:numPr>
                <w:ilvl w:val="0"/>
                <w:numId w:val="9"/>
              </w:numPr>
              <w:rPr>
                <w:rFonts w:ascii="Gill Sans MT" w:hAnsi="Gill Sans MT"/>
                <w:color w:val="000000"/>
                <w:szCs w:val="22"/>
                <w:lang w:val="en-US"/>
              </w:rPr>
            </w:pPr>
            <w:r w:rsidRPr="009E630F">
              <w:rPr>
                <w:rFonts w:ascii="Gill Sans MT" w:hAnsi="Gill Sans MT"/>
                <w:color w:val="000000"/>
                <w:szCs w:val="22"/>
                <w:lang w:val="en-US"/>
              </w:rPr>
              <w:t>24% = not fully engaged in education or work; “This represents a significant loss of economic opportunity for the nation as well as vulnerability for the young people themselves” (</w:t>
            </w:r>
            <w:proofErr w:type="spellStart"/>
            <w:r w:rsidRPr="009E630F">
              <w:rPr>
                <w:rFonts w:ascii="Gill Sans MT" w:hAnsi="Gill Sans MT"/>
                <w:color w:val="000000"/>
                <w:szCs w:val="22"/>
                <w:lang w:val="en-US"/>
              </w:rPr>
              <w:t>p.vii</w:t>
            </w:r>
            <w:proofErr w:type="spellEnd"/>
            <w:r w:rsidRPr="009E630F">
              <w:rPr>
                <w:rFonts w:ascii="Gill Sans MT" w:hAnsi="Gill Sans MT"/>
                <w:color w:val="000000"/>
                <w:szCs w:val="22"/>
                <w:lang w:val="en-US"/>
              </w:rPr>
              <w:t xml:space="preserve">) </w:t>
            </w:r>
          </w:p>
          <w:p w14:paraId="4F27C14B" w14:textId="77777777" w:rsidR="009E630F" w:rsidRPr="009E630F" w:rsidRDefault="009E630F" w:rsidP="009E630F">
            <w:pPr>
              <w:pStyle w:val="ListParagraph"/>
              <w:numPr>
                <w:ilvl w:val="0"/>
                <w:numId w:val="9"/>
              </w:numPr>
              <w:rPr>
                <w:rFonts w:ascii="Gill Sans MT" w:hAnsi="Gill Sans MT"/>
                <w:color w:val="000000"/>
                <w:szCs w:val="22"/>
                <w:lang w:val="en-US"/>
              </w:rPr>
            </w:pPr>
            <w:r w:rsidRPr="009E630F">
              <w:rPr>
                <w:rFonts w:ascii="Gill Sans MT" w:hAnsi="Gill Sans MT"/>
                <w:color w:val="000000"/>
                <w:szCs w:val="22"/>
                <w:lang w:val="en-US"/>
              </w:rPr>
              <w:t>Young people missing out at this point = disproportionately female, low SES, from regional and remote locations and Indigenous.</w:t>
            </w:r>
          </w:p>
          <w:p w14:paraId="432F458B" w14:textId="77777777" w:rsidR="009E630F" w:rsidRPr="009E630F" w:rsidRDefault="009E630F" w:rsidP="009E630F">
            <w:pPr>
              <w:pStyle w:val="ListParagraph"/>
              <w:numPr>
                <w:ilvl w:val="0"/>
                <w:numId w:val="9"/>
              </w:numPr>
              <w:rPr>
                <w:rFonts w:ascii="Gill Sans MT" w:hAnsi="Gill Sans MT"/>
                <w:color w:val="000000"/>
                <w:szCs w:val="22"/>
                <w:lang w:val="en-US"/>
              </w:rPr>
            </w:pPr>
            <w:r w:rsidRPr="009E630F">
              <w:rPr>
                <w:rFonts w:ascii="Gill Sans MT" w:hAnsi="Gill Sans MT"/>
                <w:color w:val="000000"/>
                <w:szCs w:val="22"/>
                <w:lang w:val="en-US"/>
              </w:rPr>
              <w:t>Not completing Year 12= good indictor of not achieving later outcomes</w:t>
            </w:r>
          </w:p>
          <w:p w14:paraId="078BC389" w14:textId="77777777" w:rsidR="009E630F" w:rsidRPr="009E630F" w:rsidRDefault="009E630F" w:rsidP="009E630F">
            <w:pPr>
              <w:pStyle w:val="ListParagraph"/>
              <w:numPr>
                <w:ilvl w:val="0"/>
                <w:numId w:val="9"/>
              </w:numPr>
              <w:rPr>
                <w:rFonts w:ascii="Gill Sans MT" w:hAnsi="Gill Sans MT"/>
                <w:color w:val="000000"/>
                <w:szCs w:val="22"/>
                <w:lang w:val="en-US"/>
              </w:rPr>
            </w:pPr>
            <w:r w:rsidRPr="009E630F">
              <w:rPr>
                <w:rFonts w:ascii="Gill Sans MT" w:hAnsi="Gill Sans MT"/>
                <w:color w:val="000000"/>
                <w:szCs w:val="22"/>
                <w:lang w:val="en-US"/>
              </w:rPr>
              <w:t>University = very important for making transition from school</w:t>
            </w:r>
          </w:p>
          <w:p w14:paraId="17D910AD" w14:textId="77777777" w:rsidR="009E630F" w:rsidRPr="009E630F" w:rsidRDefault="009E630F" w:rsidP="009E630F">
            <w:pPr>
              <w:pStyle w:val="ListParagraph"/>
              <w:numPr>
                <w:ilvl w:val="0"/>
                <w:numId w:val="9"/>
              </w:numPr>
              <w:rPr>
                <w:rFonts w:ascii="Gill Sans MT" w:hAnsi="Gill Sans MT"/>
                <w:color w:val="000000"/>
                <w:szCs w:val="22"/>
                <w:lang w:val="en-US"/>
              </w:rPr>
            </w:pPr>
            <w:r w:rsidRPr="009E630F">
              <w:rPr>
                <w:rFonts w:ascii="Gill Sans MT" w:hAnsi="Gill Sans MT"/>
                <w:color w:val="000000"/>
                <w:szCs w:val="22"/>
                <w:lang w:val="en-US"/>
              </w:rPr>
              <w:t>50% of women enroll in university compared with 40% of males</w:t>
            </w:r>
          </w:p>
          <w:p w14:paraId="7D616F45" w14:textId="77777777" w:rsidR="009E630F" w:rsidRPr="009E630F" w:rsidRDefault="009E630F" w:rsidP="009E630F">
            <w:pPr>
              <w:pStyle w:val="ListParagraph"/>
              <w:numPr>
                <w:ilvl w:val="0"/>
                <w:numId w:val="9"/>
              </w:numPr>
              <w:rPr>
                <w:rFonts w:ascii="Gill Sans MT" w:hAnsi="Gill Sans MT"/>
                <w:color w:val="000000"/>
                <w:szCs w:val="22"/>
                <w:lang w:val="en-US"/>
              </w:rPr>
            </w:pPr>
            <w:r w:rsidRPr="009E630F">
              <w:rPr>
                <w:rFonts w:ascii="Gill Sans MT" w:hAnsi="Gill Sans MT"/>
                <w:color w:val="000000"/>
                <w:szCs w:val="22"/>
                <w:lang w:val="en-US"/>
              </w:rPr>
              <w:t>SES = important: 2/3 high SES go to university compared to ¼ of low SES students; urban students = more likely than regional/remote</w:t>
            </w:r>
          </w:p>
          <w:p w14:paraId="1DF6B3A3" w14:textId="77777777" w:rsidR="009E630F" w:rsidRPr="009E630F" w:rsidRDefault="009E630F" w:rsidP="009E630F">
            <w:pPr>
              <w:pStyle w:val="ListParagraph"/>
              <w:numPr>
                <w:ilvl w:val="0"/>
                <w:numId w:val="9"/>
              </w:numPr>
              <w:rPr>
                <w:rFonts w:ascii="Gill Sans MT" w:hAnsi="Gill Sans MT"/>
                <w:color w:val="000000"/>
                <w:szCs w:val="22"/>
                <w:lang w:val="en-US"/>
              </w:rPr>
            </w:pPr>
            <w:r w:rsidRPr="009E630F">
              <w:rPr>
                <w:rFonts w:ascii="Gill Sans MT" w:hAnsi="Gill Sans MT"/>
                <w:color w:val="000000"/>
                <w:szCs w:val="22"/>
                <w:lang w:val="en-US"/>
              </w:rPr>
              <w:lastRenderedPageBreak/>
              <w:t>By 24, 50% of young Australians = enroll in VET; 36% complete studies</w:t>
            </w:r>
          </w:p>
          <w:p w14:paraId="1C563A93" w14:textId="77777777" w:rsidR="009E630F" w:rsidRPr="009E630F" w:rsidRDefault="009E630F" w:rsidP="009E630F">
            <w:pPr>
              <w:pStyle w:val="ListParagraph"/>
              <w:numPr>
                <w:ilvl w:val="0"/>
                <w:numId w:val="9"/>
              </w:numPr>
              <w:rPr>
                <w:rFonts w:ascii="Gill Sans MT" w:hAnsi="Gill Sans MT"/>
                <w:color w:val="000000"/>
                <w:szCs w:val="22"/>
                <w:lang w:val="en-US"/>
              </w:rPr>
            </w:pPr>
            <w:r w:rsidRPr="009E630F">
              <w:rPr>
                <w:rFonts w:ascii="Gill Sans MT" w:hAnsi="Gill Sans MT"/>
                <w:color w:val="000000"/>
                <w:szCs w:val="22"/>
                <w:lang w:val="en-US"/>
              </w:rPr>
              <w:t>VET and apprenticeships = important pathway for early school leavers</w:t>
            </w:r>
          </w:p>
          <w:p w14:paraId="3311E262"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Core argument: </w:t>
            </w:r>
            <w:r w:rsidRPr="009E630F">
              <w:rPr>
                <w:rFonts w:ascii="Gill Sans MT" w:hAnsi="Gill Sans MT"/>
                <w:color w:val="000000"/>
                <w:szCs w:val="22"/>
                <w:lang w:val="en-AU"/>
              </w:rPr>
              <w:t xml:space="preserve">No longitudinal tracking data to make comparisons across </w:t>
            </w:r>
            <w:proofErr w:type="spellStart"/>
            <w:r w:rsidRPr="009E630F">
              <w:rPr>
                <w:rFonts w:ascii="Gill Sans MT" w:hAnsi="Gill Sans MT"/>
                <w:color w:val="000000"/>
                <w:szCs w:val="22"/>
                <w:lang w:val="en-AU"/>
              </w:rPr>
              <w:t>lifecourse</w:t>
            </w:r>
            <w:proofErr w:type="spellEnd"/>
            <w:r w:rsidRPr="009E630F">
              <w:rPr>
                <w:rFonts w:ascii="Gill Sans MT" w:hAnsi="Gill Sans MT"/>
                <w:color w:val="000000"/>
                <w:szCs w:val="22"/>
                <w:lang w:val="en-AU"/>
              </w:rPr>
              <w:t xml:space="preserve"> or with US data.</w:t>
            </w:r>
          </w:p>
          <w:p w14:paraId="5026A04B"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AU"/>
              </w:rPr>
              <w:t>“</w:t>
            </w:r>
            <w:r w:rsidRPr="009E630F">
              <w:rPr>
                <w:rFonts w:ascii="Gill Sans MT" w:hAnsi="Gill Sans MT"/>
                <w:color w:val="000000"/>
                <w:szCs w:val="22"/>
                <w:lang w:val="en-US"/>
              </w:rPr>
              <w:t>The challenge of helping young people who are falling behind to catch up and take advantage of opportunities over later stages is no easy task, because those missing out are far more likely to have disadvantaged backgrounds” (p.90).</w:t>
            </w:r>
          </w:p>
          <w:p w14:paraId="74E03D27"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Need to ensure better quality of early childcare for low SES areas = currently ‘game of chance’ because it serves needs of parents rather than meeting right of child to learn and be supported</w:t>
            </w:r>
          </w:p>
          <w:p w14:paraId="5996EE30"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At school, governments should fund accordingly to ameliorate intergenerational disadvantage – funding increases have been targeted disproportionately at non-government schools. Policies need to consider contextual/ environmental factors.</w:t>
            </w:r>
          </w:p>
          <w:p w14:paraId="7DE93C3F" w14:textId="0E3C8C5F" w:rsidR="009E630F" w:rsidRPr="009E630F" w:rsidRDefault="009E630F" w:rsidP="009E630F">
            <w:pPr>
              <w:rPr>
                <w:rFonts w:ascii="Gill Sans MT" w:hAnsi="Gill Sans MT"/>
                <w:b/>
                <w:color w:val="000000"/>
                <w:szCs w:val="22"/>
                <w:lang w:val="en-AU"/>
              </w:rPr>
            </w:pPr>
            <w:r w:rsidRPr="009E630F">
              <w:rPr>
                <w:rFonts w:ascii="Gill Sans MT" w:hAnsi="Gill Sans MT"/>
                <w:color w:val="000000"/>
                <w:szCs w:val="22"/>
                <w:lang w:val="en-US"/>
              </w:rPr>
              <w:t xml:space="preserve">“Australian school leavers are caught in a difficult position, between an increasingly constrained </w:t>
            </w:r>
            <w:proofErr w:type="spellStart"/>
            <w:r w:rsidRPr="009E630F">
              <w:rPr>
                <w:rFonts w:ascii="Gill Sans MT" w:hAnsi="Gill Sans MT"/>
                <w:color w:val="000000"/>
                <w:szCs w:val="22"/>
                <w:lang w:val="en-US"/>
              </w:rPr>
              <w:t>labour</w:t>
            </w:r>
            <w:proofErr w:type="spellEnd"/>
            <w:r w:rsidRPr="009E630F">
              <w:rPr>
                <w:rFonts w:ascii="Gill Sans MT" w:hAnsi="Gill Sans MT"/>
                <w:color w:val="000000"/>
                <w:szCs w:val="22"/>
                <w:lang w:val="en-US"/>
              </w:rPr>
              <w:t xml:space="preserve"> market, which pushes young learners (especially women, who have lower uptake of apprenticeships) towards tertiary education, and competitive thresholds for university entrance. The squeeze at this critical transition point has severe consequences for learners who have not stayed on track throughout their schooling, and who are thereby disadvantaged in relation to their peers in accessing tertiary study and employment” (p.92).</w:t>
            </w:r>
          </w:p>
        </w:tc>
      </w:tr>
      <w:tr w:rsidR="009E630F" w:rsidRPr="009E630F" w14:paraId="3648C94B" w14:textId="77777777" w:rsidTr="000C6DDE">
        <w:tc>
          <w:tcPr>
            <w:tcW w:w="5529" w:type="dxa"/>
          </w:tcPr>
          <w:p w14:paraId="07BC5ECA" w14:textId="4F9AD149" w:rsidR="009E630F" w:rsidRPr="009E630F" w:rsidRDefault="009E630F" w:rsidP="009E630F">
            <w:pPr>
              <w:rPr>
                <w:rFonts w:ascii="Gill Sans MT" w:hAnsi="Gill Sans MT"/>
                <w:szCs w:val="22"/>
              </w:rPr>
            </w:pPr>
            <w:r w:rsidRPr="009E630F">
              <w:rPr>
                <w:rFonts w:ascii="Gill Sans MT" w:hAnsi="Gill Sans MT"/>
                <w:szCs w:val="22"/>
              </w:rPr>
              <w:lastRenderedPageBreak/>
              <w:t xml:space="preserve">Leach, L. (2013). </w:t>
            </w:r>
            <w:hyperlink r:id="rId22" w:history="1">
              <w:r w:rsidRPr="00CA6562">
                <w:rPr>
                  <w:rStyle w:val="Hyperlink"/>
                  <w:rFonts w:ascii="Gill Sans MT" w:hAnsi="Gill Sans MT"/>
                  <w:szCs w:val="22"/>
                </w:rPr>
                <w:t xml:space="preserve">Participation and equity in higher education: are we going back to the </w:t>
              </w:r>
              <w:proofErr w:type="gramStart"/>
              <w:r w:rsidRPr="00CA6562">
                <w:rPr>
                  <w:rStyle w:val="Hyperlink"/>
                  <w:rFonts w:ascii="Gill Sans MT" w:hAnsi="Gill Sans MT"/>
                  <w:szCs w:val="22"/>
                </w:rPr>
                <w:t>future?,</w:t>
              </w:r>
              <w:proofErr w:type="gramEnd"/>
            </w:hyperlink>
            <w:r w:rsidRPr="009E630F">
              <w:rPr>
                <w:rFonts w:ascii="Gill Sans MT" w:hAnsi="Gill Sans MT"/>
                <w:szCs w:val="22"/>
              </w:rPr>
              <w:t xml:space="preserve"> </w:t>
            </w:r>
            <w:r w:rsidRPr="009E630F">
              <w:rPr>
                <w:rFonts w:ascii="Gill Sans MT" w:hAnsi="Gill Sans MT"/>
                <w:i/>
                <w:szCs w:val="22"/>
              </w:rPr>
              <w:t xml:space="preserve">Oxford Review of Education, </w:t>
            </w:r>
            <w:r w:rsidRPr="009E630F">
              <w:rPr>
                <w:rFonts w:ascii="Gill Sans MT" w:hAnsi="Gill Sans MT"/>
                <w:szCs w:val="22"/>
              </w:rPr>
              <w:t>39(2)</w:t>
            </w:r>
            <w:r w:rsidR="00082157">
              <w:rPr>
                <w:rFonts w:ascii="Gill Sans MT" w:hAnsi="Gill Sans MT"/>
                <w:szCs w:val="22"/>
              </w:rPr>
              <w:t>,</w:t>
            </w:r>
            <w:r w:rsidRPr="009E630F">
              <w:rPr>
                <w:rFonts w:ascii="Gill Sans MT" w:hAnsi="Gill Sans MT"/>
                <w:szCs w:val="22"/>
              </w:rPr>
              <w:t xml:space="preserve"> 267</w:t>
            </w:r>
            <w:r w:rsidR="00082157">
              <w:rPr>
                <w:rFonts w:ascii="Gill Sans MT" w:hAnsi="Gill Sans MT"/>
                <w:szCs w:val="22"/>
              </w:rPr>
              <w:t>–</w:t>
            </w:r>
            <w:r w:rsidRPr="009E630F">
              <w:rPr>
                <w:rFonts w:ascii="Gill Sans MT" w:hAnsi="Gill Sans MT"/>
                <w:szCs w:val="22"/>
              </w:rPr>
              <w:t>286.</w:t>
            </w:r>
          </w:p>
          <w:p w14:paraId="608D1258" w14:textId="77777777" w:rsidR="009E630F" w:rsidRPr="009E630F" w:rsidRDefault="009E630F" w:rsidP="009E630F">
            <w:pPr>
              <w:rPr>
                <w:rFonts w:ascii="Gill Sans MT" w:hAnsi="Gill Sans MT"/>
                <w:szCs w:val="22"/>
              </w:rPr>
            </w:pPr>
          </w:p>
          <w:p w14:paraId="506DF8D5" w14:textId="76631B10" w:rsidR="009E630F" w:rsidRPr="009E630F" w:rsidRDefault="009E630F" w:rsidP="009E630F">
            <w:pPr>
              <w:rPr>
                <w:rFonts w:ascii="Gill Sans MT" w:hAnsi="Gill Sans MT"/>
                <w:szCs w:val="22"/>
              </w:rPr>
            </w:pPr>
            <w:r w:rsidRPr="009E630F">
              <w:rPr>
                <w:rFonts w:ascii="Gill Sans MT" w:hAnsi="Gill Sans MT"/>
                <w:szCs w:val="22"/>
              </w:rPr>
              <w:t>NZ, A</w:t>
            </w:r>
            <w:r w:rsidR="00082157">
              <w:rPr>
                <w:rFonts w:ascii="Gill Sans MT" w:hAnsi="Gill Sans MT"/>
                <w:szCs w:val="22"/>
              </w:rPr>
              <w:t>US, ENG</w:t>
            </w:r>
          </w:p>
          <w:p w14:paraId="0FE28FD6" w14:textId="77777777" w:rsidR="009E630F" w:rsidRPr="009E630F" w:rsidRDefault="009E630F" w:rsidP="009E630F">
            <w:pPr>
              <w:rPr>
                <w:rFonts w:ascii="Gill Sans MT" w:hAnsi="Gill Sans MT"/>
                <w:szCs w:val="22"/>
              </w:rPr>
            </w:pPr>
            <w:r w:rsidRPr="009E630F">
              <w:rPr>
                <w:rFonts w:ascii="Gill Sans MT" w:hAnsi="Gill Sans MT"/>
                <w:szCs w:val="22"/>
              </w:rPr>
              <w:t>Annotation by Sally Baker</w:t>
            </w:r>
          </w:p>
          <w:p w14:paraId="369F1FDE" w14:textId="77777777" w:rsidR="009E630F" w:rsidRPr="009E630F" w:rsidRDefault="009E630F" w:rsidP="009E630F">
            <w:pPr>
              <w:rPr>
                <w:rFonts w:ascii="Gill Sans MT" w:hAnsi="Gill Sans MT"/>
                <w:szCs w:val="22"/>
              </w:rPr>
            </w:pPr>
          </w:p>
          <w:p w14:paraId="1196640A" w14:textId="77777777" w:rsidR="009E630F" w:rsidRPr="009E630F" w:rsidRDefault="009E630F" w:rsidP="009E630F">
            <w:pPr>
              <w:rPr>
                <w:rFonts w:ascii="Gill Sans MT" w:hAnsi="Gill Sans MT" w:cstheme="minorHAnsi"/>
                <w:i/>
                <w:szCs w:val="22"/>
              </w:rPr>
            </w:pPr>
            <w:r w:rsidRPr="009E630F">
              <w:rPr>
                <w:rFonts w:ascii="Gill Sans MT" w:hAnsi="Gill Sans MT"/>
                <w:szCs w:val="22"/>
              </w:rPr>
              <w:t xml:space="preserve">Keywords: </w:t>
            </w:r>
            <w:r w:rsidRPr="009E630F">
              <w:rPr>
                <w:rFonts w:ascii="Gill Sans MT" w:hAnsi="Gill Sans MT"/>
                <w:i/>
                <w:szCs w:val="22"/>
              </w:rPr>
              <w:t>equity, higher education, access, widening participation policy</w:t>
            </w:r>
          </w:p>
          <w:p w14:paraId="3E48AD4E" w14:textId="77777777" w:rsidR="009E630F" w:rsidRPr="009E630F" w:rsidRDefault="009E630F" w:rsidP="009E630F">
            <w:pPr>
              <w:rPr>
                <w:rFonts w:ascii="Gill Sans MT" w:hAnsi="Gill Sans MT"/>
                <w:szCs w:val="22"/>
              </w:rPr>
            </w:pPr>
          </w:p>
        </w:tc>
        <w:tc>
          <w:tcPr>
            <w:tcW w:w="10064" w:type="dxa"/>
          </w:tcPr>
          <w:p w14:paraId="518885AF"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Overview of policy developments in New Zealand, Australia and England from 1960s-2011.</w:t>
            </w:r>
          </w:p>
          <w:p w14:paraId="7D7D714C"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Aim: </w:t>
            </w:r>
            <w:r w:rsidRPr="009E630F">
              <w:rPr>
                <w:rFonts w:ascii="Gill Sans MT" w:hAnsi="Gill Sans MT"/>
                <w:color w:val="000000"/>
                <w:szCs w:val="22"/>
                <w:lang w:val="en-AU"/>
              </w:rPr>
              <w:t>To provide an overview of policy and practice with relation to equity and participation in higher education in NZ, Aus, England over 50 years</w:t>
            </w:r>
          </w:p>
          <w:p w14:paraId="507071EF"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Theoretical frame: </w:t>
            </w:r>
            <w:r w:rsidRPr="009E630F">
              <w:rPr>
                <w:rFonts w:ascii="Gill Sans MT" w:hAnsi="Gill Sans MT"/>
                <w:color w:val="000000"/>
                <w:szCs w:val="22"/>
                <w:lang w:val="en-AU"/>
              </w:rPr>
              <w:t>None explicit</w:t>
            </w:r>
          </w:p>
          <w:p w14:paraId="04CFCB73"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Methodology: </w:t>
            </w:r>
            <w:r w:rsidRPr="009E630F">
              <w:rPr>
                <w:rFonts w:ascii="Gill Sans MT" w:hAnsi="Gill Sans MT"/>
                <w:color w:val="000000"/>
                <w:szCs w:val="22"/>
                <w:lang w:val="en-AU"/>
              </w:rPr>
              <w:t>Policy/ literature review</w:t>
            </w:r>
          </w:p>
          <w:p w14:paraId="32BCA44A"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Findings: </w:t>
            </w:r>
          </w:p>
          <w:p w14:paraId="09F7767D" w14:textId="77777777" w:rsidR="009E630F" w:rsidRPr="009E630F" w:rsidRDefault="009E630F" w:rsidP="009E630F">
            <w:pPr>
              <w:rPr>
                <w:rFonts w:ascii="Gill Sans MT" w:hAnsi="Gill Sans MT"/>
                <w:color w:val="000000"/>
                <w:szCs w:val="22"/>
                <w:lang w:val="en-AU"/>
              </w:rPr>
            </w:pPr>
            <w:r w:rsidRPr="009E630F">
              <w:rPr>
                <w:rFonts w:ascii="Gill Sans MT" w:hAnsi="Gill Sans MT"/>
                <w:i/>
                <w:color w:val="000000"/>
                <w:szCs w:val="22"/>
                <w:lang w:val="en-AU"/>
              </w:rPr>
              <w:t>Section 1: from elite to massified system</w:t>
            </w:r>
            <w:r w:rsidRPr="009E630F">
              <w:rPr>
                <w:rFonts w:ascii="Gill Sans MT" w:hAnsi="Gill Sans MT"/>
                <w:color w:val="000000"/>
                <w:szCs w:val="22"/>
                <w:lang w:val="en-AU"/>
              </w:rPr>
              <w:t xml:space="preserve"> – massification driven by two forces: 1) increasing participation and widening access. SES = common framing but is measured differently in each country (see p.269).</w:t>
            </w:r>
          </w:p>
          <w:p w14:paraId="75895773"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AU"/>
              </w:rPr>
              <w:t>Higher education in NZ: pre-1980s = elite. Major changes in 1980s/90s in post-compulsory education sector, with access opened to ‘disadvantaged’ groups (</w:t>
            </w:r>
            <w:r w:rsidRPr="009E630F">
              <w:rPr>
                <w:rFonts w:ascii="Gill Sans MT" w:hAnsi="Gill Sans MT"/>
                <w:color w:val="000000"/>
                <w:szCs w:val="22"/>
                <w:lang w:val="en-US"/>
              </w:rPr>
              <w:t xml:space="preserve">socioeconomic, ethnicity, disability and gender disadvantage in NZ educational policy). Funding arrangements of HE shifted (fees set, students assumed part of cost, student loans system started). In 2001, obligations to indigenous students recognized. Six strategies outlined in </w:t>
            </w:r>
            <w:r w:rsidRPr="009E630F">
              <w:rPr>
                <w:rFonts w:ascii="Gill Sans MT" w:hAnsi="Gill Sans MT"/>
                <w:i/>
                <w:color w:val="000000"/>
                <w:szCs w:val="22"/>
                <w:lang w:val="en-US"/>
              </w:rPr>
              <w:t>Tertiary Education Strategy 2002-2007</w:t>
            </w:r>
            <w:r w:rsidRPr="009E630F">
              <w:rPr>
                <w:rFonts w:ascii="Gill Sans MT" w:hAnsi="Gill Sans MT"/>
                <w:color w:val="000000"/>
                <w:szCs w:val="22"/>
                <w:lang w:val="en-US"/>
              </w:rPr>
              <w:t xml:space="preserve">: Maori aspirations, raise foundation skills (including literacy) – for indigenous, migrants, refugees, ‘at risk’ youth, long-term unemployed, students with disabilities, people with few/ no qualifications </w:t>
            </w:r>
            <w:proofErr w:type="gramStart"/>
            <w:r w:rsidRPr="009E630F">
              <w:rPr>
                <w:rFonts w:ascii="Gill Sans MT" w:hAnsi="Gill Sans MT"/>
                <w:color w:val="000000"/>
                <w:szCs w:val="22"/>
                <w:lang w:val="en-US"/>
              </w:rPr>
              <w:t>- ,</w:t>
            </w:r>
            <w:proofErr w:type="gramEnd"/>
            <w:r w:rsidRPr="009E630F">
              <w:rPr>
                <w:rFonts w:ascii="Gill Sans MT" w:hAnsi="Gill Sans MT"/>
                <w:color w:val="000000"/>
                <w:szCs w:val="22"/>
                <w:lang w:val="en-US"/>
              </w:rPr>
              <w:t xml:space="preserve"> educate Pacific People for development and success. Next policy paper (2007-12) focused on equity of access and achievement.</w:t>
            </w:r>
          </w:p>
          <w:p w14:paraId="30ECBFE7"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lastRenderedPageBreak/>
              <w:t xml:space="preserve">England: framed as widening participation (to under-represented students) and lifelong learning. Robbins Report (1963) recommended expanded HE system; 1970s = new polytechnics – creation of binary system. </w:t>
            </w:r>
            <w:r w:rsidRPr="009E630F">
              <w:rPr>
                <w:rFonts w:ascii="Gill Sans MT" w:hAnsi="Gill Sans MT"/>
                <w:i/>
                <w:color w:val="000000"/>
                <w:szCs w:val="22"/>
                <w:lang w:val="en-US"/>
              </w:rPr>
              <w:t xml:space="preserve">Educational Reform Act 1988 </w:t>
            </w:r>
            <w:r w:rsidRPr="009E630F">
              <w:rPr>
                <w:rFonts w:ascii="Gill Sans MT" w:hAnsi="Gill Sans MT"/>
                <w:color w:val="000000"/>
                <w:szCs w:val="22"/>
                <w:lang w:val="en-US"/>
              </w:rPr>
              <w:t xml:space="preserve">recognised access courses as alternative pathway into undergraduate study – paved way for end of binary system. </w:t>
            </w:r>
            <w:r w:rsidRPr="009E630F">
              <w:rPr>
                <w:rFonts w:ascii="Gill Sans MT" w:hAnsi="Gill Sans MT"/>
                <w:i/>
                <w:color w:val="000000"/>
                <w:szCs w:val="22"/>
                <w:lang w:val="en-US"/>
              </w:rPr>
              <w:t>Further and Higher Education Act 1992</w:t>
            </w:r>
            <w:r w:rsidRPr="009E630F">
              <w:rPr>
                <w:rFonts w:ascii="Gill Sans MT" w:hAnsi="Gill Sans MT"/>
                <w:color w:val="000000"/>
                <w:szCs w:val="22"/>
                <w:lang w:val="en-US"/>
              </w:rPr>
              <w:t xml:space="preserve"> abolished binary system, making all polytechnics into ‘new’ universities. Widening participation = large focus of Dearing Report (1997) and New </w:t>
            </w:r>
            <w:proofErr w:type="spellStart"/>
            <w:r w:rsidRPr="009E630F">
              <w:rPr>
                <w:rFonts w:ascii="Gill Sans MT" w:hAnsi="Gill Sans MT"/>
                <w:color w:val="000000"/>
                <w:szCs w:val="22"/>
                <w:lang w:val="en-US"/>
              </w:rPr>
              <w:t>Labour</w:t>
            </w:r>
            <w:proofErr w:type="spellEnd"/>
            <w:r w:rsidRPr="009E630F">
              <w:rPr>
                <w:rFonts w:ascii="Gill Sans MT" w:hAnsi="Gill Sans MT"/>
                <w:color w:val="000000"/>
                <w:szCs w:val="22"/>
                <w:lang w:val="en-US"/>
              </w:rPr>
              <w:t xml:space="preserve"> government elected in 1997 set participation target of 50% of 18-30 year olds by 2010. </w:t>
            </w:r>
            <w:r w:rsidRPr="009E630F">
              <w:rPr>
                <w:rFonts w:ascii="Gill Sans MT" w:hAnsi="Gill Sans MT"/>
                <w:i/>
                <w:color w:val="000000"/>
                <w:szCs w:val="22"/>
                <w:lang w:val="en-US"/>
              </w:rPr>
              <w:t xml:space="preserve">Higher Education Act 2004 </w:t>
            </w:r>
            <w:r w:rsidRPr="009E630F">
              <w:rPr>
                <w:rFonts w:ascii="Gill Sans MT" w:hAnsi="Gill Sans MT"/>
                <w:color w:val="000000"/>
                <w:szCs w:val="22"/>
                <w:lang w:val="en-US"/>
              </w:rPr>
              <w:t xml:space="preserve">increased student fees to 3000GBP per year (variable top up fees). Office for Fair Access (OFFA) established in 2005 and WP = strategic objective of HEFCE, which supported </w:t>
            </w:r>
            <w:proofErr w:type="spellStart"/>
            <w:r w:rsidRPr="009E630F">
              <w:rPr>
                <w:rFonts w:ascii="Gill Sans MT" w:hAnsi="Gill Sans MT"/>
                <w:color w:val="000000"/>
                <w:szCs w:val="22"/>
                <w:lang w:val="en-US"/>
              </w:rPr>
              <w:t>Aimhigher</w:t>
            </w:r>
            <w:proofErr w:type="spellEnd"/>
            <w:r w:rsidRPr="009E630F">
              <w:rPr>
                <w:rFonts w:ascii="Gill Sans MT" w:hAnsi="Gill Sans MT"/>
                <w:color w:val="000000"/>
                <w:szCs w:val="22"/>
                <w:lang w:val="en-US"/>
              </w:rPr>
              <w:t xml:space="preserve"> and Action on Access.</w:t>
            </w:r>
          </w:p>
          <w:p w14:paraId="058AD4C4"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 xml:space="preserve">Australia: Martin report (1964) – Fraser government (1974): Commonwealth assumed full responsibility for cost of HE. In 1988, unified system (FE and HE) introduced; HECS introduced (sold as equity mechanism). </w:t>
            </w:r>
            <w:r w:rsidRPr="009E630F">
              <w:rPr>
                <w:rFonts w:ascii="Gill Sans MT" w:hAnsi="Gill Sans MT"/>
                <w:i/>
                <w:color w:val="000000"/>
                <w:szCs w:val="22"/>
                <w:lang w:val="en-US"/>
              </w:rPr>
              <w:t>A Fair Chance for All =</w:t>
            </w:r>
            <w:r w:rsidRPr="009E630F">
              <w:rPr>
                <w:rFonts w:ascii="Gill Sans MT" w:hAnsi="Gill Sans MT"/>
                <w:color w:val="000000"/>
                <w:szCs w:val="22"/>
                <w:lang w:val="en-US"/>
              </w:rPr>
              <w:t xml:space="preserve"> identified six equity groups. Review in 1996 (West Report) suggest some improvements in participation rates of 6 groups, but not for Indigenous, low SES and R&amp;R students. In 2002 (Nelson reforms), HECS contribution (aka cost to student) increased, but policy reform included requirement for institutions to do more to ensure equity. Access and equity = key drivers/ foci in Bradley Review (2008) – Australia seen as lagging behind.</w:t>
            </w:r>
          </w:p>
          <w:p w14:paraId="3A11207F"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Higher Education post-GFC (policy 2008-2011)</w:t>
            </w:r>
          </w:p>
          <w:p w14:paraId="3E1871F1"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 xml:space="preserve">New Zealand: Cap on enrolments in 2008; 2009 = $500mNZD reduction in funding to HE, with further incremental decreases until 2014. Universities turning many students away. New performance review funding introduced (5% based on completion/ progression to higher study/ retention). Financial </w:t>
            </w:r>
            <w:proofErr w:type="spellStart"/>
            <w:r w:rsidRPr="009E630F">
              <w:rPr>
                <w:rFonts w:ascii="Gill Sans MT" w:hAnsi="Gill Sans MT"/>
                <w:color w:val="000000"/>
                <w:szCs w:val="22"/>
                <w:lang w:val="en-US"/>
              </w:rPr>
              <w:t>penalities</w:t>
            </w:r>
            <w:proofErr w:type="spellEnd"/>
            <w:r w:rsidRPr="009E630F">
              <w:rPr>
                <w:rFonts w:ascii="Gill Sans MT" w:hAnsi="Gill Sans MT"/>
                <w:color w:val="000000"/>
                <w:szCs w:val="22"/>
                <w:lang w:val="en-US"/>
              </w:rPr>
              <w:t xml:space="preserve"> for </w:t>
            </w:r>
            <w:proofErr w:type="spellStart"/>
            <w:r w:rsidRPr="009E630F">
              <w:rPr>
                <w:rFonts w:ascii="Gill Sans MT" w:hAnsi="Gill Sans MT"/>
                <w:color w:val="000000"/>
                <w:szCs w:val="22"/>
                <w:lang w:val="en-US"/>
              </w:rPr>
              <w:t>insitutions</w:t>
            </w:r>
            <w:proofErr w:type="spellEnd"/>
            <w:r w:rsidRPr="009E630F">
              <w:rPr>
                <w:rFonts w:ascii="Gill Sans MT" w:hAnsi="Gill Sans MT"/>
                <w:color w:val="000000"/>
                <w:szCs w:val="22"/>
                <w:lang w:val="en-US"/>
              </w:rPr>
              <w:t xml:space="preserve"> that exceeded capped enrolments. People under 25 = remained target group. Financial pressures increased by earthquake in Christchurch in 2011. Loan repayments increased in 2012.</w:t>
            </w:r>
          </w:p>
          <w:p w14:paraId="4AD8012B"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 xml:space="preserve">England: </w:t>
            </w:r>
            <w:r w:rsidRPr="009E630F">
              <w:rPr>
                <w:rFonts w:ascii="Gill Sans MT" w:hAnsi="Gill Sans MT"/>
                <w:i/>
                <w:color w:val="000000"/>
                <w:szCs w:val="22"/>
                <w:lang w:val="en-US"/>
              </w:rPr>
              <w:t xml:space="preserve">Browne Report </w:t>
            </w:r>
            <w:r w:rsidRPr="009E630F">
              <w:rPr>
                <w:rFonts w:ascii="Gill Sans MT" w:hAnsi="Gill Sans MT"/>
                <w:color w:val="000000"/>
                <w:szCs w:val="22"/>
                <w:lang w:val="en-US"/>
              </w:rPr>
              <w:t>(2010) = recommended increase in tuition fees (resulting from austerity politics). Under-represented students still targeted as long as they had ‘talent’. Access agreements introduced with Higher Education Council – all universities charging more than 6000GBP had to have access agreements with OFFA. National Scholarship Programme introduced to support low income full-time students. HEFCE required all universities to provide WP statement in 2012.</w:t>
            </w:r>
          </w:p>
          <w:p w14:paraId="5BB1A78F" w14:textId="77777777" w:rsidR="009E630F" w:rsidRPr="009E630F" w:rsidRDefault="009E630F" w:rsidP="009E630F">
            <w:pPr>
              <w:rPr>
                <w:rFonts w:ascii="Gill Sans MT" w:hAnsi="Gill Sans MT"/>
                <w:b/>
                <w:color w:val="000000"/>
                <w:szCs w:val="22"/>
                <w:lang w:val="en-AU"/>
              </w:rPr>
            </w:pPr>
            <w:r w:rsidRPr="009E630F">
              <w:rPr>
                <w:rFonts w:ascii="Gill Sans MT" w:hAnsi="Gill Sans MT"/>
                <w:color w:val="000000"/>
                <w:szCs w:val="22"/>
                <w:lang w:val="en-US"/>
              </w:rPr>
              <w:t>Australia: ‘counter-cyclical’ approach taken – introduction of demand-driven system in 2010. Aus gov’t invested $500m in Teaching and Learning Capital Fund for infrastructure and facilities (as per Bradley Review recommendations). Introduction of HEPPP and equity targets 20/40 set in 2010. Additional regional loading funding ($110m) added in 2011 plus additional infrastructure investment for regional universities. Additional funding also added.</w:t>
            </w:r>
          </w:p>
          <w:p w14:paraId="052D4F53" w14:textId="49760A17" w:rsidR="009E630F" w:rsidRPr="009E630F" w:rsidRDefault="009E630F" w:rsidP="009E630F">
            <w:pPr>
              <w:rPr>
                <w:rFonts w:ascii="Gill Sans MT" w:hAnsi="Gill Sans MT"/>
                <w:b/>
                <w:color w:val="000000"/>
                <w:szCs w:val="22"/>
                <w:lang w:val="en-AU"/>
              </w:rPr>
            </w:pPr>
            <w:r w:rsidRPr="009E630F">
              <w:rPr>
                <w:rFonts w:ascii="Gill Sans MT" w:hAnsi="Gill Sans MT"/>
                <w:b/>
                <w:color w:val="000000"/>
                <w:szCs w:val="22"/>
                <w:lang w:val="en-AU"/>
              </w:rPr>
              <w:lastRenderedPageBreak/>
              <w:t xml:space="preserve">Core argument: </w:t>
            </w:r>
            <w:r w:rsidRPr="009E630F">
              <w:rPr>
                <w:rFonts w:ascii="Gill Sans MT" w:hAnsi="Gill Sans MT"/>
                <w:color w:val="000000"/>
                <w:szCs w:val="22"/>
                <w:lang w:val="en-AU"/>
              </w:rPr>
              <w:t>Australia took a different funding approach (investment) in face of GFC compared to NZ and England. Equity policies = limited success in 3 countries, despite redressive policies: “</w:t>
            </w:r>
            <w:r w:rsidRPr="009E630F">
              <w:rPr>
                <w:rFonts w:ascii="Gill Sans MT" w:hAnsi="Gill Sans MT"/>
                <w:color w:val="000000"/>
                <w:szCs w:val="22"/>
                <w:lang w:val="en-US"/>
              </w:rPr>
              <w:t>These data show that even at times of expansion, with policies that support widening participation in higher education, the proportion of under-represented students in each of the three countries has not increased as hoped” (p.298). Similar shifts in discourse occurred in line with GFC: NZ = ‘extent of ability’; England = ‘potential’; Australia = ‘capable’ – move towards ‘merit based’ approach. Institutional approaches (such as cutting staff numbers) had an impact on possibilities for equity: “Class sizes and increased staff–student ratios may also decrease the quality of teaching, a key factor in student outcomes”, particularly for traditionally under-represented students (p.279) and particularly when funding =contingent on completion. Costs of higher education = also understood to be prohibitive for low SES students</w:t>
            </w:r>
          </w:p>
        </w:tc>
      </w:tr>
      <w:tr w:rsidR="009E630F" w:rsidRPr="009E630F" w14:paraId="6B04E2BF" w14:textId="77777777" w:rsidTr="000C6DDE">
        <w:tc>
          <w:tcPr>
            <w:tcW w:w="5529" w:type="dxa"/>
          </w:tcPr>
          <w:p w14:paraId="1EF78DC5" w14:textId="7F79E42F" w:rsidR="009E630F" w:rsidRPr="005B7547" w:rsidRDefault="009E630F" w:rsidP="009E630F">
            <w:pPr>
              <w:rPr>
                <w:rFonts w:ascii="Gill Sans MT" w:hAnsi="Gill Sans MT"/>
                <w:iCs/>
                <w:szCs w:val="22"/>
              </w:rPr>
            </w:pPr>
            <w:r w:rsidRPr="005B7547">
              <w:rPr>
                <w:rFonts w:ascii="Gill Sans MT" w:hAnsi="Gill Sans MT"/>
                <w:szCs w:val="22"/>
              </w:rPr>
              <w:lastRenderedPageBreak/>
              <w:t xml:space="preserve">McLennan, J.; Pettigrew, R. &amp; </w:t>
            </w:r>
            <w:proofErr w:type="spellStart"/>
            <w:r w:rsidRPr="005B7547">
              <w:rPr>
                <w:rFonts w:ascii="Gill Sans MT" w:hAnsi="Gill Sans MT"/>
                <w:szCs w:val="22"/>
              </w:rPr>
              <w:t>Sperlinger</w:t>
            </w:r>
            <w:proofErr w:type="spellEnd"/>
            <w:r w:rsidRPr="005B7547">
              <w:rPr>
                <w:rFonts w:ascii="Gill Sans MT" w:hAnsi="Gill Sans MT"/>
                <w:szCs w:val="22"/>
              </w:rPr>
              <w:t xml:space="preserve">, T. (2016). </w:t>
            </w:r>
            <w:hyperlink r:id="rId23" w:history="1">
              <w:r w:rsidRPr="00CA6562">
                <w:rPr>
                  <w:rStyle w:val="Hyperlink"/>
                  <w:rFonts w:ascii="Gill Sans MT" w:hAnsi="Gill Sans MT"/>
                  <w:szCs w:val="22"/>
                </w:rPr>
                <w:t>Remaking the elite university: An experiment in widening participation in the UK,</w:t>
              </w:r>
            </w:hyperlink>
            <w:r w:rsidRPr="005B7547">
              <w:rPr>
                <w:rFonts w:ascii="Gill Sans MT" w:hAnsi="Gill Sans MT"/>
                <w:szCs w:val="22"/>
              </w:rPr>
              <w:t xml:space="preserve"> </w:t>
            </w:r>
            <w:r w:rsidRPr="005B7547">
              <w:rPr>
                <w:rFonts w:ascii="Gill Sans MT" w:hAnsi="Gill Sans MT"/>
                <w:i/>
                <w:szCs w:val="22"/>
              </w:rPr>
              <w:t xml:space="preserve">Power &amp; Education, </w:t>
            </w:r>
            <w:r>
              <w:rPr>
                <w:rFonts w:ascii="Gill Sans MT" w:hAnsi="Gill Sans MT"/>
                <w:iCs/>
                <w:szCs w:val="22"/>
              </w:rPr>
              <w:t>8(1), 54–72.</w:t>
            </w:r>
          </w:p>
          <w:p w14:paraId="1A068A8C" w14:textId="77777777" w:rsidR="009E630F" w:rsidRPr="005B7547" w:rsidRDefault="009E630F" w:rsidP="009E630F">
            <w:pPr>
              <w:rPr>
                <w:rFonts w:ascii="Gill Sans MT" w:hAnsi="Gill Sans MT"/>
                <w:szCs w:val="22"/>
              </w:rPr>
            </w:pPr>
          </w:p>
          <w:p w14:paraId="07FDD762" w14:textId="77777777" w:rsidR="009E630F" w:rsidRPr="005B7547" w:rsidRDefault="009E630F" w:rsidP="009E630F">
            <w:pPr>
              <w:rPr>
                <w:rFonts w:ascii="Gill Sans MT" w:hAnsi="Gill Sans MT"/>
                <w:szCs w:val="22"/>
              </w:rPr>
            </w:pPr>
            <w:r w:rsidRPr="005B7547">
              <w:rPr>
                <w:rFonts w:ascii="Gill Sans MT" w:hAnsi="Gill Sans MT"/>
                <w:szCs w:val="22"/>
              </w:rPr>
              <w:t>UK</w:t>
            </w:r>
          </w:p>
          <w:p w14:paraId="303C78C2" w14:textId="77777777" w:rsidR="009E630F" w:rsidRPr="009A1CE0" w:rsidRDefault="009E630F" w:rsidP="009E630F">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1AF1801F" w14:textId="77777777" w:rsidR="009E630F" w:rsidRPr="005B7547" w:rsidRDefault="009E630F" w:rsidP="009E630F">
            <w:pPr>
              <w:rPr>
                <w:rFonts w:ascii="Gill Sans MT" w:hAnsi="Gill Sans MT"/>
                <w:szCs w:val="22"/>
              </w:rPr>
            </w:pPr>
          </w:p>
          <w:p w14:paraId="1551BA37" w14:textId="3DCCF057" w:rsidR="009E630F" w:rsidRPr="009E630F" w:rsidRDefault="009E630F" w:rsidP="009E630F">
            <w:pPr>
              <w:rPr>
                <w:rFonts w:ascii="Gill Sans MT" w:hAnsi="Gill Sans MT"/>
                <w:szCs w:val="22"/>
              </w:rPr>
            </w:pPr>
            <w:r w:rsidRPr="005B7547">
              <w:rPr>
                <w:rFonts w:ascii="Gill Sans MT" w:hAnsi="Gill Sans MT"/>
                <w:szCs w:val="22"/>
              </w:rPr>
              <w:t xml:space="preserve">Keywords: </w:t>
            </w:r>
            <w:r w:rsidRPr="005B7547">
              <w:rPr>
                <w:rFonts w:ascii="Gill Sans MT" w:hAnsi="Gill Sans MT"/>
                <w:i/>
                <w:szCs w:val="22"/>
              </w:rPr>
              <w:t>Widening participation, higher education, pedagogy, diversity, foundation year</w:t>
            </w:r>
          </w:p>
        </w:tc>
        <w:tc>
          <w:tcPr>
            <w:tcW w:w="10064" w:type="dxa"/>
          </w:tcPr>
          <w:p w14:paraId="7A2D1397" w14:textId="77777777" w:rsidR="009E630F" w:rsidRPr="005B7547" w:rsidRDefault="009E630F" w:rsidP="009E630F">
            <w:pPr>
              <w:rPr>
                <w:rFonts w:ascii="Gill Sans MT" w:hAnsi="Gill Sans MT"/>
                <w:color w:val="000000"/>
                <w:szCs w:val="22"/>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Examines WP in elite universities in the UK; offers differing analysis (from idea that equity = ‘intractable problem’) whereby WP = viewed as aspect of pedagogy rather than administrative issue through case study of Foundation Year in Arts/ Humanities in Uni of Bristol. Authors refer to Russell Group statement, which blames underrepresentation of equity groups in high status unis/ disciplines on schools. Authors note that academics = also disenfranchised by increasing neoliberal pressures on HE. Foundation Year = “</w:t>
            </w:r>
            <w:r w:rsidRPr="005B7547">
              <w:rPr>
                <w:rFonts w:ascii="Gill Sans MT" w:hAnsi="Gill Sans MT"/>
                <w:color w:val="000000"/>
                <w:szCs w:val="22"/>
              </w:rPr>
              <w:t>a</w:t>
            </w:r>
            <w:r>
              <w:rPr>
                <w:rFonts w:ascii="Gill Sans MT" w:hAnsi="Gill Sans MT"/>
                <w:color w:val="000000"/>
                <w:szCs w:val="22"/>
              </w:rPr>
              <w:t xml:space="preserve"> </w:t>
            </w:r>
            <w:r w:rsidRPr="005B7547">
              <w:rPr>
                <w:rFonts w:ascii="Gill Sans MT" w:hAnsi="Gill Sans MT"/>
                <w:color w:val="000000"/>
                <w:szCs w:val="22"/>
              </w:rPr>
              <w:t>way into university for people without conventional educational qualifications” (p.</w:t>
            </w:r>
            <w:r>
              <w:rPr>
                <w:rFonts w:ascii="Gill Sans MT" w:hAnsi="Gill Sans MT"/>
                <w:color w:val="000000"/>
                <w:szCs w:val="22"/>
              </w:rPr>
              <w:t>57</w:t>
            </w:r>
            <w:r w:rsidRPr="005B7547">
              <w:rPr>
                <w:rFonts w:ascii="Gill Sans MT" w:hAnsi="Gill Sans MT"/>
                <w:color w:val="000000"/>
                <w:szCs w:val="22"/>
              </w:rPr>
              <w:t>). Students = recruited via community engagement/ short courses/ local advertising. Foundation Year = informed by WP, by critical review of existing HE system, and by radical adult education tradition.</w:t>
            </w:r>
          </w:p>
          <w:p w14:paraId="2E558DD4" w14:textId="77777777" w:rsidR="009E630F" w:rsidRPr="005B7547" w:rsidRDefault="009E630F" w:rsidP="009E630F">
            <w:pPr>
              <w:rPr>
                <w:rFonts w:ascii="Gill Sans MT" w:hAnsi="Gill Sans MT"/>
                <w:color w:val="000000"/>
                <w:szCs w:val="22"/>
                <w:lang w:val="en-AU"/>
              </w:rPr>
            </w:pPr>
            <w:r w:rsidRPr="005B7547">
              <w:rPr>
                <w:rFonts w:ascii="Gill Sans MT" w:hAnsi="Gill Sans MT"/>
                <w:color w:val="000000"/>
                <w:szCs w:val="22"/>
              </w:rPr>
              <w:t xml:space="preserve">WP = seen as administrative </w:t>
            </w:r>
            <w:r w:rsidRPr="005B7547">
              <w:rPr>
                <w:rFonts w:ascii="Gill Sans MT" w:hAnsi="Gill Sans MT"/>
                <w:i/>
                <w:color w:val="000000"/>
                <w:szCs w:val="22"/>
              </w:rPr>
              <w:t xml:space="preserve">process: </w:t>
            </w:r>
            <w:r w:rsidRPr="005B7547">
              <w:rPr>
                <w:rFonts w:ascii="Gill Sans MT" w:hAnsi="Gill Sans MT"/>
                <w:color w:val="000000"/>
                <w:szCs w:val="22"/>
              </w:rPr>
              <w:t>“Widening participation as process is also a consequence of the increasingly target driven culture in universities” (p.</w:t>
            </w:r>
            <w:r>
              <w:rPr>
                <w:rFonts w:ascii="Gill Sans MT" w:hAnsi="Gill Sans MT"/>
                <w:color w:val="000000"/>
                <w:szCs w:val="22"/>
              </w:rPr>
              <w:t>60</w:t>
            </w:r>
            <w:r w:rsidRPr="005B7547">
              <w:rPr>
                <w:rFonts w:ascii="Gill Sans MT" w:hAnsi="Gill Sans MT"/>
                <w:color w:val="000000"/>
                <w:szCs w:val="22"/>
              </w:rPr>
              <w:t>). Gives example of OFFA access agreements (which deny/ reduce impact of unsanctioned/ compound disadvantage): “While this renewed focus on widening participation was welcome, in practice it encouraged universities to aim for ‘low-hanging fruit’, such as middle-class students who fulfil the ‘state-educated’ criteria” (p.</w:t>
            </w:r>
            <w:r>
              <w:rPr>
                <w:rFonts w:ascii="Gill Sans MT" w:hAnsi="Gill Sans MT"/>
                <w:color w:val="000000"/>
                <w:szCs w:val="22"/>
              </w:rPr>
              <w:t>60</w:t>
            </w:r>
            <w:r w:rsidRPr="005B7547">
              <w:rPr>
                <w:rFonts w:ascii="Gill Sans MT" w:hAnsi="Gill Sans MT"/>
                <w:color w:val="000000"/>
                <w:szCs w:val="22"/>
              </w:rPr>
              <w:t>)</w:t>
            </w:r>
          </w:p>
          <w:p w14:paraId="232ECF2A"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Asks questions of elite universities in context of WP: “</w:t>
            </w:r>
            <w:r w:rsidRPr="005B7547">
              <w:rPr>
                <w:rFonts w:ascii="Gill Sans MT" w:hAnsi="Gill Sans MT"/>
                <w:color w:val="000000"/>
                <w:szCs w:val="22"/>
              </w:rPr>
              <w:t>what is the role of an individual elite university, and of larger groups of such institutions? Do they have sufficient agency to widen participation or does the climate militate against creative attempts to diversify intake?” (p.</w:t>
            </w:r>
            <w:r>
              <w:rPr>
                <w:rFonts w:ascii="Gill Sans MT" w:hAnsi="Gill Sans MT"/>
                <w:color w:val="000000"/>
                <w:szCs w:val="22"/>
              </w:rPr>
              <w:t>55</w:t>
            </w:r>
            <w:r w:rsidRPr="005B7547">
              <w:rPr>
                <w:rFonts w:ascii="Gill Sans MT" w:hAnsi="Gill Sans MT"/>
                <w:color w:val="000000"/>
                <w:szCs w:val="22"/>
              </w:rPr>
              <w:t>). Ultimately, it asks whether WP = ‘intractable’ or can elite universities be changed from within, and can a small-scale shift (Foundation Year) have broad ripple effect? (see p.</w:t>
            </w:r>
            <w:r>
              <w:rPr>
                <w:rFonts w:ascii="Gill Sans MT" w:hAnsi="Gill Sans MT"/>
                <w:color w:val="000000"/>
                <w:szCs w:val="22"/>
              </w:rPr>
              <w:t>55</w:t>
            </w:r>
            <w:r w:rsidRPr="005B7547">
              <w:rPr>
                <w:rFonts w:ascii="Gill Sans MT" w:hAnsi="Gill Sans MT"/>
                <w:color w:val="000000"/>
                <w:szCs w:val="22"/>
              </w:rPr>
              <w:t>)</w:t>
            </w:r>
          </w:p>
          <w:p w14:paraId="55CE4D3B"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Theoretical frame: </w:t>
            </w:r>
            <w:r w:rsidRPr="005B7547">
              <w:rPr>
                <w:rFonts w:ascii="Gill Sans MT" w:hAnsi="Gill Sans MT"/>
                <w:color w:val="000000"/>
                <w:szCs w:val="22"/>
                <w:lang w:val="en-AU"/>
              </w:rPr>
              <w:t>Critical theory</w:t>
            </w:r>
          </w:p>
          <w:p w14:paraId="6675BB81" w14:textId="77777777" w:rsidR="009E630F" w:rsidRPr="005B7547" w:rsidRDefault="009E630F" w:rsidP="009E630F">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Case study (no explicit discussion)</w:t>
            </w:r>
          </w:p>
          <w:p w14:paraId="4DA7335B" w14:textId="77777777" w:rsidR="009E630F" w:rsidRPr="005B7547" w:rsidRDefault="009E630F" w:rsidP="009E630F">
            <w:pPr>
              <w:rPr>
                <w:rFonts w:ascii="Gill Sans MT" w:hAnsi="Gill Sans MT"/>
                <w:color w:val="000000"/>
                <w:szCs w:val="22"/>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 xml:space="preserve">When designing FY = designers wrote ‘pen portraits’ (imaginaries of particular kinds of excluded students) and used these fictional case studies to ask pre-emptive questions of the course. Also helped to </w:t>
            </w:r>
            <w:r w:rsidRPr="005B7547">
              <w:rPr>
                <w:rFonts w:ascii="Gill Sans MT" w:hAnsi="Gill Sans MT"/>
                <w:color w:val="000000"/>
                <w:szCs w:val="22"/>
                <w:lang w:val="en-AU"/>
              </w:rPr>
              <w:lastRenderedPageBreak/>
              <w:t>mitigate interviewer bias: “</w:t>
            </w:r>
            <w:r w:rsidRPr="005B7547">
              <w:rPr>
                <w:rFonts w:ascii="Gill Sans MT" w:hAnsi="Gill Sans MT"/>
                <w:color w:val="000000"/>
                <w:szCs w:val="22"/>
              </w:rPr>
              <w:t>The pen portraits forced us to focus on specific individuals who face specific obstacles to engaging with higher education, with consequences also for how they might realise other possibilities in their lives” (p.10).</w:t>
            </w:r>
          </w:p>
          <w:p w14:paraId="226A0EB0" w14:textId="77777777" w:rsidR="009E630F" w:rsidRPr="005B7547" w:rsidRDefault="009E630F" w:rsidP="009E630F">
            <w:pPr>
              <w:rPr>
                <w:rFonts w:ascii="Gill Sans MT" w:hAnsi="Gill Sans MT"/>
                <w:color w:val="000000"/>
                <w:szCs w:val="22"/>
              </w:rPr>
            </w:pPr>
            <w:r w:rsidRPr="005B7547">
              <w:rPr>
                <w:rFonts w:ascii="Gill Sans MT" w:hAnsi="Gill Sans MT"/>
                <w:i/>
                <w:color w:val="000000"/>
                <w:szCs w:val="22"/>
              </w:rPr>
              <w:t>Successes</w:t>
            </w:r>
            <w:r w:rsidRPr="005B7547">
              <w:rPr>
                <w:rFonts w:ascii="Gill Sans MT" w:hAnsi="Gill Sans MT"/>
                <w:color w:val="000000"/>
                <w:szCs w:val="22"/>
              </w:rPr>
              <w:t>: first cohort (n=27) was diverse (mature age, no A-levels, local). 89% completed the year and qualified for progression to undergraduate study and strong improvement in grades on written assignments.</w:t>
            </w:r>
          </w:p>
          <w:p w14:paraId="59C24D9A" w14:textId="77777777" w:rsidR="009E630F" w:rsidRPr="005B7547" w:rsidRDefault="009E630F" w:rsidP="009E630F">
            <w:pPr>
              <w:rPr>
                <w:rFonts w:ascii="Gill Sans MT" w:hAnsi="Gill Sans MT"/>
                <w:color w:val="000000"/>
                <w:szCs w:val="22"/>
              </w:rPr>
            </w:pPr>
            <w:r w:rsidRPr="005B7547">
              <w:rPr>
                <w:rFonts w:ascii="Gill Sans MT" w:hAnsi="Gill Sans MT"/>
                <w:color w:val="000000"/>
                <w:szCs w:val="22"/>
              </w:rPr>
              <w:t>Qualitative data = suggests growth in confidence (see example of Rosie on p.11). 21/27 students in undergraduate studies when paper was written. Anecdotally, students were “acting as a magnet for other non-traditional students” (p.</w:t>
            </w:r>
            <w:r>
              <w:rPr>
                <w:rFonts w:ascii="Gill Sans MT" w:hAnsi="Gill Sans MT"/>
                <w:color w:val="000000"/>
                <w:szCs w:val="22"/>
              </w:rPr>
              <w:t>64</w:t>
            </w:r>
            <w:r w:rsidRPr="005B7547">
              <w:rPr>
                <w:rFonts w:ascii="Gill Sans MT" w:hAnsi="Gill Sans MT"/>
                <w:color w:val="000000"/>
                <w:szCs w:val="22"/>
              </w:rPr>
              <w:t>). Furthermore, there were many positives for staff – not just course designers, but also other staff who taught into the course.</w:t>
            </w:r>
          </w:p>
          <w:p w14:paraId="0E27FAB8" w14:textId="77777777" w:rsidR="009E630F" w:rsidRPr="005B7547" w:rsidRDefault="009E630F" w:rsidP="009E630F">
            <w:pPr>
              <w:rPr>
                <w:rFonts w:ascii="Gill Sans MT" w:hAnsi="Gill Sans MT"/>
                <w:color w:val="000000"/>
                <w:szCs w:val="22"/>
              </w:rPr>
            </w:pPr>
            <w:r w:rsidRPr="005B7547">
              <w:rPr>
                <w:rFonts w:ascii="Gill Sans MT" w:hAnsi="Gill Sans MT"/>
                <w:color w:val="000000"/>
                <w:szCs w:val="22"/>
              </w:rPr>
              <w:t>Discussion of limitations: funding, small cohort numbers, course content = designed according to volunteer lecturers (it “tended to focus on Western interventions or legacies” despite efforts otherwise, p.1</w:t>
            </w:r>
            <w:r>
              <w:rPr>
                <w:rFonts w:ascii="Gill Sans MT" w:hAnsi="Gill Sans MT"/>
                <w:color w:val="000000"/>
                <w:szCs w:val="22"/>
              </w:rPr>
              <w:t>8</w:t>
            </w:r>
            <w:r w:rsidRPr="005B7547">
              <w:rPr>
                <w:rFonts w:ascii="Gill Sans MT" w:hAnsi="Gill Sans MT"/>
                <w:color w:val="000000"/>
                <w:szCs w:val="22"/>
              </w:rPr>
              <w:t>), arguably does not do enough to disrupt traditional teacher-student relationships</w:t>
            </w:r>
            <w:r w:rsidRPr="005B7547">
              <w:rPr>
                <w:rFonts w:ascii="Gill Sans MT" w:hAnsi="Gill Sans MT"/>
                <w:b/>
                <w:color w:val="000000"/>
                <w:szCs w:val="22"/>
                <w:lang w:val="en-AU"/>
              </w:rPr>
              <w:br/>
              <w:t xml:space="preserve">Core argument: </w:t>
            </w:r>
            <w:r w:rsidRPr="005B7547">
              <w:rPr>
                <w:rFonts w:ascii="Gill Sans MT" w:hAnsi="Gill Sans MT"/>
                <w:color w:val="000000"/>
                <w:szCs w:val="22"/>
                <w:lang w:val="en-AU"/>
              </w:rPr>
              <w:t>Resistance against creeping uniformity: “</w:t>
            </w:r>
            <w:r w:rsidRPr="005B7547">
              <w:rPr>
                <w:rFonts w:ascii="Gill Sans MT" w:hAnsi="Gill Sans MT"/>
                <w:color w:val="000000"/>
                <w:szCs w:val="22"/>
              </w:rPr>
              <w:t>within a mass higher education system in which uniformity is increasingly emphasised (and necessary for administrative purposes), there is an urgent need for forms of pedagogy that resist and revitalise the dominant university culture” (p.</w:t>
            </w:r>
            <w:r>
              <w:rPr>
                <w:rFonts w:ascii="Gill Sans MT" w:hAnsi="Gill Sans MT"/>
                <w:color w:val="000000"/>
                <w:szCs w:val="22"/>
              </w:rPr>
              <w:t>59</w:t>
            </w:r>
            <w:r w:rsidRPr="005B7547">
              <w:rPr>
                <w:rFonts w:ascii="Gill Sans MT" w:hAnsi="Gill Sans MT"/>
                <w:color w:val="000000"/>
                <w:szCs w:val="22"/>
              </w:rPr>
              <w:t>).</w:t>
            </w:r>
          </w:p>
          <w:p w14:paraId="2ECA1C4B" w14:textId="77777777" w:rsidR="009E630F" w:rsidRPr="005B7547" w:rsidRDefault="009E630F" w:rsidP="009E630F">
            <w:pPr>
              <w:rPr>
                <w:rFonts w:ascii="Gill Sans MT" w:hAnsi="Gill Sans MT"/>
                <w:color w:val="000000"/>
                <w:szCs w:val="22"/>
              </w:rPr>
            </w:pPr>
            <w:r w:rsidRPr="005B7547">
              <w:rPr>
                <w:rFonts w:ascii="Gill Sans MT" w:hAnsi="Gill Sans MT"/>
                <w:color w:val="000000"/>
                <w:szCs w:val="22"/>
              </w:rPr>
              <w:t>WP as pedagogy “abandons the idea that it is some other part of the educational system that is responsible for low participation in the elite institutions – the schools, the applicants, or the families and social backgrounds of the applicants” (p.</w:t>
            </w:r>
            <w:r>
              <w:rPr>
                <w:rFonts w:ascii="Gill Sans MT" w:hAnsi="Gill Sans MT"/>
                <w:color w:val="000000"/>
                <w:szCs w:val="22"/>
              </w:rPr>
              <w:t>63</w:t>
            </w:r>
            <w:r w:rsidRPr="005B7547">
              <w:rPr>
                <w:rFonts w:ascii="Gill Sans MT" w:hAnsi="Gill Sans MT"/>
                <w:color w:val="000000"/>
                <w:szCs w:val="22"/>
              </w:rPr>
              <w:t>).</w:t>
            </w:r>
          </w:p>
          <w:p w14:paraId="7B619E5A" w14:textId="1AAC2C9C" w:rsidR="009E630F" w:rsidRPr="009E630F" w:rsidRDefault="009E630F" w:rsidP="009E630F">
            <w:pPr>
              <w:rPr>
                <w:rFonts w:ascii="Gill Sans MT" w:hAnsi="Gill Sans MT"/>
                <w:b/>
                <w:color w:val="000000"/>
                <w:szCs w:val="22"/>
                <w:lang w:val="en-AU"/>
              </w:rPr>
            </w:pPr>
            <w:r w:rsidRPr="005B7547">
              <w:rPr>
                <w:rFonts w:ascii="Gill Sans MT" w:hAnsi="Gill Sans MT"/>
                <w:color w:val="000000"/>
                <w:szCs w:val="22"/>
              </w:rPr>
              <w:t>“[It is clear that] elite universities are clearly culpable for failing to admit a more representative group of students. It is clear that widening participation is not an ‘intractable’ problem: in fact, it is something that can be addressed quite readily with materials and expertise that universities have in abundance” (p.</w:t>
            </w:r>
            <w:r>
              <w:rPr>
                <w:rFonts w:ascii="Gill Sans MT" w:hAnsi="Gill Sans MT"/>
                <w:color w:val="000000"/>
                <w:szCs w:val="22"/>
              </w:rPr>
              <w:t>70</w:t>
            </w:r>
            <w:r w:rsidRPr="005B7547">
              <w:rPr>
                <w:rFonts w:ascii="Gill Sans MT" w:hAnsi="Gill Sans MT"/>
                <w:color w:val="000000"/>
                <w:szCs w:val="22"/>
              </w:rPr>
              <w:t>).</w:t>
            </w:r>
          </w:p>
        </w:tc>
      </w:tr>
      <w:tr w:rsidR="009E630F" w:rsidRPr="009E630F" w14:paraId="4D8B48FE" w14:textId="77777777" w:rsidTr="000C6DDE">
        <w:tc>
          <w:tcPr>
            <w:tcW w:w="5529" w:type="dxa"/>
          </w:tcPr>
          <w:p w14:paraId="0EBE6BD9" w14:textId="7EE45934" w:rsidR="009E630F" w:rsidRPr="009E630F" w:rsidRDefault="009E630F" w:rsidP="009E630F">
            <w:pPr>
              <w:rPr>
                <w:rFonts w:ascii="Gill Sans MT" w:hAnsi="Gill Sans MT"/>
                <w:szCs w:val="22"/>
              </w:rPr>
            </w:pPr>
            <w:r w:rsidRPr="009E630F">
              <w:rPr>
                <w:rFonts w:ascii="Gill Sans MT" w:hAnsi="Gill Sans MT"/>
                <w:szCs w:val="22"/>
              </w:rPr>
              <w:lastRenderedPageBreak/>
              <w:t xml:space="preserve">Minter, C. (2001). </w:t>
            </w:r>
            <w:hyperlink r:id="rId24" w:history="1">
              <w:r w:rsidRPr="006D3614">
                <w:rPr>
                  <w:rStyle w:val="Hyperlink"/>
                  <w:rFonts w:ascii="Gill Sans MT" w:hAnsi="Gill Sans MT"/>
                  <w:szCs w:val="22"/>
                </w:rPr>
                <w:t>Some flaws in the common theory of ‘widening participation’,</w:t>
              </w:r>
            </w:hyperlink>
            <w:r w:rsidRPr="009E630F">
              <w:rPr>
                <w:rFonts w:ascii="Gill Sans MT" w:hAnsi="Gill Sans MT"/>
                <w:szCs w:val="22"/>
              </w:rPr>
              <w:t xml:space="preserve"> </w:t>
            </w:r>
            <w:r w:rsidRPr="009E630F">
              <w:rPr>
                <w:rFonts w:ascii="Gill Sans MT" w:hAnsi="Gill Sans MT"/>
                <w:i/>
                <w:szCs w:val="22"/>
              </w:rPr>
              <w:t xml:space="preserve">Research in Post-Compulsory Education, </w:t>
            </w:r>
            <w:r w:rsidRPr="009E630F">
              <w:rPr>
                <w:rFonts w:ascii="Gill Sans MT" w:hAnsi="Gill Sans MT"/>
                <w:szCs w:val="22"/>
              </w:rPr>
              <w:t>6(3)</w:t>
            </w:r>
            <w:r w:rsidR="006D3614">
              <w:rPr>
                <w:rFonts w:ascii="Gill Sans MT" w:hAnsi="Gill Sans MT"/>
                <w:szCs w:val="22"/>
              </w:rPr>
              <w:t>,</w:t>
            </w:r>
            <w:r w:rsidRPr="009E630F">
              <w:rPr>
                <w:rFonts w:ascii="Gill Sans MT" w:hAnsi="Gill Sans MT"/>
                <w:szCs w:val="22"/>
              </w:rPr>
              <w:t xml:space="preserve"> 245</w:t>
            </w:r>
            <w:r w:rsidR="006D3614">
              <w:rPr>
                <w:rFonts w:ascii="Gill Sans MT" w:hAnsi="Gill Sans MT"/>
                <w:szCs w:val="22"/>
              </w:rPr>
              <w:t>–</w:t>
            </w:r>
            <w:r w:rsidRPr="009E630F">
              <w:rPr>
                <w:rFonts w:ascii="Gill Sans MT" w:hAnsi="Gill Sans MT"/>
                <w:szCs w:val="22"/>
              </w:rPr>
              <w:t>259.</w:t>
            </w:r>
          </w:p>
          <w:p w14:paraId="3A3C1F1A" w14:textId="77777777" w:rsidR="009E630F" w:rsidRPr="009E630F" w:rsidRDefault="009E630F" w:rsidP="009E630F">
            <w:pPr>
              <w:rPr>
                <w:rFonts w:ascii="Gill Sans MT" w:hAnsi="Gill Sans MT"/>
                <w:szCs w:val="22"/>
              </w:rPr>
            </w:pPr>
          </w:p>
          <w:p w14:paraId="2F81F5EC" w14:textId="77777777" w:rsidR="009E630F" w:rsidRPr="009E630F" w:rsidRDefault="009E630F" w:rsidP="009E630F">
            <w:pPr>
              <w:rPr>
                <w:rFonts w:ascii="Gill Sans MT" w:hAnsi="Gill Sans MT"/>
                <w:szCs w:val="22"/>
              </w:rPr>
            </w:pPr>
            <w:r w:rsidRPr="009E630F">
              <w:rPr>
                <w:rFonts w:ascii="Gill Sans MT" w:hAnsi="Gill Sans MT"/>
                <w:szCs w:val="22"/>
              </w:rPr>
              <w:t>UK</w:t>
            </w:r>
          </w:p>
          <w:p w14:paraId="197253E8" w14:textId="5209BADB" w:rsidR="009E630F" w:rsidRPr="009E630F" w:rsidRDefault="009E630F" w:rsidP="009E630F">
            <w:pPr>
              <w:rPr>
                <w:rFonts w:ascii="Gill Sans MT" w:hAnsi="Gill Sans MT"/>
                <w:szCs w:val="22"/>
              </w:rPr>
            </w:pPr>
            <w:r w:rsidRPr="009E630F">
              <w:rPr>
                <w:rFonts w:ascii="Gill Sans MT" w:hAnsi="Gill Sans MT"/>
                <w:szCs w:val="22"/>
              </w:rPr>
              <w:t>Annotation by Sally Baker</w:t>
            </w:r>
          </w:p>
          <w:p w14:paraId="04D92523" w14:textId="77777777" w:rsidR="009E630F" w:rsidRPr="009E630F" w:rsidRDefault="009E630F" w:rsidP="009E630F">
            <w:pPr>
              <w:rPr>
                <w:rFonts w:ascii="Gill Sans MT" w:hAnsi="Gill Sans MT"/>
                <w:szCs w:val="22"/>
              </w:rPr>
            </w:pPr>
          </w:p>
          <w:p w14:paraId="202A7F1A" w14:textId="12A34835" w:rsidR="009E630F" w:rsidRPr="009E630F" w:rsidRDefault="009E630F" w:rsidP="009E630F">
            <w:pPr>
              <w:rPr>
                <w:rFonts w:ascii="Gill Sans MT" w:hAnsi="Gill Sans MT"/>
                <w:szCs w:val="22"/>
              </w:rPr>
            </w:pPr>
            <w:r w:rsidRPr="009E630F">
              <w:rPr>
                <w:rFonts w:ascii="Gill Sans MT" w:hAnsi="Gill Sans MT"/>
                <w:szCs w:val="22"/>
              </w:rPr>
              <w:t xml:space="preserve">Keywords: </w:t>
            </w:r>
            <w:r w:rsidR="006D3614">
              <w:rPr>
                <w:rFonts w:ascii="Gill Sans MT" w:hAnsi="Gill Sans MT"/>
                <w:i/>
                <w:iCs/>
                <w:szCs w:val="22"/>
              </w:rPr>
              <w:t>lifelong learning, widening participation</w:t>
            </w:r>
          </w:p>
        </w:tc>
        <w:tc>
          <w:tcPr>
            <w:tcW w:w="10064" w:type="dxa"/>
          </w:tcPr>
          <w:p w14:paraId="037B9D93"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Outlines and critiques WP model, drawing on international research from USA, Palestine and Singapore. Offers critique of intention to expand access (from 3 UK reports on lifelong learning: Kennedy, Dearing, Fryer)</w:t>
            </w:r>
          </w:p>
          <w:p w14:paraId="3858BB69"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Aim: </w:t>
            </w:r>
            <w:r w:rsidRPr="009E630F">
              <w:rPr>
                <w:rFonts w:ascii="Gill Sans MT" w:hAnsi="Gill Sans MT"/>
                <w:color w:val="000000"/>
                <w:szCs w:val="22"/>
                <w:lang w:val="en-AU"/>
              </w:rPr>
              <w:t>To outline a critique of WP as articulated by 3 UK reports and other UK-based work</w:t>
            </w:r>
          </w:p>
          <w:p w14:paraId="3F1A8F06"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Theoretical frame: </w:t>
            </w:r>
            <w:r w:rsidRPr="009E630F">
              <w:rPr>
                <w:rFonts w:ascii="Gill Sans MT" w:hAnsi="Gill Sans MT"/>
                <w:color w:val="000000"/>
                <w:szCs w:val="22"/>
                <w:lang w:val="en-AU"/>
              </w:rPr>
              <w:t>Foucault and Bourdieu</w:t>
            </w:r>
          </w:p>
          <w:p w14:paraId="78EDB7E3"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Methodology:  </w:t>
            </w:r>
            <w:r w:rsidRPr="009E630F">
              <w:rPr>
                <w:rFonts w:ascii="Gill Sans MT" w:hAnsi="Gill Sans MT"/>
                <w:color w:val="000000"/>
                <w:szCs w:val="22"/>
                <w:lang w:val="en-AU"/>
              </w:rPr>
              <w:t>Essay</w:t>
            </w:r>
          </w:p>
          <w:p w14:paraId="52B47015" w14:textId="77777777" w:rsidR="009E630F" w:rsidRPr="009E630F" w:rsidRDefault="009E630F" w:rsidP="009E630F">
            <w:pPr>
              <w:rPr>
                <w:rFonts w:ascii="Gill Sans MT" w:hAnsi="Gill Sans MT"/>
                <w:color w:val="000000"/>
                <w:szCs w:val="22"/>
                <w:lang w:val="en-AU"/>
              </w:rPr>
            </w:pPr>
            <w:r w:rsidRPr="009E630F">
              <w:rPr>
                <w:rFonts w:ascii="Gill Sans MT" w:hAnsi="Gill Sans MT"/>
                <w:b/>
                <w:color w:val="000000"/>
                <w:szCs w:val="22"/>
                <w:lang w:val="en-AU"/>
              </w:rPr>
              <w:t xml:space="preserve">Findings: </w:t>
            </w:r>
            <w:r w:rsidRPr="009E630F">
              <w:rPr>
                <w:rFonts w:ascii="Gill Sans MT" w:hAnsi="Gill Sans MT"/>
                <w:color w:val="000000"/>
                <w:szCs w:val="22"/>
                <w:lang w:val="en-AU"/>
              </w:rPr>
              <w:t>Critiques positioning of WP/ expanded access in key publications/ reports:</w:t>
            </w:r>
          </w:p>
          <w:p w14:paraId="6F3CAFC4"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AU"/>
              </w:rPr>
              <w:t xml:space="preserve">Maguire et al. (1996) – report for </w:t>
            </w:r>
            <w:proofErr w:type="spellStart"/>
            <w:r w:rsidRPr="009E630F">
              <w:rPr>
                <w:rFonts w:ascii="Gill Sans MT" w:hAnsi="Gill Sans MT"/>
                <w:color w:val="000000"/>
                <w:szCs w:val="22"/>
                <w:lang w:val="en-AU"/>
              </w:rPr>
              <w:t>DfEE</w:t>
            </w:r>
            <w:proofErr w:type="spellEnd"/>
            <w:r w:rsidRPr="009E630F">
              <w:rPr>
                <w:rFonts w:ascii="Gill Sans MT" w:hAnsi="Gill Sans MT"/>
                <w:color w:val="000000"/>
                <w:szCs w:val="22"/>
                <w:lang w:val="en-AU"/>
              </w:rPr>
              <w:t>: “</w:t>
            </w:r>
            <w:r w:rsidRPr="009E630F">
              <w:rPr>
                <w:rFonts w:ascii="Gill Sans MT" w:hAnsi="Gill Sans MT"/>
                <w:color w:val="000000"/>
                <w:szCs w:val="22"/>
                <w:lang w:val="en-US"/>
              </w:rPr>
              <w:t>This was very much an approach based upon individual commitment to learning rather than seeking to identify structural barriers that were inhibiting these groups” (p.246).</w:t>
            </w:r>
          </w:p>
          <w:p w14:paraId="062FDFC1"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 xml:space="preserve">Macrae, Maguire &amp; Ball (1998; ESRC-funded) – looked at 16-19 year olds and classified into typology of 5 ‘crude’ categories: outsiders, hangers in, pragmatic acceptors, notional acceptors, embedded acceptors. </w:t>
            </w:r>
            <w:r w:rsidRPr="009E630F">
              <w:rPr>
                <w:rFonts w:ascii="Gill Sans MT" w:hAnsi="Gill Sans MT"/>
                <w:color w:val="000000"/>
                <w:szCs w:val="22"/>
                <w:lang w:val="en-US"/>
              </w:rPr>
              <w:lastRenderedPageBreak/>
              <w:t>Minter = critical of visual descriptor (concentric circles) for suggesting that these are separate categories with ‘traditional’ students placed in centre (which Minter describes as “narcissistic” (p.248), thus rendering the analysis as overly-simplistic.</w:t>
            </w:r>
          </w:p>
          <w:p w14:paraId="75A791CD"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 xml:space="preserve">Discussion of what actually counts as ‘non participation’ and what counts as ‘lifelong learning’ – is it only formal education? (and contesting the ‘bolt-on’ approach taken by FE colleges). Minter notes argument by </w:t>
            </w:r>
            <w:proofErr w:type="spellStart"/>
            <w:r w:rsidRPr="009E630F">
              <w:rPr>
                <w:rFonts w:ascii="Gill Sans MT" w:hAnsi="Gill Sans MT"/>
                <w:color w:val="000000"/>
                <w:szCs w:val="22"/>
                <w:lang w:val="en-US"/>
              </w:rPr>
              <w:t>Ilon</w:t>
            </w:r>
            <w:proofErr w:type="spellEnd"/>
            <w:r w:rsidRPr="009E630F">
              <w:rPr>
                <w:rFonts w:ascii="Gill Sans MT" w:hAnsi="Gill Sans MT"/>
                <w:color w:val="000000"/>
                <w:szCs w:val="22"/>
                <w:lang w:val="en-US"/>
              </w:rPr>
              <w:t xml:space="preserve"> (1997) about how educating ‘the poor’ is not based on altruistic rationale, but instead an economic one. </w:t>
            </w:r>
          </w:p>
          <w:p w14:paraId="3891697F"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 xml:space="preserve">Identifies four flaws in the premise of WP (using </w:t>
            </w:r>
            <w:proofErr w:type="spellStart"/>
            <w:r w:rsidRPr="009E630F">
              <w:rPr>
                <w:rFonts w:ascii="Gill Sans MT" w:hAnsi="Gill Sans MT"/>
                <w:color w:val="000000"/>
                <w:szCs w:val="22"/>
                <w:lang w:val="en-US"/>
              </w:rPr>
              <w:t>Bourdieusian</w:t>
            </w:r>
            <w:proofErr w:type="spellEnd"/>
            <w:r w:rsidRPr="009E630F">
              <w:rPr>
                <w:rFonts w:ascii="Gill Sans MT" w:hAnsi="Gill Sans MT"/>
                <w:color w:val="000000"/>
                <w:szCs w:val="22"/>
                <w:lang w:val="en-US"/>
              </w:rPr>
              <w:t xml:space="preserve"> and </w:t>
            </w:r>
            <w:proofErr w:type="spellStart"/>
            <w:r w:rsidRPr="009E630F">
              <w:rPr>
                <w:rFonts w:ascii="Gill Sans MT" w:hAnsi="Gill Sans MT"/>
                <w:color w:val="000000"/>
                <w:szCs w:val="22"/>
                <w:lang w:val="en-US"/>
              </w:rPr>
              <w:t>Foulcauldian</w:t>
            </w:r>
            <w:proofErr w:type="spellEnd"/>
            <w:r w:rsidRPr="009E630F">
              <w:rPr>
                <w:rFonts w:ascii="Gill Sans MT" w:hAnsi="Gill Sans MT"/>
                <w:color w:val="000000"/>
                <w:szCs w:val="22"/>
                <w:lang w:val="en-US"/>
              </w:rPr>
              <w:t xml:space="preserve"> theory):</w:t>
            </w:r>
          </w:p>
          <w:p w14:paraId="3D890913"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Flaw 1: WP = single loop learning (resolve an issue without questioning how it evolved); WP focuses on strategies rather than the underlying causes of inequity.</w:t>
            </w:r>
          </w:p>
          <w:p w14:paraId="4D2DF2DF"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 xml:space="preserve">Flaw 2: WP often focuses (blame) on the individual, rather than questioning the inadequacy of the education on offer: first, ‘blind acceptance’ of poor schooling leading to non-participation in post-compulsory education; second, </w:t>
            </w:r>
            <w:proofErr w:type="spellStart"/>
            <w:r w:rsidRPr="009E630F">
              <w:rPr>
                <w:rFonts w:ascii="Gill Sans MT" w:hAnsi="Gill Sans MT"/>
                <w:color w:val="000000"/>
                <w:szCs w:val="22"/>
                <w:lang w:val="en-US"/>
              </w:rPr>
              <w:t>tendancy</w:t>
            </w:r>
            <w:proofErr w:type="spellEnd"/>
            <w:r w:rsidRPr="009E630F">
              <w:rPr>
                <w:rFonts w:ascii="Gill Sans MT" w:hAnsi="Gill Sans MT"/>
                <w:color w:val="000000"/>
                <w:szCs w:val="22"/>
                <w:lang w:val="en-US"/>
              </w:rPr>
              <w:t xml:space="preserve"> to label students into groupings that don’t really exist = Minter makes connection to habitus here.</w:t>
            </w:r>
          </w:p>
          <w:p w14:paraId="76CB2E19" w14:textId="77777777" w:rsidR="009E630F" w:rsidRPr="009E630F" w:rsidRDefault="009E630F" w:rsidP="009E630F">
            <w:pPr>
              <w:rPr>
                <w:rFonts w:ascii="Gill Sans MT" w:hAnsi="Gill Sans MT"/>
                <w:color w:val="000000"/>
                <w:szCs w:val="22"/>
                <w:lang w:val="en-US"/>
              </w:rPr>
            </w:pPr>
            <w:r w:rsidRPr="009E630F">
              <w:rPr>
                <w:rFonts w:ascii="Gill Sans MT" w:hAnsi="Gill Sans MT"/>
                <w:color w:val="000000"/>
                <w:szCs w:val="22"/>
                <w:lang w:val="en-US"/>
              </w:rPr>
              <w:t>Flaw 3: Ignorance of ‘trajectories’ (drawing on Bourdieu) and habitus.</w:t>
            </w:r>
          </w:p>
          <w:p w14:paraId="195ADADE" w14:textId="6BB47428" w:rsidR="009E630F" w:rsidRPr="009E630F" w:rsidRDefault="009E630F" w:rsidP="009E630F">
            <w:pPr>
              <w:rPr>
                <w:rFonts w:ascii="Gill Sans MT" w:hAnsi="Gill Sans MT"/>
                <w:b/>
                <w:color w:val="000000"/>
                <w:szCs w:val="22"/>
                <w:lang w:val="en-AU"/>
              </w:rPr>
            </w:pPr>
            <w:r w:rsidRPr="009E630F">
              <w:rPr>
                <w:rFonts w:ascii="Gill Sans MT" w:hAnsi="Gill Sans MT"/>
                <w:color w:val="000000"/>
                <w:szCs w:val="22"/>
                <w:lang w:val="en-US"/>
              </w:rPr>
              <w:t xml:space="preserve">Flaw 4: Ignorance of power to </w:t>
            </w:r>
            <w:proofErr w:type="spellStart"/>
            <w:r w:rsidRPr="009E630F">
              <w:rPr>
                <w:rFonts w:ascii="Gill Sans MT" w:hAnsi="Gill Sans MT"/>
                <w:color w:val="000000"/>
                <w:szCs w:val="22"/>
                <w:lang w:val="en-US"/>
              </w:rPr>
              <w:t>normalise</w:t>
            </w:r>
            <w:proofErr w:type="spellEnd"/>
            <w:r w:rsidRPr="009E630F">
              <w:rPr>
                <w:rFonts w:ascii="Gill Sans MT" w:hAnsi="Gill Sans MT"/>
                <w:color w:val="000000"/>
                <w:szCs w:val="22"/>
                <w:lang w:val="en-US"/>
              </w:rPr>
              <w:t xml:space="preserve"> patterns of participation (Foucault); aka ‘it’s not for me’</w:t>
            </w:r>
            <w:r w:rsidRPr="009E630F">
              <w:rPr>
                <w:rFonts w:ascii="Gill Sans MT" w:hAnsi="Gill Sans MT"/>
                <w:b/>
                <w:color w:val="000000"/>
                <w:szCs w:val="22"/>
                <w:lang w:val="en-AU"/>
              </w:rPr>
              <w:br/>
              <w:t xml:space="preserve">Core argument: </w:t>
            </w:r>
            <w:r w:rsidRPr="009E630F">
              <w:rPr>
                <w:rFonts w:ascii="Gill Sans MT" w:hAnsi="Gill Sans MT"/>
                <w:color w:val="000000"/>
                <w:szCs w:val="22"/>
                <w:lang w:val="en-AU"/>
              </w:rPr>
              <w:t>Need to acknowledge that WP is complex</w:t>
            </w:r>
          </w:p>
        </w:tc>
      </w:tr>
      <w:tr w:rsidR="00786FA7" w:rsidRPr="009E630F" w14:paraId="5C2F1B4F" w14:textId="77777777" w:rsidTr="000C6DDE">
        <w:tc>
          <w:tcPr>
            <w:tcW w:w="5529" w:type="dxa"/>
          </w:tcPr>
          <w:p w14:paraId="2505D8F7" w14:textId="77777777" w:rsidR="00786FA7" w:rsidRPr="005B7547" w:rsidRDefault="00786FA7" w:rsidP="00786FA7">
            <w:pPr>
              <w:rPr>
                <w:rFonts w:ascii="Gill Sans MT" w:hAnsi="Gill Sans MT"/>
                <w:szCs w:val="22"/>
              </w:rPr>
            </w:pPr>
            <w:r w:rsidRPr="005B7547">
              <w:rPr>
                <w:rFonts w:ascii="Gill Sans MT" w:hAnsi="Gill Sans MT"/>
                <w:szCs w:val="22"/>
              </w:rPr>
              <w:lastRenderedPageBreak/>
              <w:t xml:space="preserve">Murray, N. (2013). </w:t>
            </w:r>
            <w:hyperlink r:id="rId25" w:history="1">
              <w:r w:rsidRPr="005B7547">
                <w:rPr>
                  <w:rStyle w:val="Hyperlink"/>
                  <w:rFonts w:ascii="Gill Sans MT" w:hAnsi="Gill Sans MT"/>
                  <w:szCs w:val="22"/>
                </w:rPr>
                <w:t>Widening participation and English language proficiency: a convergence with implications for assessment practices in higher education</w:t>
              </w:r>
            </w:hyperlink>
            <w:r w:rsidRPr="005B7547">
              <w:rPr>
                <w:rFonts w:ascii="Gill Sans MT" w:hAnsi="Gill Sans MT"/>
                <w:szCs w:val="22"/>
              </w:rPr>
              <w:t xml:space="preserve">, </w:t>
            </w:r>
            <w:r w:rsidRPr="005B7547">
              <w:rPr>
                <w:rFonts w:ascii="Gill Sans MT" w:hAnsi="Gill Sans MT"/>
                <w:i/>
                <w:szCs w:val="22"/>
              </w:rPr>
              <w:t>Studies in Higher Education</w:t>
            </w:r>
            <w:r w:rsidRPr="005B7547">
              <w:rPr>
                <w:rFonts w:ascii="Gill Sans MT" w:hAnsi="Gill Sans MT"/>
                <w:szCs w:val="22"/>
              </w:rPr>
              <w:t>, 38(2</w:t>
            </w:r>
            <w:r>
              <w:rPr>
                <w:rFonts w:ascii="Gill Sans MT" w:hAnsi="Gill Sans MT"/>
                <w:szCs w:val="22"/>
              </w:rPr>
              <w:t>),</w:t>
            </w:r>
            <w:r w:rsidRPr="005B7547">
              <w:rPr>
                <w:rFonts w:ascii="Gill Sans MT" w:hAnsi="Gill Sans MT"/>
                <w:szCs w:val="22"/>
              </w:rPr>
              <w:t xml:space="preserve"> 299</w:t>
            </w:r>
            <w:r>
              <w:rPr>
                <w:rFonts w:ascii="Gill Sans MT" w:hAnsi="Gill Sans MT"/>
                <w:szCs w:val="22"/>
              </w:rPr>
              <w:t>–</w:t>
            </w:r>
            <w:r w:rsidRPr="005B7547">
              <w:rPr>
                <w:rFonts w:ascii="Gill Sans MT" w:hAnsi="Gill Sans MT"/>
                <w:szCs w:val="22"/>
              </w:rPr>
              <w:t>311.</w:t>
            </w:r>
          </w:p>
          <w:p w14:paraId="6C6137BF" w14:textId="77777777" w:rsidR="00786FA7" w:rsidRPr="005B7547" w:rsidRDefault="00786FA7" w:rsidP="00786FA7">
            <w:pPr>
              <w:rPr>
                <w:rFonts w:ascii="Gill Sans MT" w:hAnsi="Gill Sans MT"/>
                <w:szCs w:val="22"/>
              </w:rPr>
            </w:pPr>
          </w:p>
          <w:p w14:paraId="68A4872E" w14:textId="77777777" w:rsidR="00786FA7" w:rsidRPr="005B7547" w:rsidRDefault="00786FA7" w:rsidP="00786FA7">
            <w:pPr>
              <w:rPr>
                <w:rFonts w:ascii="Gill Sans MT" w:hAnsi="Gill Sans MT"/>
                <w:szCs w:val="22"/>
              </w:rPr>
            </w:pPr>
            <w:r w:rsidRPr="005B7547">
              <w:rPr>
                <w:rFonts w:ascii="Gill Sans MT" w:hAnsi="Gill Sans MT"/>
                <w:szCs w:val="22"/>
              </w:rPr>
              <w:t>AUS</w:t>
            </w:r>
          </w:p>
          <w:p w14:paraId="0AE2E607" w14:textId="77777777" w:rsidR="00786FA7" w:rsidRPr="009A1CE0" w:rsidRDefault="00786FA7" w:rsidP="00786FA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3D9F46C0" w14:textId="77777777" w:rsidR="00786FA7" w:rsidRPr="005B7547" w:rsidRDefault="00786FA7" w:rsidP="00786FA7">
            <w:pPr>
              <w:rPr>
                <w:rFonts w:ascii="Gill Sans MT" w:hAnsi="Gill Sans MT"/>
                <w:szCs w:val="22"/>
              </w:rPr>
            </w:pPr>
          </w:p>
          <w:p w14:paraId="32C43D92" w14:textId="226A1409" w:rsidR="00786FA7" w:rsidRPr="009E630F" w:rsidRDefault="00786FA7" w:rsidP="00786FA7">
            <w:pPr>
              <w:rPr>
                <w:rFonts w:ascii="Gill Sans MT" w:hAnsi="Gill Sans MT"/>
                <w:szCs w:val="22"/>
              </w:rPr>
            </w:pPr>
            <w:r w:rsidRPr="005B7547">
              <w:rPr>
                <w:rFonts w:ascii="Gill Sans MT" w:hAnsi="Gill Sans MT"/>
                <w:szCs w:val="22"/>
              </w:rPr>
              <w:t xml:space="preserve">Keywords: </w:t>
            </w:r>
            <w:r w:rsidRPr="005B7547">
              <w:rPr>
                <w:rFonts w:ascii="Gill Sans MT" w:hAnsi="Gill Sans MT"/>
                <w:i/>
                <w:szCs w:val="22"/>
              </w:rPr>
              <w:t>widening participation; English language proficiency; post-enrolment; language assessment; language competence of non-traditional students</w:t>
            </w:r>
          </w:p>
        </w:tc>
        <w:tc>
          <w:tcPr>
            <w:tcW w:w="10064" w:type="dxa"/>
          </w:tcPr>
          <w:p w14:paraId="5A8F6067"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 xml:space="preserve">Explores interconnections between WP agenda and English language proficiency (assessment and support) in context of diverse student population (as a result of massification). Examines the efficacy and argues for/against the use of post-enrolment English assessments (PELAs). Interconnection between WP &amp; language proficiency = not restricted to NESB, although NESB is often focus. Issues with proficiency prevail despite entry requirements leading to some teachers ‘toning down’ their courses to accommodate linguistically diverse cohort [but this is not often the case; perhaps tutors are toning down marks/grades]. For students, lower than needed proficiency leads to attrition, lack of engagement, stigma, “potential source of real trauma”, reinforcing “latent feelings of a lack of self-efficacy” and can lead to issues getting work after graduating (p.300). </w:t>
            </w:r>
          </w:p>
          <w:p w14:paraId="49724607" w14:textId="77777777" w:rsidR="00786FA7" w:rsidRPr="005B7547" w:rsidRDefault="00786FA7" w:rsidP="00786FA7">
            <w:pPr>
              <w:rPr>
                <w:rFonts w:ascii="Gill Sans MT" w:hAnsi="Gill Sans MT"/>
                <w:color w:val="000000"/>
                <w:szCs w:val="22"/>
                <w:lang w:val="en-AU"/>
              </w:rPr>
            </w:pPr>
            <w:r w:rsidRPr="005B7547">
              <w:rPr>
                <w:rFonts w:ascii="Gill Sans MT" w:hAnsi="Gill Sans MT"/>
                <w:color w:val="000000"/>
                <w:szCs w:val="22"/>
                <w:lang w:val="en-AU"/>
              </w:rPr>
              <w:t>Policy context = DEEWR doc ‘Good practice principles for English language proficiency for international students in Australian universities’. English language also aligned with national economic (neoliberal goals) in Bradley Review (</w:t>
            </w:r>
            <w:proofErr w:type="spellStart"/>
            <w:r w:rsidRPr="005B7547">
              <w:rPr>
                <w:rFonts w:ascii="Gill Sans MT" w:hAnsi="Gill Sans MT"/>
                <w:color w:val="000000"/>
                <w:szCs w:val="22"/>
                <w:lang w:val="en-AU"/>
              </w:rPr>
              <w:t>p.xi</w:t>
            </w:r>
            <w:proofErr w:type="spellEnd"/>
            <w:r w:rsidRPr="005B7547">
              <w:rPr>
                <w:rFonts w:ascii="Gill Sans MT" w:hAnsi="Gill Sans MT"/>
                <w:color w:val="000000"/>
                <w:szCs w:val="22"/>
                <w:lang w:val="en-AU"/>
              </w:rPr>
              <w:t xml:space="preserve">). </w:t>
            </w:r>
            <w:r w:rsidRPr="005B7547">
              <w:rPr>
                <w:rFonts w:ascii="Gill Sans MT" w:hAnsi="Gill Sans MT"/>
                <w:b/>
                <w:color w:val="000000"/>
                <w:szCs w:val="22"/>
                <w:lang w:val="en-AU"/>
              </w:rPr>
              <w:t>However</w:t>
            </w:r>
            <w:r w:rsidRPr="005B7547">
              <w:rPr>
                <w:rFonts w:ascii="Gill Sans MT" w:hAnsi="Gill Sans MT"/>
                <w:color w:val="000000"/>
                <w:szCs w:val="22"/>
                <w:lang w:val="en-AU"/>
              </w:rPr>
              <w:t xml:space="preserve">, English proficiency causes issues for native speakers too (acknowledged in DEEWR doc): Native speakers (inc. domestic LBOTE students) often not asked to demonstrate ‘adequate’ proficiency (p.302): “few if any students, whether native speakers or NESB, domestic or international, will come adequately equipped with the specific set of academic literacy practices they require for their particular degree” (p.303) – makes case for embedding ac </w:t>
            </w:r>
            <w:proofErr w:type="spellStart"/>
            <w:r w:rsidRPr="005B7547">
              <w:rPr>
                <w:rFonts w:ascii="Gill Sans MT" w:hAnsi="Gill Sans MT"/>
                <w:color w:val="000000"/>
                <w:szCs w:val="22"/>
                <w:lang w:val="en-AU"/>
              </w:rPr>
              <w:t>lits</w:t>
            </w:r>
            <w:proofErr w:type="spellEnd"/>
            <w:r w:rsidRPr="005B7547">
              <w:rPr>
                <w:rFonts w:ascii="Gill Sans MT" w:hAnsi="Gill Sans MT"/>
                <w:color w:val="000000"/>
                <w:szCs w:val="22"/>
                <w:lang w:val="en-AU"/>
              </w:rPr>
              <w:t xml:space="preserve"> into curriculum based on notion that “subject lecturers </w:t>
            </w:r>
            <w:r w:rsidRPr="005B7547">
              <w:rPr>
                <w:rFonts w:ascii="Gill Sans MT" w:hAnsi="Gill Sans MT"/>
                <w:color w:val="000000"/>
                <w:szCs w:val="22"/>
                <w:lang w:val="en-AU"/>
              </w:rPr>
              <w:lastRenderedPageBreak/>
              <w:t>can reasonably be expected to have an implicit knowledge of the academic literacies and communication skills [of their discipline]… many will require professional development by English language and communication specialists to help them articulate and acquire a good understanding of [what they] demonstrate unconsciously on a daily basis, along with the associated pedagogies for their delivery” (p.304). Embedding = acknowledged as likely to be challenging and long-term, requiring cultural change; argument made that if done sensitively and collaboratively, it will reduce need for English language specialists and professional development (as new academics replace old) if embedding/ awareness raising = common place in academic teaching courses.</w:t>
            </w:r>
          </w:p>
          <w:p w14:paraId="3FF568FD"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To consider some issues related to the implementation of post-enrolment English tests</w:t>
            </w:r>
          </w:p>
          <w:p w14:paraId="44C981B5"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Theoretical frame: </w:t>
            </w:r>
            <w:r w:rsidRPr="005B7547">
              <w:rPr>
                <w:rFonts w:ascii="Gill Sans MT" w:hAnsi="Gill Sans MT"/>
                <w:color w:val="000000"/>
                <w:szCs w:val="22"/>
                <w:lang w:val="en-AU"/>
              </w:rPr>
              <w:t>Draws on own posited notion (Murray, 2010) of language proficiency as composed of three intersecting but distinct components: proficiency as “a set of generic skills and abilities” (grammar, punctuation, fluency, skills), academic literacy (refs to Lea &amp; Street) and professional communication skills [prosaic, pragmatic features?]. Uses word ‘skills’ a lot</w:t>
            </w:r>
          </w:p>
          <w:p w14:paraId="0181E7C1"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Essay</w:t>
            </w:r>
          </w:p>
          <w:p w14:paraId="6FA49946"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Core argument: </w:t>
            </w:r>
            <w:r w:rsidRPr="005B7547">
              <w:rPr>
                <w:rFonts w:ascii="Gill Sans MT" w:hAnsi="Gill Sans MT"/>
                <w:color w:val="000000"/>
                <w:szCs w:val="22"/>
                <w:lang w:val="en-AU"/>
              </w:rPr>
              <w:t xml:space="preserve">How to implement PELAs? Need to be cost-efficient and bring required improvements (p.305). Need to think about validity and reliability of assessment design (definition of valid PELA offered on p.307), but also think about the potential reputational risk/ kudos that PELA could </w:t>
            </w:r>
            <w:proofErr w:type="gramStart"/>
            <w:r w:rsidRPr="005B7547">
              <w:rPr>
                <w:rFonts w:ascii="Gill Sans MT" w:hAnsi="Gill Sans MT"/>
                <w:color w:val="000000"/>
                <w:szCs w:val="22"/>
                <w:lang w:val="en-AU"/>
              </w:rPr>
              <w:t>bring:</w:t>
            </w:r>
            <w:proofErr w:type="gramEnd"/>
            <w:r w:rsidRPr="005B7547">
              <w:rPr>
                <w:rFonts w:ascii="Gill Sans MT" w:hAnsi="Gill Sans MT"/>
                <w:color w:val="000000"/>
                <w:szCs w:val="22"/>
                <w:lang w:val="en-AU"/>
              </w:rPr>
              <w:t xml:space="preserve"> English language learners may look on it favourably (if follow-up provision also provided) or less favourably. Poses questions: what should be tested, who should be tested and how should they be tested? Proficiency can be the “only sensible focus” given that academic literacy and professional communication should be taught as part of course. </w:t>
            </w:r>
          </w:p>
          <w:p w14:paraId="2D7AD44B" w14:textId="1898FB2F" w:rsidR="00786FA7" w:rsidRPr="009E630F" w:rsidRDefault="00786FA7" w:rsidP="00786FA7">
            <w:pPr>
              <w:rPr>
                <w:rFonts w:ascii="Gill Sans MT" w:hAnsi="Gill Sans MT"/>
                <w:b/>
                <w:color w:val="000000"/>
                <w:szCs w:val="22"/>
                <w:lang w:val="en-AU"/>
              </w:rPr>
            </w:pPr>
            <w:r w:rsidRPr="005B7547">
              <w:rPr>
                <w:rFonts w:ascii="Gill Sans MT" w:hAnsi="Gill Sans MT"/>
                <w:color w:val="000000"/>
                <w:szCs w:val="22"/>
                <w:u w:val="single"/>
                <w:lang w:val="en-AU"/>
              </w:rPr>
              <w:t>Issues</w:t>
            </w:r>
            <w:r w:rsidRPr="005B7547">
              <w:rPr>
                <w:rFonts w:ascii="Gill Sans MT" w:hAnsi="Gill Sans MT"/>
                <w:color w:val="000000"/>
                <w:szCs w:val="22"/>
                <w:lang w:val="en-AU"/>
              </w:rPr>
              <w:t xml:space="preserve">: how to identify who to test? Who are the at-risk groups? Who might slip through the net? If PELA is elective, some ‘at-risk’ students may not be assessed; thus “the only watertight alternative is to test </w:t>
            </w:r>
            <w:r w:rsidRPr="005B7547">
              <w:rPr>
                <w:rFonts w:ascii="Gill Sans MT" w:hAnsi="Gill Sans MT"/>
                <w:i/>
                <w:color w:val="000000"/>
                <w:szCs w:val="22"/>
                <w:lang w:val="en-AU"/>
              </w:rPr>
              <w:t>all</w:t>
            </w:r>
            <w:r w:rsidRPr="005B7547">
              <w:rPr>
                <w:rFonts w:ascii="Gill Sans MT" w:hAnsi="Gill Sans MT"/>
                <w:color w:val="000000"/>
                <w:szCs w:val="22"/>
                <w:lang w:val="en-AU"/>
              </w:rPr>
              <w:t xml:space="preserve"> newly enrolled students” (p.306) – but this would be (more) expensive and logistically complicated. Alternative to PELA (as a test) is to use early piece of assessed work as diagnostic (under controlled conditions and within prescribed rubric/ length rules). This would have to be conducted early enough for support needs to be identified and implemented. Who would mark? Faculty staff or English language specialists? Needs broad consultation within institutions: “Only then can institutions feel confident they are meeting their ethical and educational responsibilities to those non-traditional student cohorts whose interests they espouse, and whose successes or failures both during and following their studies will reflect on their graduating universities” (p.309).</w:t>
            </w:r>
          </w:p>
        </w:tc>
      </w:tr>
      <w:tr w:rsidR="00786FA7" w:rsidRPr="009E630F" w14:paraId="3752EB9A" w14:textId="77777777" w:rsidTr="000C6DDE">
        <w:tc>
          <w:tcPr>
            <w:tcW w:w="5529" w:type="dxa"/>
          </w:tcPr>
          <w:p w14:paraId="2CB51DC1" w14:textId="2E98FA79" w:rsidR="00786FA7" w:rsidRPr="005B7547" w:rsidRDefault="00786FA7" w:rsidP="00786FA7">
            <w:pPr>
              <w:rPr>
                <w:rFonts w:ascii="Gill Sans MT" w:hAnsi="Gill Sans MT"/>
                <w:szCs w:val="22"/>
              </w:rPr>
            </w:pPr>
            <w:r w:rsidRPr="005B7547">
              <w:rPr>
                <w:rFonts w:ascii="Gill Sans MT" w:hAnsi="Gill Sans MT"/>
                <w:szCs w:val="22"/>
              </w:rPr>
              <w:lastRenderedPageBreak/>
              <w:t xml:space="preserve">Reed, R.; King, A.; &amp; Whiteford, G. (2015). </w:t>
            </w:r>
            <w:hyperlink r:id="rId26" w:history="1">
              <w:r w:rsidRPr="00CA6562">
                <w:rPr>
                  <w:rStyle w:val="Hyperlink"/>
                  <w:rFonts w:ascii="Gill Sans MT" w:hAnsi="Gill Sans MT"/>
                  <w:szCs w:val="22"/>
                </w:rPr>
                <w:t>Re-</w:t>
              </w:r>
              <w:r w:rsidRPr="00CA6562">
                <w:rPr>
                  <w:rStyle w:val="Hyperlink"/>
                  <w:rFonts w:ascii="Gill Sans MT" w:hAnsi="Gill Sans MT"/>
                  <w:szCs w:val="22"/>
                </w:rPr>
                <w:lastRenderedPageBreak/>
                <w:t>conceptualising sustainable widening participation: evaluation, collaboration and evolution,</w:t>
              </w:r>
            </w:hyperlink>
            <w:r w:rsidRPr="005B7547">
              <w:rPr>
                <w:rFonts w:ascii="Gill Sans MT" w:hAnsi="Gill Sans MT"/>
                <w:szCs w:val="22"/>
              </w:rPr>
              <w:t xml:space="preserve"> </w:t>
            </w:r>
            <w:r w:rsidRPr="005B7547">
              <w:rPr>
                <w:rFonts w:ascii="Gill Sans MT" w:hAnsi="Gill Sans MT"/>
                <w:i/>
                <w:szCs w:val="22"/>
              </w:rPr>
              <w:t xml:space="preserve">Higher Education Research &amp; Development, </w:t>
            </w:r>
            <w:r w:rsidRPr="005B7547">
              <w:rPr>
                <w:rFonts w:ascii="Gill Sans MT" w:hAnsi="Gill Sans MT"/>
                <w:szCs w:val="22"/>
              </w:rPr>
              <w:t>34(2)</w:t>
            </w:r>
            <w:r>
              <w:rPr>
                <w:rFonts w:ascii="Gill Sans MT" w:hAnsi="Gill Sans MT"/>
                <w:szCs w:val="22"/>
              </w:rPr>
              <w:t>,</w:t>
            </w:r>
            <w:r w:rsidRPr="005B7547">
              <w:rPr>
                <w:rFonts w:ascii="Gill Sans MT" w:hAnsi="Gill Sans MT"/>
                <w:szCs w:val="22"/>
              </w:rPr>
              <w:t xml:space="preserve"> 383</w:t>
            </w:r>
            <w:r>
              <w:rPr>
                <w:rFonts w:ascii="Gill Sans MT" w:hAnsi="Gill Sans MT"/>
                <w:szCs w:val="22"/>
              </w:rPr>
              <w:t>–</w:t>
            </w:r>
            <w:r w:rsidRPr="005B7547">
              <w:rPr>
                <w:rFonts w:ascii="Gill Sans MT" w:hAnsi="Gill Sans MT"/>
                <w:szCs w:val="22"/>
              </w:rPr>
              <w:t>396.</w:t>
            </w:r>
          </w:p>
          <w:p w14:paraId="3B433A6C" w14:textId="77777777" w:rsidR="00786FA7" w:rsidRPr="005B7547" w:rsidRDefault="00786FA7" w:rsidP="00786FA7">
            <w:pPr>
              <w:rPr>
                <w:rFonts w:ascii="Gill Sans MT" w:hAnsi="Gill Sans MT"/>
                <w:szCs w:val="22"/>
              </w:rPr>
            </w:pPr>
          </w:p>
          <w:p w14:paraId="1D251BC0" w14:textId="77777777" w:rsidR="00786FA7" w:rsidRDefault="00786FA7" w:rsidP="00786FA7">
            <w:pPr>
              <w:rPr>
                <w:rFonts w:ascii="Gill Sans MT" w:hAnsi="Gill Sans MT"/>
                <w:szCs w:val="22"/>
              </w:rPr>
            </w:pPr>
            <w:r w:rsidRPr="005B7547">
              <w:rPr>
                <w:rFonts w:ascii="Gill Sans MT" w:hAnsi="Gill Sans MT"/>
                <w:szCs w:val="22"/>
              </w:rPr>
              <w:t>AUS</w:t>
            </w:r>
          </w:p>
          <w:p w14:paraId="33A65869" w14:textId="77777777" w:rsidR="00786FA7" w:rsidRPr="009A1CE0" w:rsidRDefault="00786FA7" w:rsidP="00786FA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0F9A8ED0" w14:textId="77777777" w:rsidR="00786FA7" w:rsidRPr="005B7547" w:rsidRDefault="00786FA7" w:rsidP="00786FA7">
            <w:pPr>
              <w:rPr>
                <w:rFonts w:ascii="Gill Sans MT" w:hAnsi="Gill Sans MT"/>
                <w:szCs w:val="22"/>
              </w:rPr>
            </w:pPr>
          </w:p>
          <w:p w14:paraId="4B46B3B3" w14:textId="37656CCC" w:rsidR="00786FA7" w:rsidRPr="005B7547" w:rsidRDefault="00786FA7" w:rsidP="00786FA7">
            <w:pPr>
              <w:rPr>
                <w:rFonts w:ascii="Gill Sans MT" w:hAnsi="Gill Sans MT"/>
                <w:szCs w:val="22"/>
              </w:rPr>
            </w:pPr>
            <w:r w:rsidRPr="005B7547">
              <w:rPr>
                <w:rFonts w:ascii="Gill Sans MT" w:hAnsi="Gill Sans MT"/>
                <w:szCs w:val="22"/>
              </w:rPr>
              <w:t xml:space="preserve">Keywords: </w:t>
            </w:r>
            <w:r w:rsidRPr="005B7547">
              <w:rPr>
                <w:rFonts w:ascii="Gill Sans MT" w:hAnsi="Gill Sans MT"/>
                <w:i/>
                <w:szCs w:val="22"/>
              </w:rPr>
              <w:t>diversity, equity, indigenous, media studies, mentoring, widening participation</w:t>
            </w:r>
          </w:p>
        </w:tc>
        <w:tc>
          <w:tcPr>
            <w:tcW w:w="10064" w:type="dxa"/>
          </w:tcPr>
          <w:p w14:paraId="490BA088" w14:textId="77777777" w:rsidR="00786FA7" w:rsidRPr="005B7547" w:rsidRDefault="00786FA7" w:rsidP="00786FA7">
            <w:pPr>
              <w:rPr>
                <w:rFonts w:ascii="Gill Sans MT" w:hAnsi="Gill Sans MT"/>
                <w:color w:val="000000"/>
                <w:szCs w:val="22"/>
              </w:rPr>
            </w:pPr>
            <w:r w:rsidRPr="005B7547">
              <w:rPr>
                <w:rFonts w:ascii="Gill Sans MT" w:hAnsi="Gill Sans MT"/>
                <w:b/>
                <w:color w:val="000000"/>
                <w:szCs w:val="22"/>
                <w:lang w:val="en-AU"/>
              </w:rPr>
              <w:lastRenderedPageBreak/>
              <w:t xml:space="preserve">Context: </w:t>
            </w:r>
            <w:r w:rsidRPr="005B7547">
              <w:rPr>
                <w:rFonts w:ascii="Gill Sans MT" w:hAnsi="Gill Sans MT"/>
                <w:color w:val="000000"/>
                <w:szCs w:val="22"/>
                <w:lang w:val="en-AU"/>
              </w:rPr>
              <w:t xml:space="preserve">Explores future of equity-based initiatives (access and participation-focused), using mentorship </w:t>
            </w:r>
            <w:r w:rsidRPr="005B7547">
              <w:rPr>
                <w:rFonts w:ascii="Gill Sans MT" w:hAnsi="Gill Sans MT"/>
                <w:color w:val="000000"/>
                <w:szCs w:val="22"/>
                <w:lang w:val="en-AU"/>
              </w:rPr>
              <w:lastRenderedPageBreak/>
              <w:t xml:space="preserve">program for Indigenous students in Media Studies at MQ. Mentoring program = HEPPP-funded and targeted at CALD students. Offers overview of European efforts/ commitments to WP (p.384). Authors question the generalised approach taken by governments (block funding) because it </w:t>
            </w:r>
            <w:proofErr w:type="gramStart"/>
            <w:r w:rsidRPr="005B7547">
              <w:rPr>
                <w:rFonts w:ascii="Gill Sans MT" w:hAnsi="Gill Sans MT"/>
                <w:color w:val="000000"/>
                <w:szCs w:val="22"/>
                <w:lang w:val="en-AU"/>
              </w:rPr>
              <w:t>asks</w:t>
            </w:r>
            <w:proofErr w:type="gramEnd"/>
            <w:r w:rsidRPr="005B7547">
              <w:rPr>
                <w:rFonts w:ascii="Gill Sans MT" w:hAnsi="Gill Sans MT"/>
                <w:color w:val="000000"/>
                <w:szCs w:val="22"/>
                <w:lang w:val="en-AU"/>
              </w:rPr>
              <w:t xml:space="preserve"> “</w:t>
            </w:r>
            <w:r w:rsidRPr="005B7547">
              <w:rPr>
                <w:rFonts w:ascii="Gill Sans MT" w:hAnsi="Gill Sans MT"/>
                <w:color w:val="000000"/>
                <w:szCs w:val="22"/>
              </w:rPr>
              <w:t xml:space="preserve">universities to mediate the tension between the need for continuing investment in teaching and research activities, and diverting funding to support students from traditionally under-represented backgrounds” (p.385). Macquarie’s Media Mentorship program = partnership between MQ and SBS – originally for NESB but then extended to Indigenous students. Mentoring program = focused on transition and success, diversification, visibility. </w:t>
            </w:r>
          </w:p>
          <w:p w14:paraId="5E1A53C0"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 xml:space="preserve">To draw from evaluation of </w:t>
            </w:r>
            <w:r w:rsidRPr="005B7547">
              <w:rPr>
                <w:rFonts w:ascii="Gill Sans MT" w:hAnsi="Gill Sans MT"/>
                <w:color w:val="000000"/>
                <w:szCs w:val="22"/>
              </w:rPr>
              <w:t>Macquarie’s Media Mentorship program</w:t>
            </w:r>
          </w:p>
          <w:p w14:paraId="330BDE7E"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Critical evaluation + essay</w:t>
            </w:r>
          </w:p>
          <w:p w14:paraId="69635745" w14:textId="77777777" w:rsidR="00786FA7" w:rsidRPr="005B7547" w:rsidRDefault="00786FA7" w:rsidP="00786FA7">
            <w:pPr>
              <w:rPr>
                <w:rFonts w:ascii="Gill Sans MT" w:hAnsi="Gill Sans MT"/>
                <w:b/>
                <w:color w:val="000000"/>
                <w:szCs w:val="22"/>
                <w:lang w:val="en-AU"/>
              </w:rPr>
            </w:pPr>
            <w:r w:rsidRPr="005B7547">
              <w:rPr>
                <w:rFonts w:ascii="Gill Sans MT" w:hAnsi="Gill Sans MT"/>
                <w:b/>
                <w:color w:val="000000"/>
                <w:szCs w:val="22"/>
                <w:lang w:val="en-AU"/>
              </w:rPr>
              <w:t xml:space="preserve">Findings: </w:t>
            </w:r>
          </w:p>
          <w:p w14:paraId="2317E78E" w14:textId="77777777" w:rsidR="00786FA7" w:rsidRPr="005B7547" w:rsidRDefault="00786FA7" w:rsidP="00786FA7">
            <w:pPr>
              <w:rPr>
                <w:rFonts w:ascii="Gill Sans MT" w:hAnsi="Gill Sans MT"/>
                <w:color w:val="000000"/>
                <w:szCs w:val="22"/>
              </w:rPr>
            </w:pPr>
            <w:r w:rsidRPr="005B7547">
              <w:rPr>
                <w:rFonts w:ascii="Gill Sans MT" w:hAnsi="Gill Sans MT"/>
                <w:color w:val="000000"/>
                <w:szCs w:val="22"/>
                <w:lang w:val="en-AU"/>
              </w:rPr>
              <w:t xml:space="preserve">Evaluation of </w:t>
            </w:r>
            <w:r w:rsidRPr="005B7547">
              <w:rPr>
                <w:rFonts w:ascii="Gill Sans MT" w:hAnsi="Gill Sans MT"/>
                <w:color w:val="000000"/>
                <w:szCs w:val="22"/>
              </w:rPr>
              <w:t>Macquarie’s Media Mentorship program suggested that it had met the first aim (transition and support): increased capacity, increased confidence and sense of belonging, increased motivation and increased social capital + 100% retention rate. 3 components that could be applied more broadly to WP work: evaluation, cross-sectoral collaboration and conceptual evolution.</w:t>
            </w:r>
          </w:p>
          <w:p w14:paraId="671B053B" w14:textId="77777777" w:rsidR="00786FA7" w:rsidRPr="005B7547" w:rsidRDefault="00786FA7" w:rsidP="00786FA7">
            <w:pPr>
              <w:rPr>
                <w:rFonts w:ascii="Gill Sans MT" w:hAnsi="Gill Sans MT"/>
                <w:color w:val="000000"/>
                <w:szCs w:val="22"/>
              </w:rPr>
            </w:pPr>
            <w:r w:rsidRPr="005B7547">
              <w:rPr>
                <w:rFonts w:ascii="Gill Sans MT" w:hAnsi="Gill Sans MT"/>
                <w:i/>
                <w:color w:val="000000"/>
                <w:szCs w:val="22"/>
              </w:rPr>
              <w:t>Evaluation</w:t>
            </w:r>
            <w:r w:rsidRPr="005B7547">
              <w:rPr>
                <w:rFonts w:ascii="Gill Sans MT" w:hAnsi="Gill Sans MT"/>
                <w:color w:val="000000"/>
                <w:szCs w:val="22"/>
              </w:rPr>
              <w:t xml:space="preserve">: has created a “reflective space in which evaluators and programme facilitators have worked together to translate research findings into programme development” (p.387). Authors make the case that dissemination of evaluation helps to maintain stakeholder interest; “evaluation serves as a critical tool for evidence-based advocacy” (p.387). But disseminators of evaluation </w:t>
            </w:r>
            <w:proofErr w:type="gramStart"/>
            <w:r w:rsidRPr="005B7547">
              <w:rPr>
                <w:rFonts w:ascii="Gill Sans MT" w:hAnsi="Gill Sans MT"/>
                <w:color w:val="000000"/>
                <w:szCs w:val="22"/>
              </w:rPr>
              <w:t>needs</w:t>
            </w:r>
            <w:proofErr w:type="gramEnd"/>
            <w:r w:rsidRPr="005B7547">
              <w:rPr>
                <w:rFonts w:ascii="Gill Sans MT" w:hAnsi="Gill Sans MT"/>
                <w:color w:val="000000"/>
                <w:szCs w:val="22"/>
              </w:rPr>
              <w:t xml:space="preserve"> to be aware of political climate and sensitive to contextual lived student experience. Authors notes that critical sociological work = useful for contestation but not for translating into the kinds of results that funders respond to: “In some sense the shift towards critical and constructivist epistemologies means social science research is at its most useful when deployed to critique and contest settled orthodoxies and status quos. It works less well when asked to translate what is in essence a ‘best-fit’ interpretive exercise into the kinds of ‘scientific facts’ on which governments can stake billions of dollars of taxpayers’ money” (p.388).</w:t>
            </w:r>
          </w:p>
          <w:p w14:paraId="12A48FB0" w14:textId="77777777" w:rsidR="00786FA7" w:rsidRPr="005B7547" w:rsidRDefault="00786FA7" w:rsidP="00786FA7">
            <w:pPr>
              <w:rPr>
                <w:rFonts w:ascii="Gill Sans MT" w:hAnsi="Gill Sans MT"/>
                <w:color w:val="000000"/>
                <w:szCs w:val="22"/>
              </w:rPr>
            </w:pPr>
            <w:r w:rsidRPr="005B7547">
              <w:rPr>
                <w:rFonts w:ascii="Gill Sans MT" w:hAnsi="Gill Sans MT"/>
                <w:i/>
                <w:color w:val="000000"/>
                <w:szCs w:val="22"/>
              </w:rPr>
              <w:t>Collaboration</w:t>
            </w:r>
            <w:r w:rsidRPr="005B7547">
              <w:rPr>
                <w:rFonts w:ascii="Gill Sans MT" w:hAnsi="Gill Sans MT"/>
                <w:color w:val="000000"/>
                <w:szCs w:val="22"/>
              </w:rPr>
              <w:t xml:space="preserve">:  Macquarie Media Mentorship = form of </w:t>
            </w:r>
            <w:proofErr w:type="spellStart"/>
            <w:r w:rsidRPr="005B7547">
              <w:rPr>
                <w:rFonts w:ascii="Gill Sans MT" w:hAnsi="Gill Sans MT"/>
                <w:color w:val="000000"/>
                <w:szCs w:val="22"/>
              </w:rPr>
              <w:t>WiL</w:t>
            </w:r>
            <w:proofErr w:type="spellEnd"/>
            <w:r w:rsidRPr="005B7547">
              <w:rPr>
                <w:rFonts w:ascii="Gill Sans MT" w:hAnsi="Gill Sans MT"/>
                <w:color w:val="000000"/>
                <w:szCs w:val="22"/>
              </w:rPr>
              <w:t xml:space="preserve">. Many benefits </w:t>
            </w:r>
            <w:proofErr w:type="gramStart"/>
            <w:r w:rsidRPr="005B7547">
              <w:rPr>
                <w:rFonts w:ascii="Gill Sans MT" w:hAnsi="Gill Sans MT"/>
                <w:color w:val="000000"/>
                <w:szCs w:val="22"/>
              </w:rPr>
              <w:t>include:</w:t>
            </w:r>
            <w:proofErr w:type="gramEnd"/>
            <w:r w:rsidRPr="005B7547">
              <w:rPr>
                <w:rFonts w:ascii="Gill Sans MT" w:hAnsi="Gill Sans MT"/>
                <w:color w:val="000000"/>
                <w:szCs w:val="22"/>
              </w:rPr>
              <w:t xml:space="preserve"> better understandings of future careers in media, additional funding/resources offered. To be successful, program needs to align with goals of all partners. Authors note risks in top-down organisations (possible disconnects between managers and operational staff).</w:t>
            </w:r>
          </w:p>
          <w:p w14:paraId="4E2911F4" w14:textId="77777777" w:rsidR="00786FA7" w:rsidRPr="005B7547" w:rsidRDefault="00786FA7" w:rsidP="00786FA7">
            <w:pPr>
              <w:rPr>
                <w:rFonts w:ascii="Gill Sans MT" w:hAnsi="Gill Sans MT"/>
                <w:color w:val="000000"/>
                <w:szCs w:val="22"/>
              </w:rPr>
            </w:pPr>
            <w:r w:rsidRPr="005B7547">
              <w:rPr>
                <w:rFonts w:ascii="Gill Sans MT" w:hAnsi="Gill Sans MT"/>
                <w:i/>
                <w:color w:val="000000"/>
                <w:szCs w:val="22"/>
              </w:rPr>
              <w:t>Conceptual evolution</w:t>
            </w:r>
            <w:r w:rsidRPr="005B7547">
              <w:rPr>
                <w:rFonts w:ascii="Gill Sans MT" w:hAnsi="Gill Sans MT"/>
                <w:color w:val="000000"/>
                <w:szCs w:val="22"/>
              </w:rPr>
              <w:t xml:space="preserve">: “widening participation should not only adapt to political vicissitudes, but seek to actively bridge them, thereby retaining a constancy of purpose by engaging more deeply with non-political actors in civil society” – should make widening participation “everyone’s business” (p.391). WP should be weaved into other policy/political agendas to broaden scope and possibilities (e.g. multicultural agenda) and with interests </w:t>
            </w:r>
            <w:r w:rsidRPr="005B7547">
              <w:rPr>
                <w:rFonts w:ascii="Gill Sans MT" w:hAnsi="Gill Sans MT"/>
                <w:color w:val="000000"/>
                <w:szCs w:val="22"/>
              </w:rPr>
              <w:lastRenderedPageBreak/>
              <w:t>of</w:t>
            </w:r>
          </w:p>
          <w:p w14:paraId="7268BE21" w14:textId="18A28E44" w:rsidR="00786FA7" w:rsidRPr="005B7547" w:rsidRDefault="00786FA7" w:rsidP="00786FA7">
            <w:pPr>
              <w:rPr>
                <w:rFonts w:ascii="Gill Sans MT" w:hAnsi="Gill Sans MT"/>
                <w:b/>
                <w:color w:val="000000"/>
                <w:szCs w:val="22"/>
                <w:lang w:val="en-AU"/>
              </w:rPr>
            </w:pPr>
            <w:r w:rsidRPr="005B7547">
              <w:rPr>
                <w:rFonts w:ascii="Gill Sans MT" w:hAnsi="Gill Sans MT"/>
                <w:color w:val="000000"/>
                <w:szCs w:val="22"/>
              </w:rPr>
              <w:t>lobby and advocacy groups, charities, private and public industries or political campaigns.</w:t>
            </w:r>
            <w:r w:rsidRPr="005B7547">
              <w:rPr>
                <w:rFonts w:ascii="Gill Sans MT" w:hAnsi="Gill Sans MT"/>
                <w:b/>
                <w:color w:val="000000"/>
                <w:szCs w:val="22"/>
                <w:lang w:val="en-AU"/>
              </w:rPr>
              <w:br/>
              <w:t xml:space="preserve">Core argument: </w:t>
            </w:r>
            <w:r w:rsidRPr="005B7547">
              <w:rPr>
                <w:rFonts w:ascii="Gill Sans MT" w:hAnsi="Gill Sans MT"/>
                <w:color w:val="000000"/>
                <w:szCs w:val="22"/>
                <w:lang w:val="en-AU"/>
              </w:rPr>
              <w:t>It’s time for WP “</w:t>
            </w:r>
            <w:r w:rsidRPr="005B7547">
              <w:rPr>
                <w:rFonts w:ascii="Gill Sans MT" w:hAnsi="Gill Sans MT"/>
                <w:color w:val="000000"/>
                <w:szCs w:val="22"/>
              </w:rPr>
              <w:t>to embark on a fundamental reappraisal of its function in society” (p.393).</w:t>
            </w:r>
            <w:r w:rsidRPr="005B7547">
              <w:rPr>
                <w:rFonts w:ascii="Gill Sans MT" w:hAnsi="Gill Sans MT"/>
                <w:b/>
                <w:color w:val="000000"/>
                <w:szCs w:val="22"/>
                <w:lang w:val="en-AU"/>
              </w:rPr>
              <w:t xml:space="preserve"> </w:t>
            </w:r>
            <w:r w:rsidRPr="005B7547">
              <w:rPr>
                <w:rFonts w:ascii="Gill Sans MT" w:hAnsi="Gill Sans MT"/>
                <w:color w:val="000000"/>
                <w:szCs w:val="22"/>
                <w:lang w:val="en-AU"/>
              </w:rPr>
              <w:t>Argue for 1) more evaluation for program development and to build evidence base, 2) need more cross-sectoral collaboration, 3) should align widening participation with other societal goals</w:t>
            </w:r>
          </w:p>
        </w:tc>
      </w:tr>
      <w:tr w:rsidR="00786FA7" w:rsidRPr="009E630F" w14:paraId="5B02518E" w14:textId="77777777" w:rsidTr="000C6DDE">
        <w:tc>
          <w:tcPr>
            <w:tcW w:w="5529" w:type="dxa"/>
          </w:tcPr>
          <w:p w14:paraId="0F5F5056" w14:textId="3DD5EE37" w:rsidR="00786FA7" w:rsidRPr="009E630F" w:rsidRDefault="00786FA7" w:rsidP="00786FA7">
            <w:pPr>
              <w:rPr>
                <w:rFonts w:ascii="Gill Sans MT" w:hAnsi="Gill Sans MT"/>
                <w:szCs w:val="22"/>
              </w:rPr>
            </w:pPr>
            <w:r w:rsidRPr="009E630F">
              <w:rPr>
                <w:rFonts w:ascii="Gill Sans MT" w:hAnsi="Gill Sans MT"/>
                <w:szCs w:val="22"/>
              </w:rPr>
              <w:lastRenderedPageBreak/>
              <w:t xml:space="preserve">Riddell, S.; Weedon, E. &amp; Holford, J. (2014). </w:t>
            </w:r>
            <w:hyperlink r:id="rId27" w:history="1">
              <w:r w:rsidRPr="00786FA7">
                <w:rPr>
                  <w:rStyle w:val="Hyperlink"/>
                  <w:rFonts w:ascii="Gill Sans MT" w:hAnsi="Gill Sans MT"/>
                  <w:szCs w:val="22"/>
                </w:rPr>
                <w:t>Lifelong learning and higher education in Europe 1995-2011: widening and/or narrowing access?</w:t>
              </w:r>
            </w:hyperlink>
            <w:r w:rsidRPr="009E630F">
              <w:rPr>
                <w:rFonts w:ascii="Gill Sans MT" w:hAnsi="Gill Sans MT"/>
                <w:szCs w:val="22"/>
              </w:rPr>
              <w:t xml:space="preserve"> </w:t>
            </w:r>
            <w:r w:rsidRPr="009E630F">
              <w:rPr>
                <w:rFonts w:ascii="Gill Sans MT" w:hAnsi="Gill Sans MT"/>
                <w:i/>
                <w:szCs w:val="22"/>
              </w:rPr>
              <w:t xml:space="preserve">International Journal of Lifelong Education, </w:t>
            </w:r>
            <w:r w:rsidRPr="009E630F">
              <w:rPr>
                <w:rFonts w:ascii="Gill Sans MT" w:hAnsi="Gill Sans MT"/>
                <w:szCs w:val="22"/>
              </w:rPr>
              <w:t>33(1)</w:t>
            </w:r>
            <w:r>
              <w:rPr>
                <w:rFonts w:ascii="Gill Sans MT" w:hAnsi="Gill Sans MT"/>
                <w:szCs w:val="22"/>
              </w:rPr>
              <w:t>,</w:t>
            </w:r>
            <w:r w:rsidRPr="009E630F">
              <w:rPr>
                <w:rFonts w:ascii="Gill Sans MT" w:hAnsi="Gill Sans MT"/>
                <w:szCs w:val="22"/>
              </w:rPr>
              <w:t xml:space="preserve"> 1</w:t>
            </w:r>
            <w:r>
              <w:rPr>
                <w:rFonts w:ascii="Gill Sans MT" w:hAnsi="Gill Sans MT"/>
                <w:szCs w:val="22"/>
              </w:rPr>
              <w:t>–</w:t>
            </w:r>
            <w:r w:rsidRPr="009E630F">
              <w:rPr>
                <w:rFonts w:ascii="Gill Sans MT" w:hAnsi="Gill Sans MT"/>
                <w:szCs w:val="22"/>
              </w:rPr>
              <w:t>6.</w:t>
            </w:r>
          </w:p>
          <w:p w14:paraId="5699B46E" w14:textId="77777777" w:rsidR="00786FA7" w:rsidRPr="009E630F" w:rsidRDefault="00786FA7" w:rsidP="00786FA7">
            <w:pPr>
              <w:rPr>
                <w:rFonts w:ascii="Gill Sans MT" w:hAnsi="Gill Sans MT"/>
                <w:szCs w:val="22"/>
              </w:rPr>
            </w:pPr>
          </w:p>
          <w:p w14:paraId="749EE184" w14:textId="7995D31E" w:rsidR="00786FA7" w:rsidRPr="009E630F" w:rsidRDefault="00786FA7" w:rsidP="00786FA7">
            <w:pPr>
              <w:rPr>
                <w:rFonts w:ascii="Gill Sans MT" w:hAnsi="Gill Sans MT"/>
                <w:szCs w:val="22"/>
              </w:rPr>
            </w:pPr>
            <w:r w:rsidRPr="009E630F">
              <w:rPr>
                <w:rFonts w:ascii="Gill Sans MT" w:hAnsi="Gill Sans MT"/>
                <w:szCs w:val="22"/>
              </w:rPr>
              <w:t>UK</w:t>
            </w:r>
          </w:p>
          <w:p w14:paraId="73AE5F7B" w14:textId="77777777" w:rsidR="00786FA7" w:rsidRPr="009E630F" w:rsidRDefault="00786FA7" w:rsidP="00786FA7">
            <w:pPr>
              <w:rPr>
                <w:rFonts w:ascii="Gill Sans MT" w:hAnsi="Gill Sans MT"/>
                <w:szCs w:val="22"/>
              </w:rPr>
            </w:pPr>
            <w:r w:rsidRPr="009E630F">
              <w:rPr>
                <w:rFonts w:ascii="Gill Sans MT" w:hAnsi="Gill Sans MT"/>
                <w:szCs w:val="22"/>
              </w:rPr>
              <w:t>Annotation by Sally Baker</w:t>
            </w:r>
          </w:p>
          <w:p w14:paraId="51C75E58" w14:textId="61ABBAD9" w:rsidR="00786FA7" w:rsidRPr="009E630F" w:rsidRDefault="00786FA7" w:rsidP="00786FA7">
            <w:pPr>
              <w:rPr>
                <w:rFonts w:ascii="Gill Sans MT" w:hAnsi="Gill Sans MT"/>
                <w:szCs w:val="22"/>
              </w:rPr>
            </w:pPr>
          </w:p>
        </w:tc>
        <w:tc>
          <w:tcPr>
            <w:tcW w:w="10064" w:type="dxa"/>
          </w:tcPr>
          <w:p w14:paraId="135DAD58" w14:textId="77777777" w:rsidR="00786FA7" w:rsidRPr="009E630F" w:rsidRDefault="00786FA7" w:rsidP="00786FA7">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Introduction to SI on changes to equity of access in Europe over 15 years. Context = two major pushes: 1) resurgence of capitalism post-fall of socialism in Eastern block; 2) rapid growth of EU. Underlying this = increasing push of globalisation and neoliberal ideas/ notion of ‘knowledge economy’. Lifelong learning = shaped by the historical-political context and neo-socioeconomic pushes. Context of Bologna Process and Social Dimension = significant; also post-GFC context.</w:t>
            </w:r>
          </w:p>
          <w:p w14:paraId="0BCFBED9" w14:textId="77777777" w:rsidR="00786FA7" w:rsidRPr="009E630F" w:rsidRDefault="00786FA7" w:rsidP="00786FA7">
            <w:pPr>
              <w:rPr>
                <w:rFonts w:ascii="Gill Sans MT" w:hAnsi="Gill Sans MT"/>
                <w:color w:val="000000"/>
                <w:szCs w:val="22"/>
                <w:lang w:val="en-AU"/>
              </w:rPr>
            </w:pPr>
            <w:r w:rsidRPr="009E630F">
              <w:rPr>
                <w:rFonts w:ascii="Gill Sans MT" w:hAnsi="Gill Sans MT"/>
                <w:b/>
                <w:color w:val="000000"/>
                <w:szCs w:val="22"/>
                <w:lang w:val="en-AU"/>
              </w:rPr>
              <w:t xml:space="preserve">Aim: </w:t>
            </w:r>
            <w:r w:rsidRPr="009E630F">
              <w:rPr>
                <w:rFonts w:ascii="Gill Sans MT" w:hAnsi="Gill Sans MT"/>
                <w:color w:val="000000"/>
                <w:szCs w:val="22"/>
                <w:lang w:val="en-AU"/>
              </w:rPr>
              <w:t>SI poses these questions:</w:t>
            </w:r>
          </w:p>
          <w:p w14:paraId="3BD92EF3" w14:textId="77777777" w:rsidR="00786FA7" w:rsidRPr="009E630F" w:rsidRDefault="00786FA7" w:rsidP="00786FA7">
            <w:pPr>
              <w:pStyle w:val="ListParagraph"/>
              <w:numPr>
                <w:ilvl w:val="0"/>
                <w:numId w:val="12"/>
              </w:numPr>
              <w:rPr>
                <w:rFonts w:ascii="Gill Sans MT" w:hAnsi="Gill Sans MT"/>
                <w:color w:val="000000"/>
                <w:szCs w:val="22"/>
                <w:lang w:val="en-US"/>
              </w:rPr>
            </w:pPr>
            <w:r w:rsidRPr="009E630F">
              <w:rPr>
                <w:rFonts w:ascii="Gill Sans MT" w:hAnsi="Gill Sans MT"/>
                <w:color w:val="000000"/>
                <w:szCs w:val="22"/>
                <w:lang w:val="en-US"/>
              </w:rPr>
              <w:t>How do patterns of participation in higher education—considered from a perspective of social equity—vary across Europe? How do these patterns differ between old and new member states? What are the main trends in old and new member states?</w:t>
            </w:r>
          </w:p>
          <w:p w14:paraId="15EAE8E3" w14:textId="77777777" w:rsidR="00786FA7" w:rsidRPr="009E630F" w:rsidRDefault="00786FA7" w:rsidP="00786FA7">
            <w:pPr>
              <w:pStyle w:val="ListParagraph"/>
              <w:numPr>
                <w:ilvl w:val="0"/>
                <w:numId w:val="12"/>
              </w:numPr>
              <w:rPr>
                <w:rFonts w:ascii="Gill Sans MT" w:hAnsi="Gill Sans MT"/>
                <w:color w:val="000000"/>
                <w:szCs w:val="22"/>
                <w:lang w:val="en-US"/>
              </w:rPr>
            </w:pPr>
            <w:r w:rsidRPr="009E630F">
              <w:rPr>
                <w:rFonts w:ascii="Gill Sans MT" w:hAnsi="Gill Sans MT"/>
                <w:color w:val="000000"/>
                <w:szCs w:val="22"/>
                <w:lang w:val="en-US"/>
              </w:rPr>
              <w:t>What approaches to widening participation have been adopted in different European countries and what lessons can be learnt from various experiences?</w:t>
            </w:r>
          </w:p>
          <w:p w14:paraId="6FF50050" w14:textId="77777777" w:rsidR="00786FA7" w:rsidRPr="009E630F" w:rsidRDefault="00786FA7" w:rsidP="00786FA7">
            <w:pPr>
              <w:pStyle w:val="ListParagraph"/>
              <w:numPr>
                <w:ilvl w:val="0"/>
                <w:numId w:val="12"/>
              </w:numPr>
              <w:rPr>
                <w:rFonts w:ascii="Gill Sans MT" w:hAnsi="Gill Sans MT"/>
                <w:color w:val="000000"/>
                <w:szCs w:val="22"/>
                <w:lang w:val="en-US"/>
              </w:rPr>
            </w:pPr>
            <w:r w:rsidRPr="009E630F">
              <w:rPr>
                <w:rFonts w:ascii="Gill Sans MT" w:hAnsi="Gill Sans MT"/>
                <w:color w:val="000000"/>
                <w:szCs w:val="22"/>
                <w:lang w:val="en-US"/>
              </w:rPr>
              <w:t>Which groups are defined as under-represented in various countries and, of these, which have been encouraged to engage in widening participation initiatives?</w:t>
            </w:r>
          </w:p>
          <w:p w14:paraId="2519F194" w14:textId="77777777" w:rsidR="00786FA7" w:rsidRPr="009E630F" w:rsidRDefault="00786FA7" w:rsidP="00786FA7">
            <w:pPr>
              <w:pStyle w:val="ListParagraph"/>
              <w:numPr>
                <w:ilvl w:val="0"/>
                <w:numId w:val="12"/>
              </w:numPr>
              <w:rPr>
                <w:rFonts w:ascii="Gill Sans MT" w:hAnsi="Gill Sans MT"/>
                <w:color w:val="000000"/>
                <w:szCs w:val="22"/>
                <w:lang w:val="en-US"/>
              </w:rPr>
            </w:pPr>
            <w:r w:rsidRPr="009E630F">
              <w:rPr>
                <w:rFonts w:ascii="Gill Sans MT" w:hAnsi="Gill Sans MT"/>
                <w:color w:val="000000"/>
                <w:szCs w:val="22"/>
                <w:lang w:val="en-US"/>
              </w:rPr>
              <w:t>To what extent have widening access policies resulted in the reduction of social inequalities in access to higher education in different countries?</w:t>
            </w:r>
          </w:p>
          <w:p w14:paraId="6F557F9F" w14:textId="77777777" w:rsidR="00786FA7" w:rsidRPr="009E630F" w:rsidRDefault="00786FA7" w:rsidP="00786FA7">
            <w:pPr>
              <w:pStyle w:val="ListParagraph"/>
              <w:numPr>
                <w:ilvl w:val="0"/>
                <w:numId w:val="12"/>
              </w:numPr>
              <w:rPr>
                <w:rFonts w:ascii="Gill Sans MT" w:hAnsi="Gill Sans MT"/>
                <w:color w:val="000000"/>
                <w:szCs w:val="22"/>
                <w:lang w:val="en-US"/>
              </w:rPr>
            </w:pPr>
            <w:r w:rsidRPr="009E630F">
              <w:rPr>
                <w:rFonts w:ascii="Gill Sans MT" w:hAnsi="Gill Sans MT"/>
                <w:color w:val="000000"/>
                <w:szCs w:val="22"/>
                <w:lang w:val="en-US"/>
              </w:rPr>
              <w:t xml:space="preserve">Which social groups have been the major beneficiaries in different countries? </w:t>
            </w:r>
          </w:p>
          <w:p w14:paraId="3E0DF431" w14:textId="77777777" w:rsidR="00786FA7" w:rsidRPr="009E630F" w:rsidRDefault="00786FA7" w:rsidP="00786FA7">
            <w:pPr>
              <w:pStyle w:val="ListParagraph"/>
              <w:numPr>
                <w:ilvl w:val="0"/>
                <w:numId w:val="12"/>
              </w:numPr>
              <w:rPr>
                <w:rFonts w:ascii="Gill Sans MT" w:hAnsi="Gill Sans MT"/>
                <w:color w:val="000000"/>
                <w:szCs w:val="22"/>
                <w:lang w:val="en-US"/>
              </w:rPr>
            </w:pPr>
            <w:r w:rsidRPr="009E630F">
              <w:rPr>
                <w:rFonts w:ascii="Gill Sans MT" w:hAnsi="Gill Sans MT"/>
                <w:color w:val="000000"/>
                <w:szCs w:val="22"/>
                <w:lang w:val="en-US"/>
              </w:rPr>
              <w:t>If higher education is to counter rather than reinforce social inequality, what changes are needed and to what extent are these changes possible during the ongoing economic crisis which continues to threaten the economies of the developed world, including the US and Europe? (p.2-3)</w:t>
            </w:r>
          </w:p>
          <w:p w14:paraId="385DD857" w14:textId="77777777" w:rsidR="00786FA7" w:rsidRPr="009E630F" w:rsidRDefault="00786FA7" w:rsidP="00786FA7">
            <w:pPr>
              <w:rPr>
                <w:rFonts w:ascii="Gill Sans MT" w:hAnsi="Gill Sans MT"/>
                <w:b/>
                <w:color w:val="000000"/>
                <w:szCs w:val="22"/>
                <w:lang w:val="en-AU"/>
              </w:rPr>
            </w:pPr>
            <w:r w:rsidRPr="009E630F">
              <w:rPr>
                <w:rFonts w:ascii="Gill Sans MT" w:hAnsi="Gill Sans MT"/>
                <w:b/>
                <w:color w:val="000000"/>
                <w:szCs w:val="22"/>
                <w:lang w:val="en-AU"/>
              </w:rPr>
              <w:t>Discussion points/ themes of SI:</w:t>
            </w:r>
          </w:p>
          <w:p w14:paraId="03414199" w14:textId="77777777" w:rsidR="00786FA7" w:rsidRPr="009E630F" w:rsidRDefault="00786FA7" w:rsidP="00786FA7">
            <w:pPr>
              <w:pStyle w:val="ListParagraph"/>
              <w:numPr>
                <w:ilvl w:val="0"/>
                <w:numId w:val="13"/>
              </w:numPr>
              <w:rPr>
                <w:rFonts w:ascii="Gill Sans MT" w:hAnsi="Gill Sans MT"/>
                <w:color w:val="000000"/>
                <w:szCs w:val="22"/>
                <w:lang w:val="en-US"/>
              </w:rPr>
            </w:pPr>
            <w:r w:rsidRPr="009E630F">
              <w:rPr>
                <w:rFonts w:ascii="Gill Sans MT" w:hAnsi="Gill Sans MT"/>
                <w:color w:val="000000"/>
                <w:szCs w:val="22"/>
                <w:lang w:val="en-US"/>
              </w:rPr>
              <w:t>Higher education, social Europe and global capitalism</w:t>
            </w:r>
          </w:p>
          <w:p w14:paraId="797E42B3" w14:textId="77777777" w:rsidR="00786FA7" w:rsidRPr="009E630F" w:rsidRDefault="00786FA7" w:rsidP="00786FA7">
            <w:pPr>
              <w:pStyle w:val="ListParagraph"/>
              <w:numPr>
                <w:ilvl w:val="0"/>
                <w:numId w:val="13"/>
              </w:numPr>
              <w:rPr>
                <w:rFonts w:ascii="Gill Sans MT" w:hAnsi="Gill Sans MT"/>
                <w:b/>
                <w:color w:val="000000"/>
                <w:szCs w:val="22"/>
                <w:lang w:val="en-US"/>
              </w:rPr>
            </w:pPr>
            <w:r w:rsidRPr="009E630F">
              <w:rPr>
                <w:rFonts w:ascii="Gill Sans MT" w:hAnsi="Gill Sans MT"/>
                <w:color w:val="000000"/>
                <w:szCs w:val="22"/>
                <w:lang w:val="en-US"/>
              </w:rPr>
              <w:t>Higher education expansion, second chance routes and institutional differentiation</w:t>
            </w:r>
            <w:r w:rsidRPr="009E630F">
              <w:rPr>
                <w:rFonts w:ascii="Gill Sans MT" w:hAnsi="Gill Sans MT"/>
                <w:b/>
                <w:color w:val="000000"/>
                <w:szCs w:val="22"/>
                <w:lang w:val="en-US"/>
              </w:rPr>
              <w:t xml:space="preserve"> </w:t>
            </w:r>
          </w:p>
          <w:p w14:paraId="7BD1CF1A" w14:textId="77777777" w:rsidR="00786FA7" w:rsidRPr="009E630F" w:rsidRDefault="00786FA7" w:rsidP="00786FA7">
            <w:pPr>
              <w:pStyle w:val="ListParagraph"/>
              <w:numPr>
                <w:ilvl w:val="0"/>
                <w:numId w:val="13"/>
              </w:numPr>
              <w:rPr>
                <w:rFonts w:ascii="Gill Sans MT" w:hAnsi="Gill Sans MT"/>
                <w:color w:val="000000"/>
                <w:szCs w:val="22"/>
                <w:lang w:val="en-US"/>
              </w:rPr>
            </w:pPr>
            <w:r w:rsidRPr="009E630F">
              <w:rPr>
                <w:rFonts w:ascii="Gill Sans MT" w:hAnsi="Gill Sans MT"/>
                <w:color w:val="000000"/>
                <w:szCs w:val="22"/>
                <w:lang w:val="en-US"/>
              </w:rPr>
              <w:t>Widening inequality, middle class anxiety and the position of low skilled workers</w:t>
            </w:r>
          </w:p>
          <w:p w14:paraId="687B3DE4" w14:textId="3B0315F3" w:rsidR="00786FA7" w:rsidRPr="009E630F" w:rsidRDefault="00786FA7" w:rsidP="00786FA7">
            <w:pPr>
              <w:rPr>
                <w:rFonts w:ascii="Gill Sans MT" w:hAnsi="Gill Sans MT"/>
                <w:b/>
                <w:color w:val="000000"/>
                <w:szCs w:val="22"/>
                <w:lang w:val="en-AU"/>
              </w:rPr>
            </w:pPr>
            <w:r w:rsidRPr="009E630F">
              <w:rPr>
                <w:rFonts w:ascii="Gill Sans MT" w:hAnsi="Gill Sans MT"/>
                <w:color w:val="000000"/>
                <w:szCs w:val="22"/>
                <w:lang w:val="en-US"/>
              </w:rPr>
              <w:t>Contributions include foci on Sweden, Norway and Germany; Scotland, UK (England v. Scot, Wales, NI)</w:t>
            </w:r>
            <w:r w:rsidRPr="009E630F">
              <w:rPr>
                <w:rFonts w:ascii="Gill Sans MT" w:hAnsi="Gill Sans MT"/>
                <w:b/>
                <w:color w:val="000000"/>
                <w:szCs w:val="22"/>
                <w:lang w:val="en-AU"/>
              </w:rPr>
              <w:br/>
              <w:t xml:space="preserve">Core argument: </w:t>
            </w:r>
            <w:r w:rsidRPr="009E630F">
              <w:rPr>
                <w:rFonts w:ascii="Gill Sans MT" w:hAnsi="Gill Sans MT"/>
                <w:color w:val="000000"/>
                <w:szCs w:val="22"/>
                <w:lang w:val="en-AU"/>
              </w:rPr>
              <w:t xml:space="preserve">Authors make point that despite variation across Europe in terms of strength between class and participation, </w:t>
            </w:r>
            <w:r w:rsidRPr="009E630F">
              <w:rPr>
                <w:rFonts w:ascii="Gill Sans MT" w:hAnsi="Gill Sans MT"/>
                <w:color w:val="000000"/>
                <w:szCs w:val="22"/>
                <w:lang w:val="en-US"/>
              </w:rPr>
              <w:t xml:space="preserve">patterns of social inequality = broadly similar. Raises question of how much power </w:t>
            </w:r>
            <w:r w:rsidRPr="009E630F">
              <w:rPr>
                <w:rFonts w:ascii="Gill Sans MT" w:hAnsi="Gill Sans MT"/>
                <w:color w:val="000000"/>
                <w:szCs w:val="22"/>
                <w:lang w:val="en-US"/>
              </w:rPr>
              <w:lastRenderedPageBreak/>
              <w:t>individual nation states have to challenge concentration of elites in most prestigious institutions</w:t>
            </w:r>
          </w:p>
        </w:tc>
      </w:tr>
      <w:tr w:rsidR="00786FA7" w:rsidRPr="009E630F" w14:paraId="430D4A77" w14:textId="77777777" w:rsidTr="000C6DDE">
        <w:tc>
          <w:tcPr>
            <w:tcW w:w="5529" w:type="dxa"/>
          </w:tcPr>
          <w:p w14:paraId="3480A2B8" w14:textId="77777777" w:rsidR="00786FA7" w:rsidRPr="005B7547" w:rsidRDefault="00786FA7" w:rsidP="00786FA7">
            <w:pPr>
              <w:rPr>
                <w:rFonts w:ascii="Gill Sans MT" w:hAnsi="Gill Sans MT"/>
                <w:szCs w:val="22"/>
              </w:rPr>
            </w:pPr>
            <w:proofErr w:type="spellStart"/>
            <w:r w:rsidRPr="005B7547">
              <w:rPr>
                <w:rFonts w:ascii="Gill Sans MT" w:hAnsi="Gill Sans MT"/>
                <w:szCs w:val="22"/>
              </w:rPr>
              <w:lastRenderedPageBreak/>
              <w:t>Rissman</w:t>
            </w:r>
            <w:proofErr w:type="spellEnd"/>
            <w:r w:rsidRPr="005B7547">
              <w:rPr>
                <w:rFonts w:ascii="Gill Sans MT" w:hAnsi="Gill Sans MT"/>
                <w:szCs w:val="22"/>
              </w:rPr>
              <w:t xml:space="preserve">, B.; Carrington, S. &amp; Bland, D. (2013). </w:t>
            </w:r>
            <w:hyperlink r:id="rId28" w:history="1">
              <w:r w:rsidRPr="005B7547">
                <w:rPr>
                  <w:rStyle w:val="Hyperlink"/>
                  <w:rFonts w:ascii="Gill Sans MT" w:hAnsi="Gill Sans MT"/>
                  <w:szCs w:val="22"/>
                </w:rPr>
                <w:t>Widening Participation in University Learning</w:t>
              </w:r>
            </w:hyperlink>
            <w:r w:rsidRPr="005B7547">
              <w:rPr>
                <w:rFonts w:ascii="Gill Sans MT" w:hAnsi="Gill Sans MT"/>
                <w:szCs w:val="22"/>
              </w:rPr>
              <w:t xml:space="preserve">, </w:t>
            </w:r>
            <w:r w:rsidRPr="005B7547">
              <w:rPr>
                <w:rFonts w:ascii="Gill Sans MT" w:hAnsi="Gill Sans MT"/>
                <w:i/>
                <w:szCs w:val="22"/>
              </w:rPr>
              <w:t xml:space="preserve">Journal of University Teaching &amp; Learning Practice, </w:t>
            </w:r>
            <w:r w:rsidRPr="005B7547">
              <w:rPr>
                <w:rFonts w:ascii="Gill Sans MT" w:hAnsi="Gill Sans MT"/>
                <w:szCs w:val="22"/>
              </w:rPr>
              <w:t>10(1)</w:t>
            </w:r>
            <w:r>
              <w:rPr>
                <w:rFonts w:ascii="Gill Sans MT" w:hAnsi="Gill Sans MT"/>
                <w:szCs w:val="22"/>
              </w:rPr>
              <w:t>,</w:t>
            </w:r>
            <w:r w:rsidRPr="005B7547">
              <w:rPr>
                <w:rFonts w:ascii="Gill Sans MT" w:hAnsi="Gill Sans MT"/>
                <w:szCs w:val="22"/>
              </w:rPr>
              <w:t xml:space="preserve"> 1</w:t>
            </w:r>
            <w:r>
              <w:rPr>
                <w:rFonts w:ascii="Gill Sans MT" w:hAnsi="Gill Sans MT"/>
                <w:szCs w:val="22"/>
              </w:rPr>
              <w:t>–</w:t>
            </w:r>
            <w:r w:rsidRPr="005B7547">
              <w:rPr>
                <w:rFonts w:ascii="Gill Sans MT" w:hAnsi="Gill Sans MT"/>
                <w:szCs w:val="22"/>
              </w:rPr>
              <w:t>20.</w:t>
            </w:r>
          </w:p>
          <w:p w14:paraId="45EF3885" w14:textId="77777777" w:rsidR="00786FA7" w:rsidRPr="005B7547" w:rsidRDefault="00786FA7" w:rsidP="00786FA7">
            <w:pPr>
              <w:rPr>
                <w:rFonts w:ascii="Gill Sans MT" w:hAnsi="Gill Sans MT"/>
                <w:szCs w:val="22"/>
              </w:rPr>
            </w:pPr>
          </w:p>
          <w:p w14:paraId="055831B1" w14:textId="77777777" w:rsidR="00786FA7" w:rsidRDefault="00786FA7" w:rsidP="00786FA7">
            <w:pPr>
              <w:rPr>
                <w:rFonts w:ascii="Gill Sans MT" w:hAnsi="Gill Sans MT"/>
                <w:szCs w:val="22"/>
              </w:rPr>
            </w:pPr>
            <w:r w:rsidRPr="005B7547">
              <w:rPr>
                <w:rFonts w:ascii="Gill Sans MT" w:hAnsi="Gill Sans MT"/>
                <w:szCs w:val="22"/>
              </w:rPr>
              <w:t>AUS</w:t>
            </w:r>
          </w:p>
          <w:p w14:paraId="237711F1" w14:textId="77777777" w:rsidR="00786FA7" w:rsidRPr="009A1CE0" w:rsidRDefault="00786FA7" w:rsidP="00786FA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29F81EB2" w14:textId="77777777" w:rsidR="00786FA7" w:rsidRPr="005B7547" w:rsidRDefault="00786FA7" w:rsidP="00786FA7">
            <w:pPr>
              <w:rPr>
                <w:rFonts w:ascii="Gill Sans MT" w:hAnsi="Gill Sans MT"/>
                <w:szCs w:val="22"/>
              </w:rPr>
            </w:pPr>
          </w:p>
          <w:p w14:paraId="7F6FC568" w14:textId="2EBE6BD5" w:rsidR="00786FA7" w:rsidRPr="009E630F" w:rsidRDefault="00786FA7" w:rsidP="00786FA7">
            <w:pPr>
              <w:widowControl w:val="0"/>
              <w:autoSpaceDE w:val="0"/>
              <w:autoSpaceDN w:val="0"/>
              <w:adjustRightInd w:val="0"/>
              <w:rPr>
                <w:rFonts w:ascii="Gill Sans MT" w:hAnsi="Gill Sans MT"/>
                <w:szCs w:val="22"/>
              </w:rPr>
            </w:pPr>
            <w:r w:rsidRPr="005B7547">
              <w:rPr>
                <w:rFonts w:ascii="Gill Sans MT" w:hAnsi="Gill Sans MT"/>
              </w:rPr>
              <w:t xml:space="preserve">Keywords: </w:t>
            </w:r>
            <w:r w:rsidRPr="005B7547">
              <w:rPr>
                <w:rFonts w:ascii="Gill Sans MT" w:hAnsi="Gill Sans MT"/>
                <w:i/>
                <w:lang w:eastAsia="ja-JP"/>
              </w:rPr>
              <w:t>Higher education, widening participation, secondary education, socio-economic disadvantage, student equity, benefits, barriers, workload, university and school partnership</w:t>
            </w:r>
          </w:p>
        </w:tc>
        <w:tc>
          <w:tcPr>
            <w:tcW w:w="10064" w:type="dxa"/>
          </w:tcPr>
          <w:p w14:paraId="5A3B83B3"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Describes an outreach initiative at QUT with QLD Dept. Education and Training to increase enrolments of low SES students. Initiative (‘</w:t>
            </w:r>
            <w:proofErr w:type="spellStart"/>
            <w:r w:rsidRPr="005B7547">
              <w:rPr>
                <w:rFonts w:ascii="Gill Sans MT" w:hAnsi="Gill Sans MT"/>
                <w:color w:val="000000"/>
                <w:szCs w:val="22"/>
                <w:lang w:val="en-AU"/>
              </w:rPr>
              <w:t>QUTeach</w:t>
            </w:r>
            <w:proofErr w:type="spellEnd"/>
            <w:r w:rsidRPr="005B7547">
              <w:rPr>
                <w:rFonts w:ascii="Gill Sans MT" w:hAnsi="Gill Sans MT"/>
                <w:color w:val="000000"/>
                <w:szCs w:val="22"/>
                <w:lang w:val="en-AU"/>
              </w:rPr>
              <w:t xml:space="preserve">’) involves university lecturers and </w:t>
            </w:r>
            <w:proofErr w:type="gramStart"/>
            <w:r w:rsidRPr="005B7547">
              <w:rPr>
                <w:rFonts w:ascii="Gill Sans MT" w:hAnsi="Gill Sans MT"/>
                <w:color w:val="000000"/>
                <w:szCs w:val="22"/>
                <w:lang w:val="en-AU"/>
              </w:rPr>
              <w:t>school teachers</w:t>
            </w:r>
            <w:proofErr w:type="gramEnd"/>
            <w:r w:rsidRPr="005B7547">
              <w:rPr>
                <w:rFonts w:ascii="Gill Sans MT" w:hAnsi="Gill Sans MT"/>
                <w:color w:val="000000"/>
                <w:szCs w:val="22"/>
                <w:lang w:val="en-AU"/>
              </w:rPr>
              <w:t xml:space="preserve"> working together to deliver and assess 4 x B(Ed) units to Year 11 and 12 students at one secondary school. Scopes literature on under-participation of low SES students (WP/ equity agenda in Australia), transitional barriers and first year programs</w:t>
            </w:r>
          </w:p>
          <w:p w14:paraId="38384225"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 xml:space="preserve">To describe </w:t>
            </w:r>
            <w:proofErr w:type="spellStart"/>
            <w:r w:rsidRPr="005B7547">
              <w:rPr>
                <w:rFonts w:ascii="Gill Sans MT" w:hAnsi="Gill Sans MT"/>
                <w:color w:val="000000"/>
                <w:szCs w:val="22"/>
                <w:lang w:val="en-AU"/>
              </w:rPr>
              <w:t>OUTeach</w:t>
            </w:r>
            <w:proofErr w:type="spellEnd"/>
            <w:r w:rsidRPr="005B7547">
              <w:rPr>
                <w:rFonts w:ascii="Gill Sans MT" w:hAnsi="Gill Sans MT"/>
                <w:color w:val="000000"/>
                <w:szCs w:val="22"/>
                <w:lang w:val="en-AU"/>
              </w:rPr>
              <w:t xml:space="preserve"> and report on data collected through evaluation of program in early stages; to answer 2 RQs:</w:t>
            </w:r>
          </w:p>
          <w:p w14:paraId="614E504B" w14:textId="77777777" w:rsidR="00786FA7" w:rsidRPr="005B7547" w:rsidRDefault="00786FA7" w:rsidP="00786FA7">
            <w:pPr>
              <w:rPr>
                <w:rFonts w:ascii="Gill Sans MT" w:hAnsi="Gill Sans MT"/>
                <w:color w:val="000000"/>
                <w:szCs w:val="22"/>
              </w:rPr>
            </w:pPr>
            <w:r w:rsidRPr="005B7547">
              <w:rPr>
                <w:rFonts w:ascii="Gill Sans MT" w:hAnsi="Gill Sans MT"/>
                <w:color w:val="000000"/>
                <w:szCs w:val="22"/>
              </w:rPr>
              <w:t xml:space="preserve">How do students, parents and staff describe the </w:t>
            </w:r>
            <w:proofErr w:type="spellStart"/>
            <w:r w:rsidRPr="005B7547">
              <w:rPr>
                <w:rFonts w:ascii="Gill Sans MT" w:hAnsi="Gill Sans MT"/>
                <w:color w:val="000000"/>
                <w:szCs w:val="22"/>
              </w:rPr>
              <w:t>QUTeach</w:t>
            </w:r>
            <w:proofErr w:type="spellEnd"/>
            <w:r w:rsidRPr="005B7547">
              <w:rPr>
                <w:rFonts w:ascii="Gill Sans MT" w:hAnsi="Gill Sans MT"/>
                <w:color w:val="000000"/>
                <w:szCs w:val="22"/>
              </w:rPr>
              <w:t xml:space="preserve"> </w:t>
            </w:r>
            <w:proofErr w:type="gramStart"/>
            <w:r w:rsidRPr="005B7547">
              <w:rPr>
                <w:rFonts w:ascii="Gill Sans MT" w:hAnsi="Gill Sans MT"/>
                <w:color w:val="000000"/>
                <w:szCs w:val="22"/>
              </w:rPr>
              <w:t>program?;</w:t>
            </w:r>
            <w:proofErr w:type="gramEnd"/>
            <w:r w:rsidRPr="005B7547">
              <w:rPr>
                <w:rFonts w:ascii="Gill Sans MT" w:hAnsi="Gill Sans MT"/>
                <w:color w:val="000000"/>
                <w:szCs w:val="22"/>
              </w:rPr>
              <w:t xml:space="preserve"> and</w:t>
            </w:r>
          </w:p>
          <w:p w14:paraId="146B38B2" w14:textId="77777777" w:rsidR="00786FA7" w:rsidRPr="005B7547" w:rsidRDefault="00786FA7" w:rsidP="00786FA7">
            <w:pPr>
              <w:rPr>
                <w:rFonts w:ascii="Gill Sans MT" w:hAnsi="Gill Sans MT"/>
                <w:color w:val="000000"/>
                <w:szCs w:val="22"/>
                <w:lang w:val="en-AU"/>
              </w:rPr>
            </w:pPr>
            <w:r w:rsidRPr="005B7547">
              <w:rPr>
                <w:rFonts w:ascii="Gill Sans MT" w:hAnsi="Gill Sans MT"/>
                <w:color w:val="000000"/>
                <w:szCs w:val="22"/>
              </w:rPr>
              <w:t>Do students, parents and staff perceive that the program is effective in increasing LSES student enrolment in higher education? (p.7)</w:t>
            </w:r>
          </w:p>
          <w:p w14:paraId="706ACA45"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Theoretical frame: </w:t>
            </w:r>
            <w:r w:rsidRPr="005B7547">
              <w:rPr>
                <w:rFonts w:ascii="Gill Sans MT" w:hAnsi="Gill Sans MT"/>
                <w:color w:val="000000"/>
                <w:szCs w:val="22"/>
                <w:lang w:val="en-AU"/>
              </w:rPr>
              <w:t xml:space="preserve">Draws on notion of ‘cultural capital’ (Bourdieu &amp; Passeron, 1977); positioned as informed by ‘social constructionist perspective’ (see Crotty 1998). </w:t>
            </w:r>
          </w:p>
          <w:p w14:paraId="4BDEAF74"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Evaluation: focus groups and individual interviews with parents and students (n=26; 5 x m; 21 x f). Explicates qualitative, thematic approach to analysis (Patton, 2002)</w:t>
            </w:r>
          </w:p>
          <w:p w14:paraId="7DF5355E" w14:textId="38FDCEAE" w:rsidR="00786FA7" w:rsidRPr="009E630F" w:rsidRDefault="00786FA7" w:rsidP="00786FA7">
            <w:pPr>
              <w:rPr>
                <w:rFonts w:ascii="Gill Sans MT" w:hAnsi="Gill Sans MT"/>
                <w:b/>
                <w:color w:val="000000"/>
                <w:szCs w:val="22"/>
                <w:lang w:val="en-AU"/>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 xml:space="preserve">Long discussion of benefits (e.g. making university appealing, increased sense of pride, course visits = convenient for students/ timetabling, academic writing focus = benefits for </w:t>
            </w:r>
            <w:proofErr w:type="gramStart"/>
            <w:r w:rsidRPr="005B7547">
              <w:rPr>
                <w:rFonts w:ascii="Gill Sans MT" w:hAnsi="Gill Sans MT"/>
                <w:color w:val="000000"/>
                <w:szCs w:val="22"/>
                <w:lang w:val="en-AU"/>
              </w:rPr>
              <w:t>school work</w:t>
            </w:r>
            <w:proofErr w:type="gramEnd"/>
            <w:r w:rsidRPr="005B7547">
              <w:rPr>
                <w:rFonts w:ascii="Gill Sans MT" w:hAnsi="Gill Sans MT"/>
                <w:color w:val="000000"/>
                <w:szCs w:val="22"/>
                <w:lang w:val="en-AU"/>
              </w:rPr>
              <w:t>, access to university library and on-campus visits = well received). Discussion also of challenges (stress, time management, difficulty in balancing work-study-study+)</w:t>
            </w:r>
            <w:r w:rsidRPr="005B7547">
              <w:rPr>
                <w:rFonts w:ascii="Gill Sans MT" w:hAnsi="Gill Sans MT"/>
                <w:b/>
                <w:color w:val="000000"/>
                <w:szCs w:val="22"/>
                <w:lang w:val="en-AU"/>
              </w:rPr>
              <w:br/>
              <w:t xml:space="preserve">Core argument: </w:t>
            </w:r>
            <w:r w:rsidRPr="005B7547">
              <w:rPr>
                <w:rFonts w:ascii="Gill Sans MT" w:hAnsi="Gill Sans MT"/>
                <w:color w:val="000000"/>
                <w:szCs w:val="22"/>
                <w:lang w:val="en-AU"/>
              </w:rPr>
              <w:t>Offers theorised and critical example of school-university partnership that is designed to specifically promote success with multiple benefits for all involved.</w:t>
            </w:r>
          </w:p>
        </w:tc>
      </w:tr>
      <w:tr w:rsidR="00786FA7" w:rsidRPr="009E630F" w14:paraId="04AF3525" w14:textId="77777777" w:rsidTr="000C6DDE">
        <w:tc>
          <w:tcPr>
            <w:tcW w:w="5529" w:type="dxa"/>
          </w:tcPr>
          <w:p w14:paraId="4A0210BB" w14:textId="77777777" w:rsidR="00786FA7" w:rsidRPr="005B7547" w:rsidRDefault="00786FA7" w:rsidP="00786FA7">
            <w:pPr>
              <w:rPr>
                <w:rFonts w:ascii="Gill Sans MT" w:hAnsi="Gill Sans MT"/>
                <w:szCs w:val="22"/>
              </w:rPr>
            </w:pPr>
            <w:r w:rsidRPr="005B7547">
              <w:rPr>
                <w:rFonts w:ascii="Gill Sans MT" w:hAnsi="Gill Sans MT"/>
                <w:szCs w:val="22"/>
              </w:rPr>
              <w:t xml:space="preserve">Southgate, E. &amp; Bennett, A. (2014). </w:t>
            </w:r>
            <w:hyperlink r:id="rId29" w:history="1">
              <w:r w:rsidRPr="005B7547">
                <w:rPr>
                  <w:rStyle w:val="Hyperlink"/>
                  <w:rFonts w:ascii="Gill Sans MT" w:hAnsi="Gill Sans MT"/>
                  <w:szCs w:val="22"/>
                </w:rPr>
                <w:t>Excavating Widening Participation Policy in Australian Higher Education: Subject Positions, Representational Effects, Emotion</w:t>
              </w:r>
            </w:hyperlink>
            <w:r w:rsidRPr="005B7547">
              <w:rPr>
                <w:rFonts w:ascii="Gill Sans MT" w:hAnsi="Gill Sans MT"/>
                <w:szCs w:val="22"/>
              </w:rPr>
              <w:t xml:space="preserve">, </w:t>
            </w:r>
            <w:r w:rsidRPr="005B7547">
              <w:rPr>
                <w:rFonts w:ascii="Gill Sans MT" w:hAnsi="Gill Sans MT"/>
                <w:i/>
                <w:szCs w:val="22"/>
              </w:rPr>
              <w:t>Creative Approaches to Research</w:t>
            </w:r>
            <w:r w:rsidRPr="005B7547">
              <w:rPr>
                <w:rFonts w:ascii="Gill Sans MT" w:hAnsi="Gill Sans MT"/>
                <w:szCs w:val="22"/>
              </w:rPr>
              <w:t>, 7(1)</w:t>
            </w:r>
            <w:r>
              <w:rPr>
                <w:rFonts w:ascii="Gill Sans MT" w:hAnsi="Gill Sans MT"/>
                <w:szCs w:val="22"/>
              </w:rPr>
              <w:t>,</w:t>
            </w:r>
            <w:r w:rsidRPr="005B7547">
              <w:rPr>
                <w:rFonts w:ascii="Gill Sans MT" w:hAnsi="Gill Sans MT"/>
                <w:szCs w:val="22"/>
              </w:rPr>
              <w:t xml:space="preserve"> 21</w:t>
            </w:r>
            <w:r>
              <w:rPr>
                <w:rFonts w:ascii="Gill Sans MT" w:hAnsi="Gill Sans MT"/>
                <w:szCs w:val="22"/>
              </w:rPr>
              <w:t>–</w:t>
            </w:r>
            <w:r w:rsidRPr="005B7547">
              <w:rPr>
                <w:rFonts w:ascii="Gill Sans MT" w:hAnsi="Gill Sans MT"/>
                <w:szCs w:val="22"/>
              </w:rPr>
              <w:t xml:space="preserve">45. </w:t>
            </w:r>
          </w:p>
          <w:p w14:paraId="4C48C1D4" w14:textId="77777777" w:rsidR="00786FA7" w:rsidRPr="005B7547" w:rsidRDefault="00786FA7" w:rsidP="00786FA7">
            <w:pPr>
              <w:rPr>
                <w:rFonts w:ascii="Gill Sans MT" w:hAnsi="Gill Sans MT"/>
                <w:szCs w:val="22"/>
              </w:rPr>
            </w:pPr>
          </w:p>
          <w:p w14:paraId="1E40D170" w14:textId="77777777" w:rsidR="00786FA7" w:rsidRPr="005B7547" w:rsidRDefault="00786FA7" w:rsidP="00786FA7">
            <w:pPr>
              <w:rPr>
                <w:rFonts w:ascii="Gill Sans MT" w:hAnsi="Gill Sans MT"/>
                <w:szCs w:val="22"/>
              </w:rPr>
            </w:pPr>
            <w:r w:rsidRPr="005B7547">
              <w:rPr>
                <w:rFonts w:ascii="Gill Sans MT" w:hAnsi="Gill Sans MT"/>
                <w:szCs w:val="22"/>
              </w:rPr>
              <w:t>AUS</w:t>
            </w:r>
          </w:p>
          <w:p w14:paraId="37AF6CFC" w14:textId="77777777" w:rsidR="00786FA7" w:rsidRPr="009A1CE0" w:rsidRDefault="00786FA7" w:rsidP="00786FA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5FF4DB55" w14:textId="77777777" w:rsidR="00786FA7" w:rsidRDefault="00786FA7" w:rsidP="00786FA7">
            <w:pPr>
              <w:rPr>
                <w:rFonts w:ascii="Gill Sans MT" w:hAnsi="Gill Sans MT"/>
                <w:szCs w:val="22"/>
              </w:rPr>
            </w:pPr>
          </w:p>
          <w:p w14:paraId="4F8F3946" w14:textId="77777777" w:rsidR="00786FA7" w:rsidRPr="005B7547" w:rsidRDefault="00786FA7" w:rsidP="00786FA7">
            <w:pPr>
              <w:rPr>
                <w:rFonts w:ascii="Gill Sans MT" w:hAnsi="Gill Sans MT"/>
                <w:szCs w:val="22"/>
              </w:rPr>
            </w:pPr>
            <w:r>
              <w:rPr>
                <w:rFonts w:ascii="Gill Sans MT" w:hAnsi="Gill Sans MT"/>
                <w:szCs w:val="22"/>
              </w:rPr>
              <w:t xml:space="preserve">Keywords: </w:t>
            </w:r>
            <w:r w:rsidRPr="005B7547">
              <w:rPr>
                <w:rFonts w:ascii="Gill Sans MT" w:hAnsi="Gill Sans MT"/>
                <w:i/>
                <w:iCs/>
                <w:szCs w:val="22"/>
              </w:rPr>
              <w:t>widening participation, higher education, policy, Foucault, discourse, subjectivity, emotion, aspiration, capability, meritocracy</w:t>
            </w:r>
          </w:p>
          <w:p w14:paraId="449513C3" w14:textId="77777777" w:rsidR="00786FA7" w:rsidRPr="005B7547" w:rsidRDefault="00786FA7" w:rsidP="00786FA7">
            <w:pPr>
              <w:rPr>
                <w:rFonts w:ascii="Gill Sans MT" w:hAnsi="Gill Sans MT"/>
                <w:szCs w:val="22"/>
              </w:rPr>
            </w:pPr>
          </w:p>
          <w:p w14:paraId="43195ACE" w14:textId="77777777" w:rsidR="00786FA7" w:rsidRPr="005B7547" w:rsidRDefault="00786FA7" w:rsidP="00786FA7">
            <w:pPr>
              <w:rPr>
                <w:rFonts w:ascii="Gill Sans MT" w:hAnsi="Gill Sans MT"/>
                <w:szCs w:val="22"/>
              </w:rPr>
            </w:pPr>
          </w:p>
        </w:tc>
        <w:tc>
          <w:tcPr>
            <w:tcW w:w="10064" w:type="dxa"/>
          </w:tcPr>
          <w:p w14:paraId="2623F7CF"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lastRenderedPageBreak/>
              <w:t xml:space="preserve">Context: </w:t>
            </w:r>
            <w:r w:rsidRPr="005B7547">
              <w:rPr>
                <w:rFonts w:ascii="Gill Sans MT" w:hAnsi="Gill Sans MT"/>
                <w:color w:val="000000"/>
                <w:szCs w:val="22"/>
                <w:lang w:val="en-AU"/>
              </w:rPr>
              <w:t>Australian widening participation (UK term used, not sure why)</w:t>
            </w:r>
            <w:r w:rsidRPr="005B7547">
              <w:rPr>
                <w:rFonts w:ascii="Gill Sans MT" w:hAnsi="Gill Sans MT"/>
                <w:b/>
                <w:color w:val="000000"/>
                <w:szCs w:val="22"/>
                <w:lang w:val="en-AU"/>
              </w:rPr>
              <w:t xml:space="preserve"> </w:t>
            </w:r>
          </w:p>
          <w:p w14:paraId="4CE67D1E"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To ask critical questions about neo-liberal forms of social justice</w:t>
            </w:r>
          </w:p>
          <w:p w14:paraId="415AB53A"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Theoretical frame: </w:t>
            </w:r>
            <w:r w:rsidRPr="005B7547">
              <w:rPr>
                <w:rFonts w:ascii="Gill Sans MT" w:hAnsi="Gill Sans MT"/>
                <w:color w:val="000000"/>
                <w:szCs w:val="22"/>
                <w:lang w:val="en-AU"/>
              </w:rPr>
              <w:t>Uses Foucauldian discourse analysis on policy documents (2008-2013)/ ‘feeling-rules’ = modes of emotional existence: “techniques of the self that are inherent in neo-liberal ideologies where each person is considered to be their own entrepreneur responsible for the cultivation of their own personal human capital” (p.26)</w:t>
            </w:r>
          </w:p>
          <w:p w14:paraId="4FE736EE"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Methodology: </w:t>
            </w:r>
            <w:proofErr w:type="spellStart"/>
            <w:r w:rsidRPr="005B7547">
              <w:rPr>
                <w:rFonts w:ascii="Gill Sans MT" w:hAnsi="Gill Sans MT"/>
                <w:color w:val="000000"/>
                <w:szCs w:val="22"/>
                <w:lang w:val="en-AU"/>
              </w:rPr>
              <w:t>Bacchi’s</w:t>
            </w:r>
            <w:proofErr w:type="spellEnd"/>
            <w:r w:rsidRPr="005B7547">
              <w:rPr>
                <w:rFonts w:ascii="Gill Sans MT" w:hAnsi="Gill Sans MT"/>
                <w:color w:val="000000"/>
                <w:szCs w:val="22"/>
                <w:lang w:val="en-AU"/>
              </w:rPr>
              <w:t xml:space="preserve"> ‘What’s the Problem Represented to be?’ (WPR) = ‘digging tool’ comprising 6 questions:</w:t>
            </w:r>
          </w:p>
          <w:p w14:paraId="74331F86" w14:textId="77777777" w:rsidR="00786FA7" w:rsidRPr="005B7547" w:rsidRDefault="00786FA7" w:rsidP="00786FA7">
            <w:pPr>
              <w:pStyle w:val="ListParagraph"/>
              <w:numPr>
                <w:ilvl w:val="0"/>
                <w:numId w:val="20"/>
              </w:numPr>
              <w:rPr>
                <w:rFonts w:ascii="Gill Sans MT" w:hAnsi="Gill Sans MT"/>
                <w:color w:val="000000"/>
                <w:szCs w:val="22"/>
                <w:lang w:val="en-AU"/>
              </w:rPr>
            </w:pPr>
            <w:r w:rsidRPr="005B7547">
              <w:rPr>
                <w:rFonts w:ascii="Gill Sans MT" w:hAnsi="Gill Sans MT"/>
                <w:color w:val="000000"/>
                <w:szCs w:val="22"/>
                <w:lang w:val="en-AU"/>
              </w:rPr>
              <w:t>What’s the problem represented to be in specific policy/ policy proposal?</w:t>
            </w:r>
          </w:p>
          <w:p w14:paraId="684D5A6D" w14:textId="77777777" w:rsidR="00786FA7" w:rsidRPr="005B7547" w:rsidRDefault="00786FA7" w:rsidP="00786FA7">
            <w:pPr>
              <w:pStyle w:val="ListParagraph"/>
              <w:numPr>
                <w:ilvl w:val="0"/>
                <w:numId w:val="20"/>
              </w:numPr>
              <w:rPr>
                <w:rFonts w:ascii="Gill Sans MT" w:hAnsi="Gill Sans MT"/>
                <w:color w:val="000000"/>
                <w:szCs w:val="22"/>
                <w:lang w:val="en-AU"/>
              </w:rPr>
            </w:pPr>
            <w:r w:rsidRPr="005B7547">
              <w:rPr>
                <w:rFonts w:ascii="Gill Sans MT" w:hAnsi="Gill Sans MT"/>
                <w:color w:val="000000"/>
                <w:szCs w:val="22"/>
                <w:lang w:val="en-AU"/>
              </w:rPr>
              <w:t>What presuppositions/ assumptions underpin this representation?</w:t>
            </w:r>
          </w:p>
          <w:p w14:paraId="7A930673" w14:textId="77777777" w:rsidR="00786FA7" w:rsidRPr="005B7547" w:rsidRDefault="00786FA7" w:rsidP="00786FA7">
            <w:pPr>
              <w:pStyle w:val="ListParagraph"/>
              <w:numPr>
                <w:ilvl w:val="0"/>
                <w:numId w:val="20"/>
              </w:numPr>
              <w:rPr>
                <w:rFonts w:ascii="Gill Sans MT" w:hAnsi="Gill Sans MT"/>
                <w:color w:val="000000"/>
                <w:szCs w:val="22"/>
                <w:lang w:val="en-AU"/>
              </w:rPr>
            </w:pPr>
            <w:r w:rsidRPr="005B7547">
              <w:rPr>
                <w:rFonts w:ascii="Gill Sans MT" w:hAnsi="Gill Sans MT"/>
                <w:color w:val="000000"/>
                <w:szCs w:val="22"/>
                <w:lang w:val="en-AU"/>
              </w:rPr>
              <w:t>How has this ‘representation’ come to be?</w:t>
            </w:r>
          </w:p>
          <w:p w14:paraId="756B5778" w14:textId="77777777" w:rsidR="00786FA7" w:rsidRPr="005B7547" w:rsidRDefault="00786FA7" w:rsidP="00786FA7">
            <w:pPr>
              <w:pStyle w:val="ListParagraph"/>
              <w:numPr>
                <w:ilvl w:val="0"/>
                <w:numId w:val="20"/>
              </w:numPr>
              <w:rPr>
                <w:rFonts w:ascii="Gill Sans MT" w:hAnsi="Gill Sans MT"/>
                <w:color w:val="000000"/>
                <w:szCs w:val="22"/>
                <w:lang w:val="en-AU"/>
              </w:rPr>
            </w:pPr>
            <w:r w:rsidRPr="005B7547">
              <w:rPr>
                <w:rFonts w:ascii="Gill Sans MT" w:hAnsi="Gill Sans MT"/>
                <w:color w:val="000000"/>
                <w:szCs w:val="22"/>
                <w:lang w:val="en-AU"/>
              </w:rPr>
              <w:lastRenderedPageBreak/>
              <w:t>What is left as unproblematic in this representation? Where are there silences?</w:t>
            </w:r>
          </w:p>
          <w:p w14:paraId="320793CD" w14:textId="77777777" w:rsidR="00786FA7" w:rsidRPr="005B7547" w:rsidRDefault="00786FA7" w:rsidP="00786FA7">
            <w:pPr>
              <w:pStyle w:val="ListParagraph"/>
              <w:numPr>
                <w:ilvl w:val="0"/>
                <w:numId w:val="20"/>
              </w:numPr>
              <w:rPr>
                <w:rFonts w:ascii="Gill Sans MT" w:hAnsi="Gill Sans MT"/>
                <w:color w:val="000000"/>
                <w:szCs w:val="22"/>
                <w:lang w:val="en-AU"/>
              </w:rPr>
            </w:pPr>
            <w:r w:rsidRPr="005B7547">
              <w:rPr>
                <w:rFonts w:ascii="Gill Sans MT" w:hAnsi="Gill Sans MT"/>
                <w:color w:val="000000"/>
                <w:szCs w:val="22"/>
                <w:lang w:val="en-AU"/>
              </w:rPr>
              <w:t>What effects are produced by this representation?</w:t>
            </w:r>
          </w:p>
          <w:p w14:paraId="67BDE707" w14:textId="77777777" w:rsidR="00786FA7" w:rsidRPr="005B7547" w:rsidRDefault="00786FA7" w:rsidP="00786FA7">
            <w:pPr>
              <w:pStyle w:val="ListParagraph"/>
              <w:numPr>
                <w:ilvl w:val="0"/>
                <w:numId w:val="20"/>
              </w:numPr>
              <w:rPr>
                <w:rFonts w:ascii="Gill Sans MT" w:hAnsi="Gill Sans MT"/>
                <w:color w:val="000000"/>
                <w:szCs w:val="22"/>
                <w:lang w:val="en-AU"/>
              </w:rPr>
            </w:pPr>
            <w:r w:rsidRPr="005B7547">
              <w:rPr>
                <w:rFonts w:ascii="Gill Sans MT" w:hAnsi="Gill Sans MT"/>
                <w:color w:val="000000"/>
                <w:szCs w:val="22"/>
                <w:lang w:val="en-AU"/>
              </w:rPr>
              <w:t>How/where has this representation been produced, disseminated and defended?</w:t>
            </w:r>
          </w:p>
          <w:p w14:paraId="7B54E349"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 xml:space="preserve">Identifies two subject positions and ‘feeling-rules’ within Australian WP policy: </w:t>
            </w:r>
            <w:r w:rsidRPr="005B7547">
              <w:rPr>
                <w:rFonts w:ascii="Gill Sans MT" w:hAnsi="Gill Sans MT"/>
                <w:i/>
                <w:color w:val="000000"/>
                <w:szCs w:val="22"/>
                <w:lang w:val="en-AU"/>
              </w:rPr>
              <w:t xml:space="preserve">the cap(able) individual </w:t>
            </w:r>
            <w:r w:rsidRPr="005B7547">
              <w:rPr>
                <w:rFonts w:ascii="Gill Sans MT" w:hAnsi="Gill Sans MT"/>
                <w:color w:val="000000"/>
                <w:szCs w:val="22"/>
                <w:lang w:val="en-AU"/>
              </w:rPr>
              <w:t xml:space="preserve">and </w:t>
            </w:r>
            <w:r w:rsidRPr="005B7547">
              <w:rPr>
                <w:rFonts w:ascii="Gill Sans MT" w:hAnsi="Gill Sans MT"/>
                <w:i/>
                <w:color w:val="000000"/>
                <w:szCs w:val="22"/>
                <w:lang w:val="en-AU"/>
              </w:rPr>
              <w:t>the proper aspirant</w:t>
            </w:r>
            <w:r w:rsidRPr="005B7547">
              <w:rPr>
                <w:rFonts w:ascii="Gill Sans MT" w:hAnsi="Gill Sans MT"/>
                <w:color w:val="000000"/>
                <w:szCs w:val="22"/>
                <w:lang w:val="en-AU"/>
              </w:rPr>
              <w:t>.</w:t>
            </w:r>
          </w:p>
          <w:p w14:paraId="02A06F5E" w14:textId="77777777" w:rsidR="00786FA7" w:rsidRPr="005B7547" w:rsidRDefault="00786FA7" w:rsidP="00786FA7">
            <w:pPr>
              <w:rPr>
                <w:rFonts w:ascii="Gill Sans MT" w:hAnsi="Gill Sans MT"/>
                <w:color w:val="000000"/>
                <w:szCs w:val="22"/>
                <w:lang w:val="en-AU"/>
              </w:rPr>
            </w:pPr>
            <w:r w:rsidRPr="005B7547">
              <w:rPr>
                <w:rFonts w:ascii="Gill Sans MT" w:hAnsi="Gill Sans MT"/>
                <w:color w:val="000000"/>
                <w:szCs w:val="22"/>
                <w:u w:val="single"/>
                <w:lang w:val="en-AU"/>
              </w:rPr>
              <w:t>The cap(able) individual</w:t>
            </w:r>
            <w:r w:rsidRPr="005B7547">
              <w:rPr>
                <w:rFonts w:ascii="Gill Sans MT" w:hAnsi="Gill Sans MT"/>
                <w:color w:val="000000"/>
                <w:szCs w:val="22"/>
                <w:lang w:val="en-AU"/>
              </w:rPr>
              <w:t xml:space="preserve">: a “quintessential neo-liberal subject who possesses ‘natural ability’, hope for social mobility and highly individualised and entrepreneurial disposition”. ‘Capability’ = “a floating signifier” (p.29) – left as </w:t>
            </w:r>
            <w:proofErr w:type="spellStart"/>
            <w:r w:rsidRPr="005B7547">
              <w:rPr>
                <w:rFonts w:ascii="Gill Sans MT" w:hAnsi="Gill Sans MT"/>
                <w:color w:val="000000"/>
                <w:szCs w:val="22"/>
                <w:lang w:val="en-AU"/>
              </w:rPr>
              <w:t>commonsensical</w:t>
            </w:r>
            <w:proofErr w:type="spellEnd"/>
            <w:r w:rsidRPr="005B7547">
              <w:rPr>
                <w:rFonts w:ascii="Gill Sans MT" w:hAnsi="Gill Sans MT"/>
                <w:color w:val="000000"/>
                <w:szCs w:val="22"/>
                <w:lang w:val="en-AU"/>
              </w:rPr>
              <w:t xml:space="preserve"> but it is informed by a suite of tacit assumptions about structural, sociocultural and environmental factors that are lacking in WP documents. Links with biological essentialist views (Cartesian views of identity?) = ‘natural ability’</w:t>
            </w:r>
          </w:p>
          <w:p w14:paraId="3EBD7145" w14:textId="5FDD28C3" w:rsidR="00786FA7" w:rsidRPr="005B7547" w:rsidRDefault="00786FA7" w:rsidP="00786FA7">
            <w:pPr>
              <w:rPr>
                <w:rFonts w:ascii="Gill Sans MT" w:hAnsi="Gill Sans MT"/>
                <w:b/>
                <w:color w:val="000000"/>
                <w:szCs w:val="22"/>
                <w:lang w:val="en-AU"/>
              </w:rPr>
            </w:pPr>
            <w:r w:rsidRPr="005B7547">
              <w:rPr>
                <w:rFonts w:ascii="Gill Sans MT" w:hAnsi="Gill Sans MT"/>
                <w:color w:val="000000"/>
                <w:szCs w:val="22"/>
                <w:u w:val="single"/>
                <w:lang w:val="en-AU"/>
              </w:rPr>
              <w:t>The proper aspirant:</w:t>
            </w:r>
            <w:r w:rsidRPr="005B7547">
              <w:rPr>
                <w:rFonts w:ascii="Gill Sans MT" w:hAnsi="Gill Sans MT"/>
                <w:color w:val="000000"/>
                <w:szCs w:val="22"/>
                <w:lang w:val="en-AU"/>
              </w:rPr>
              <w:t xml:space="preserve"> “must display an ability to rationally calculate pathways to and through higher education… for maximum benefit” (p.35). This subject position is based on a normative hierarchy (e.g. university is better than </w:t>
            </w:r>
            <w:proofErr w:type="gramStart"/>
            <w:r w:rsidRPr="005B7547">
              <w:rPr>
                <w:rFonts w:ascii="Gill Sans MT" w:hAnsi="Gill Sans MT"/>
                <w:color w:val="000000"/>
                <w:szCs w:val="22"/>
                <w:lang w:val="en-AU"/>
              </w:rPr>
              <w:t>TAFE )</w:t>
            </w:r>
            <w:proofErr w:type="gramEnd"/>
            <w:r w:rsidRPr="005B7547">
              <w:rPr>
                <w:rFonts w:ascii="Gill Sans MT" w:hAnsi="Gill Sans MT"/>
                <w:color w:val="000000"/>
                <w:szCs w:val="22"/>
                <w:lang w:val="en-AU"/>
              </w:rPr>
              <w:t>, which privileges middle-class ideals (p.34). This subject position “diminishes the feeling-rules that permeate governmental power relations” and allows some ways of being/doing/knowing to be valued more than others. Here, ‘working-class’ subjectivity is positioned as ‘unknowing’ with ‘deficits on quality’.</w:t>
            </w:r>
            <w:r w:rsidRPr="005B7547">
              <w:rPr>
                <w:rFonts w:ascii="Gill Sans MT" w:hAnsi="Gill Sans MT"/>
                <w:b/>
                <w:color w:val="000000"/>
                <w:szCs w:val="22"/>
                <w:lang w:val="en-AU"/>
              </w:rPr>
              <w:br/>
              <w:t xml:space="preserve">Core argument: </w:t>
            </w:r>
            <w:r w:rsidRPr="005B7547">
              <w:rPr>
                <w:rFonts w:ascii="Gill Sans MT" w:hAnsi="Gill Sans MT"/>
                <w:color w:val="000000"/>
                <w:szCs w:val="22"/>
                <w:lang w:val="en-AU"/>
              </w:rPr>
              <w:t>Aspiration is a ‘neo-liberal form of hope’ (p.38)</w:t>
            </w:r>
          </w:p>
        </w:tc>
      </w:tr>
      <w:tr w:rsidR="00786FA7" w:rsidRPr="009E630F" w14:paraId="78336F5E" w14:textId="77777777" w:rsidTr="000C6DDE">
        <w:tc>
          <w:tcPr>
            <w:tcW w:w="5529" w:type="dxa"/>
          </w:tcPr>
          <w:p w14:paraId="72280FB7" w14:textId="77777777" w:rsidR="00786FA7" w:rsidRPr="005B7547" w:rsidRDefault="00786FA7" w:rsidP="00786FA7">
            <w:pPr>
              <w:rPr>
                <w:rFonts w:ascii="Gill Sans MT" w:hAnsi="Gill Sans MT"/>
                <w:szCs w:val="22"/>
              </w:rPr>
            </w:pPr>
            <w:r w:rsidRPr="005B7547">
              <w:rPr>
                <w:rFonts w:ascii="Gill Sans MT" w:hAnsi="Gill Sans MT"/>
                <w:szCs w:val="22"/>
              </w:rPr>
              <w:lastRenderedPageBreak/>
              <w:t xml:space="preserve">Stevenson, J.; Clegg, S.; &amp; Lefever, R. (2010). </w:t>
            </w:r>
            <w:hyperlink r:id="rId30" w:history="1">
              <w:r w:rsidRPr="005B7547">
                <w:rPr>
                  <w:rStyle w:val="Hyperlink"/>
                  <w:rFonts w:ascii="Gill Sans MT" w:hAnsi="Gill Sans MT"/>
                  <w:szCs w:val="22"/>
                </w:rPr>
                <w:t>The discourse of widening participation and its critics: an institutional case study</w:t>
              </w:r>
            </w:hyperlink>
            <w:r>
              <w:rPr>
                <w:rFonts w:ascii="Gill Sans MT" w:hAnsi="Gill Sans MT"/>
                <w:szCs w:val="22"/>
              </w:rPr>
              <w:t>,</w:t>
            </w:r>
            <w:r w:rsidRPr="005B7547">
              <w:rPr>
                <w:rFonts w:ascii="Gill Sans MT" w:hAnsi="Gill Sans MT"/>
                <w:szCs w:val="22"/>
              </w:rPr>
              <w:t xml:space="preserve"> </w:t>
            </w:r>
            <w:r w:rsidRPr="005B7547">
              <w:rPr>
                <w:rFonts w:ascii="Gill Sans MT" w:hAnsi="Gill Sans MT"/>
                <w:i/>
                <w:szCs w:val="22"/>
              </w:rPr>
              <w:t>London Review of Education,</w:t>
            </w:r>
            <w:r w:rsidRPr="005B7547">
              <w:rPr>
                <w:rFonts w:ascii="Gill Sans MT" w:hAnsi="Gill Sans MT"/>
                <w:szCs w:val="22"/>
              </w:rPr>
              <w:t xml:space="preserve"> 8(2)</w:t>
            </w:r>
            <w:r>
              <w:rPr>
                <w:rFonts w:ascii="Gill Sans MT" w:hAnsi="Gill Sans MT"/>
                <w:szCs w:val="22"/>
              </w:rPr>
              <w:t>,</w:t>
            </w:r>
            <w:r w:rsidRPr="005B7547">
              <w:rPr>
                <w:rFonts w:ascii="Gill Sans MT" w:hAnsi="Gill Sans MT"/>
                <w:szCs w:val="22"/>
              </w:rPr>
              <w:t xml:space="preserve"> 105</w:t>
            </w:r>
            <w:r>
              <w:rPr>
                <w:rFonts w:ascii="Gill Sans MT" w:hAnsi="Gill Sans MT"/>
                <w:szCs w:val="22"/>
              </w:rPr>
              <w:t>–</w:t>
            </w:r>
            <w:r w:rsidRPr="005B7547">
              <w:rPr>
                <w:rFonts w:ascii="Gill Sans MT" w:hAnsi="Gill Sans MT"/>
                <w:szCs w:val="22"/>
              </w:rPr>
              <w:t>115.</w:t>
            </w:r>
          </w:p>
          <w:p w14:paraId="05EFD5CC" w14:textId="77777777" w:rsidR="00786FA7" w:rsidRPr="005B7547" w:rsidRDefault="00786FA7" w:rsidP="00786FA7">
            <w:pPr>
              <w:rPr>
                <w:rFonts w:ascii="Gill Sans MT" w:hAnsi="Gill Sans MT"/>
                <w:szCs w:val="22"/>
              </w:rPr>
            </w:pPr>
          </w:p>
          <w:p w14:paraId="5CE99F64" w14:textId="77777777" w:rsidR="00786FA7" w:rsidRPr="005B7547" w:rsidRDefault="00786FA7" w:rsidP="00786FA7">
            <w:pPr>
              <w:rPr>
                <w:rFonts w:ascii="Gill Sans MT" w:hAnsi="Gill Sans MT"/>
                <w:szCs w:val="22"/>
              </w:rPr>
            </w:pPr>
            <w:r w:rsidRPr="005B7547">
              <w:rPr>
                <w:rFonts w:ascii="Gill Sans MT" w:hAnsi="Gill Sans MT"/>
                <w:szCs w:val="22"/>
              </w:rPr>
              <w:t>UK</w:t>
            </w:r>
          </w:p>
          <w:p w14:paraId="0994A695" w14:textId="77777777" w:rsidR="00786FA7" w:rsidRPr="009A1CE0" w:rsidRDefault="00786FA7" w:rsidP="00786FA7">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26C76125" w14:textId="77777777" w:rsidR="00786FA7" w:rsidRPr="005B7547" w:rsidRDefault="00786FA7" w:rsidP="00786FA7">
            <w:pPr>
              <w:rPr>
                <w:rFonts w:ascii="Gill Sans MT" w:hAnsi="Gill Sans MT"/>
                <w:szCs w:val="22"/>
              </w:rPr>
            </w:pPr>
          </w:p>
          <w:p w14:paraId="2E9A5108" w14:textId="49E69910" w:rsidR="00786FA7" w:rsidRPr="005B7547" w:rsidRDefault="00786FA7" w:rsidP="00786FA7">
            <w:pPr>
              <w:rPr>
                <w:rFonts w:ascii="Gill Sans MT" w:hAnsi="Gill Sans MT"/>
                <w:szCs w:val="22"/>
              </w:rPr>
            </w:pPr>
            <w:r w:rsidRPr="005B7547">
              <w:rPr>
                <w:rFonts w:ascii="Gill Sans MT" w:hAnsi="Gill Sans MT"/>
                <w:szCs w:val="22"/>
              </w:rPr>
              <w:t xml:space="preserve">Keywords: </w:t>
            </w:r>
            <w:r w:rsidRPr="005B7547">
              <w:rPr>
                <w:rFonts w:ascii="Gill Sans MT" w:hAnsi="Gill Sans MT"/>
                <w:i/>
                <w:szCs w:val="22"/>
              </w:rPr>
              <w:t>widening participation, higher education, policy, values</w:t>
            </w:r>
          </w:p>
        </w:tc>
        <w:tc>
          <w:tcPr>
            <w:tcW w:w="10064" w:type="dxa"/>
          </w:tcPr>
          <w:p w14:paraId="2E8AE5BD"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Explores contradictory discourses of WP and contestations between public policy and practitioners. WP = “a contradictory and unstable amalgam of economic rationality and social justice arguments” (p.105). Scopes UK HE landscape (1960s – 2010), through Tory policies of 1979-1997, and impact of New Labour policies – looking at language used, from “the drive to increase participation as an act of social justice was overtaken by a policy discourse which saw mass higher learning as fundamental to the future prosperity and competitive advantage of the UK” in Tory policy to New Labour ethos: “knowledge-economy, higher education becomes a potentially powerful instrument of social justice, since it serves not only as a driver of wealth creation, but as a critical determinant of life chances’” (all p.106). Currently, UK HE policy is underpinned by discourse positioning students as ‘consumers’ of free market – with non-participation seen as a deficit (Burke, 2009). In UK = ambiguity about who WP groups are</w:t>
            </w:r>
          </w:p>
          <w:p w14:paraId="219C3EDB" w14:textId="77777777" w:rsidR="00786FA7" w:rsidRPr="005B7547" w:rsidRDefault="00786FA7" w:rsidP="00786FA7">
            <w:pPr>
              <w:rPr>
                <w:rFonts w:ascii="Gill Sans MT" w:hAnsi="Gill Sans MT"/>
                <w:b/>
                <w:color w:val="000000"/>
                <w:szCs w:val="22"/>
                <w:lang w:val="en-AU"/>
              </w:rPr>
            </w:pPr>
            <w:r w:rsidRPr="005B7547">
              <w:rPr>
                <w:rFonts w:ascii="Gill Sans MT" w:hAnsi="Gill Sans MT"/>
                <w:b/>
                <w:color w:val="000000"/>
                <w:szCs w:val="22"/>
                <w:lang w:val="en-AU"/>
              </w:rPr>
              <w:t>Aim: “</w:t>
            </w:r>
            <w:r w:rsidRPr="005B7547">
              <w:rPr>
                <w:rFonts w:ascii="Gill Sans MT" w:hAnsi="Gill Sans MT"/>
              </w:rPr>
              <w:t>to interrogate how these public debates and policies are realised in practice, and what interpretative work is engaged in by those who see themselves as WP advocates and practitioners” (p.108) – how do WP staff make sense of WP in context of competing discourses</w:t>
            </w:r>
          </w:p>
          <w:p w14:paraId="02241E12" w14:textId="77777777" w:rsidR="00786FA7" w:rsidRPr="005B7547" w:rsidRDefault="00786FA7" w:rsidP="00786FA7">
            <w:pPr>
              <w:rPr>
                <w:rFonts w:ascii="Gill Sans MT" w:hAnsi="Gill Sans MT"/>
                <w:b/>
                <w:color w:val="000000"/>
                <w:szCs w:val="22"/>
                <w:lang w:val="en-AU"/>
              </w:rPr>
            </w:pPr>
            <w:r w:rsidRPr="005B7547">
              <w:rPr>
                <w:rFonts w:ascii="Gill Sans MT" w:hAnsi="Gill Sans MT"/>
                <w:b/>
                <w:color w:val="000000"/>
                <w:szCs w:val="22"/>
                <w:lang w:val="en-AU"/>
              </w:rPr>
              <w:t>Theoretical frame:</w:t>
            </w:r>
            <w:r w:rsidRPr="005B7547">
              <w:rPr>
                <w:rFonts w:ascii="Gill Sans MT" w:hAnsi="Gill Sans MT"/>
              </w:rPr>
              <w:t xml:space="preserve"> takes </w:t>
            </w:r>
            <w:proofErr w:type="spellStart"/>
            <w:r w:rsidRPr="005B7547">
              <w:rPr>
                <w:rFonts w:ascii="Gill Sans MT" w:hAnsi="Gill Sans MT"/>
              </w:rPr>
              <w:t>Trowler’s</w:t>
            </w:r>
            <w:proofErr w:type="spellEnd"/>
            <w:r w:rsidRPr="005B7547">
              <w:rPr>
                <w:rFonts w:ascii="Gill Sans MT" w:hAnsi="Gill Sans MT"/>
              </w:rPr>
              <w:t xml:space="preserve"> (2002) view of ‘loose coupling’ between policy and outcomes</w:t>
            </w:r>
          </w:p>
          <w:p w14:paraId="3EA24918" w14:textId="77777777" w:rsidR="00786FA7" w:rsidRPr="005B7547" w:rsidRDefault="00786FA7" w:rsidP="00786FA7">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 xml:space="preserve">Institutional case study of post-1992 HEI; tools = documentary analysis, online </w:t>
            </w:r>
            <w:proofErr w:type="spellStart"/>
            <w:r w:rsidRPr="005B7547">
              <w:rPr>
                <w:rFonts w:ascii="Gill Sans MT" w:hAnsi="Gill Sans MT"/>
                <w:color w:val="000000"/>
                <w:szCs w:val="22"/>
                <w:lang w:val="en-AU"/>
              </w:rPr>
              <w:t>q’naire</w:t>
            </w:r>
            <w:proofErr w:type="spellEnd"/>
            <w:r w:rsidRPr="005B7547">
              <w:rPr>
                <w:rFonts w:ascii="Gill Sans MT" w:hAnsi="Gill Sans MT"/>
                <w:color w:val="000000"/>
                <w:szCs w:val="22"/>
                <w:lang w:val="en-AU"/>
              </w:rPr>
              <w:t xml:space="preserve">, </w:t>
            </w:r>
            <w:r w:rsidRPr="005B7547">
              <w:rPr>
                <w:rFonts w:ascii="Gill Sans MT" w:hAnsi="Gill Sans MT"/>
                <w:color w:val="000000"/>
                <w:szCs w:val="22"/>
                <w:lang w:val="en-AU"/>
              </w:rPr>
              <w:lastRenderedPageBreak/>
              <w:t xml:space="preserve">interviews as part of internally commissioned audit of practice. 94 staff members completed </w:t>
            </w:r>
            <w:proofErr w:type="spellStart"/>
            <w:r w:rsidRPr="005B7547">
              <w:rPr>
                <w:rFonts w:ascii="Gill Sans MT" w:hAnsi="Gill Sans MT"/>
                <w:color w:val="000000"/>
                <w:szCs w:val="22"/>
                <w:lang w:val="en-AU"/>
              </w:rPr>
              <w:t>q’naire</w:t>
            </w:r>
            <w:proofErr w:type="spellEnd"/>
          </w:p>
          <w:p w14:paraId="72DAEC2B" w14:textId="77777777" w:rsidR="00786FA7" w:rsidRPr="005B7547" w:rsidRDefault="00786FA7" w:rsidP="00786FA7">
            <w:pPr>
              <w:rPr>
                <w:rFonts w:ascii="Gill Sans MT" w:hAnsi="Gill Sans MT"/>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 xml:space="preserve">Documentary analysis showed that there was no longer a WP policy (other terms used such as diversity, inclusion, equality), which was reflected in confusion in staff interviews. When prompted, staff gave multiple definition of who WP is for, and many used the interview to seek clarification from researchers. One theme: staff interviews suggested = “heavily values-based orientation towards WP” (p.110). Examples given related most to public policy and aspirations building (Aim Higher). Interviews with staff also suggested who staff considered having responsibility for WP (most saw it laying equally with all staff; others saw it as the work of a particular department) and there was ‘confusion’ about whether students or staff should be proactive in offering support. In terms of the case study university’s commitment to WP, senior managers perceived a strong commitment to </w:t>
            </w:r>
            <w:proofErr w:type="gramStart"/>
            <w:r w:rsidRPr="005B7547">
              <w:rPr>
                <w:rFonts w:ascii="Gill Sans MT" w:hAnsi="Gill Sans MT"/>
                <w:color w:val="000000"/>
                <w:szCs w:val="22"/>
                <w:lang w:val="en-AU"/>
              </w:rPr>
              <w:t>WP</w:t>
            </w:r>
            <w:proofErr w:type="gramEnd"/>
            <w:r w:rsidRPr="005B7547">
              <w:rPr>
                <w:rFonts w:ascii="Gill Sans MT" w:hAnsi="Gill Sans MT"/>
                <w:color w:val="000000"/>
                <w:szCs w:val="22"/>
                <w:lang w:val="en-AU"/>
              </w:rPr>
              <w:t xml:space="preserve"> but this wasn’t ‘filtering down’ and believed that other staff were negative about WP. Staff lower down the hierarchy were less convinced of institutional commitment to WP and, according to one participant (an academic) the university was “</w:t>
            </w:r>
            <w:r w:rsidRPr="005B7547">
              <w:rPr>
                <w:rFonts w:ascii="Gill Sans MT" w:hAnsi="Gill Sans MT"/>
              </w:rPr>
              <w:t xml:space="preserve">lucky to have a lot of willing and dedicated staff and individual commitment to WP that really needs to be harnessed more effectively” (p.111). Discourse of blame = likely result of an unclear and inconsistent use of WP terms and practices, meaning individual staff drew on own local/personal values and blamed ‘others’ for lack of support/engagement with WP. Blaming others </w:t>
            </w:r>
            <w:proofErr w:type="gramStart"/>
            <w:r w:rsidRPr="005B7547">
              <w:rPr>
                <w:rFonts w:ascii="Gill Sans MT" w:hAnsi="Gill Sans MT"/>
              </w:rPr>
              <w:t>“,mirrors</w:t>
            </w:r>
            <w:proofErr w:type="gramEnd"/>
            <w:r w:rsidRPr="005B7547">
              <w:rPr>
                <w:rFonts w:ascii="Gill Sans MT" w:hAnsi="Gill Sans MT"/>
              </w:rPr>
              <w:t xml:space="preserve"> the individualism of the WP discourse itself” (p.112) Clear sense of frustration within WP practitioners and advocates because of lack of consistency/ confusion messages from institution.</w:t>
            </w:r>
          </w:p>
          <w:p w14:paraId="71237459" w14:textId="53A32548" w:rsidR="00786FA7" w:rsidRPr="005B7547" w:rsidRDefault="00786FA7" w:rsidP="00786FA7">
            <w:pPr>
              <w:rPr>
                <w:rFonts w:ascii="Gill Sans MT" w:hAnsi="Gill Sans MT"/>
                <w:b/>
                <w:color w:val="000000"/>
                <w:szCs w:val="22"/>
                <w:lang w:val="en-AU"/>
              </w:rPr>
            </w:pPr>
            <w:r w:rsidRPr="005B7547">
              <w:rPr>
                <w:rFonts w:ascii="Gill Sans MT" w:hAnsi="Gill Sans MT"/>
                <w:b/>
                <w:color w:val="000000"/>
                <w:szCs w:val="22"/>
                <w:lang w:val="en-AU"/>
              </w:rPr>
              <w:t>Core argument</w:t>
            </w:r>
            <w:r w:rsidRPr="005B7547">
              <w:rPr>
                <w:rFonts w:ascii="Gill Sans MT" w:hAnsi="Gill Sans MT"/>
                <w:color w:val="000000"/>
                <w:szCs w:val="22"/>
                <w:lang w:val="en-AU"/>
              </w:rPr>
              <w:t>: “as long as the policy context and the philosophical rationale for WP remain unclear, WP practice is likely to remain the preserve of committed individuals, and, at the local level, will be largely incapable of having a sustained impact on broader institutional cultures and discourse” (p.105)</w:t>
            </w:r>
          </w:p>
        </w:tc>
      </w:tr>
      <w:tr w:rsidR="00FB26B0" w:rsidRPr="009E630F" w14:paraId="0FE3D47D" w14:textId="77777777" w:rsidTr="000C6DDE">
        <w:tc>
          <w:tcPr>
            <w:tcW w:w="5529" w:type="dxa"/>
          </w:tcPr>
          <w:p w14:paraId="50C32F79" w14:textId="77777777" w:rsidR="00FB26B0" w:rsidRPr="005B7547" w:rsidRDefault="00FB26B0" w:rsidP="00FB26B0">
            <w:pPr>
              <w:rPr>
                <w:rFonts w:ascii="Gill Sans MT" w:hAnsi="Gill Sans MT"/>
                <w:szCs w:val="22"/>
              </w:rPr>
            </w:pPr>
            <w:r w:rsidRPr="005B7547">
              <w:rPr>
                <w:rFonts w:ascii="Gill Sans MT" w:hAnsi="Gill Sans MT"/>
                <w:szCs w:val="22"/>
              </w:rPr>
              <w:lastRenderedPageBreak/>
              <w:t xml:space="preserve">Stewart, A. (2010). Widening Participation? </w:t>
            </w:r>
            <w:proofErr w:type="gramStart"/>
            <w:r w:rsidRPr="005B7547">
              <w:rPr>
                <w:rFonts w:ascii="Gill Sans MT" w:hAnsi="Gill Sans MT"/>
                <w:szCs w:val="22"/>
              </w:rPr>
              <w:t>Yes</w:t>
            </w:r>
            <w:proofErr w:type="gramEnd"/>
            <w:r w:rsidRPr="005B7547">
              <w:rPr>
                <w:rFonts w:ascii="Gill Sans MT" w:hAnsi="Gill Sans MT"/>
                <w:szCs w:val="22"/>
              </w:rPr>
              <w:t xml:space="preserve"> we can! Insights from policy and leading practice in three countries; England, Ireland and USA. The University of Queensland</w:t>
            </w:r>
          </w:p>
          <w:p w14:paraId="6B011709" w14:textId="77777777" w:rsidR="00FB26B0" w:rsidRPr="005B7547" w:rsidRDefault="00FB26B0" w:rsidP="00FB26B0">
            <w:pPr>
              <w:rPr>
                <w:rFonts w:ascii="Gill Sans MT" w:hAnsi="Gill Sans MT"/>
                <w:szCs w:val="22"/>
              </w:rPr>
            </w:pPr>
          </w:p>
          <w:p w14:paraId="23DDAB8F" w14:textId="77777777" w:rsidR="00FB26B0" w:rsidRDefault="00FB26B0" w:rsidP="00FB26B0">
            <w:pPr>
              <w:rPr>
                <w:rFonts w:ascii="Gill Sans MT" w:hAnsi="Gill Sans MT"/>
                <w:szCs w:val="22"/>
              </w:rPr>
            </w:pPr>
            <w:r>
              <w:rPr>
                <w:rFonts w:ascii="Gill Sans MT" w:hAnsi="Gill Sans MT"/>
                <w:szCs w:val="22"/>
              </w:rPr>
              <w:t>AUS</w:t>
            </w:r>
          </w:p>
          <w:p w14:paraId="0A0B4706" w14:textId="77777777" w:rsidR="00FB26B0" w:rsidRPr="009A1CE0" w:rsidRDefault="00FB26B0" w:rsidP="00FB26B0">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6DB05BE3" w14:textId="77777777" w:rsidR="00FB26B0" w:rsidRPr="005B7547" w:rsidRDefault="00FB26B0" w:rsidP="00FB26B0">
            <w:pPr>
              <w:rPr>
                <w:rFonts w:ascii="Gill Sans MT" w:hAnsi="Gill Sans MT"/>
                <w:szCs w:val="22"/>
              </w:rPr>
            </w:pPr>
          </w:p>
          <w:p w14:paraId="5176EDB8" w14:textId="77777777" w:rsidR="00FB26B0" w:rsidRPr="009E630F" w:rsidRDefault="00FB26B0" w:rsidP="00FB26B0">
            <w:pPr>
              <w:widowControl w:val="0"/>
              <w:autoSpaceDE w:val="0"/>
              <w:autoSpaceDN w:val="0"/>
              <w:adjustRightInd w:val="0"/>
              <w:rPr>
                <w:rFonts w:ascii="Gill Sans MT" w:hAnsi="Gill Sans MT"/>
                <w:szCs w:val="22"/>
              </w:rPr>
            </w:pPr>
          </w:p>
        </w:tc>
        <w:tc>
          <w:tcPr>
            <w:tcW w:w="10064" w:type="dxa"/>
          </w:tcPr>
          <w:p w14:paraId="21C201D6" w14:textId="77777777" w:rsidR="00FB26B0" w:rsidRPr="005B7547" w:rsidRDefault="00FB26B0" w:rsidP="00FB26B0">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 xml:space="preserve">Report from a study tour of key higher education institutions, leading universities and partner schools to investigate widening participation to low SES students. </w:t>
            </w:r>
          </w:p>
          <w:p w14:paraId="2ACD37A6" w14:textId="77777777" w:rsidR="00FB26B0" w:rsidRPr="005B7547" w:rsidRDefault="00FB26B0" w:rsidP="00FB26B0">
            <w:pPr>
              <w:pStyle w:val="ListParagraph"/>
              <w:numPr>
                <w:ilvl w:val="0"/>
                <w:numId w:val="21"/>
              </w:numPr>
              <w:rPr>
                <w:rFonts w:ascii="Gill Sans MT" w:hAnsi="Gill Sans MT"/>
                <w:color w:val="000000"/>
                <w:szCs w:val="22"/>
                <w:lang w:val="en-AU"/>
              </w:rPr>
            </w:pPr>
            <w:r w:rsidRPr="005B7547">
              <w:rPr>
                <w:rFonts w:ascii="Gill Sans MT" w:hAnsi="Gill Sans MT"/>
                <w:color w:val="000000"/>
                <w:szCs w:val="22"/>
                <w:lang w:val="en-AU"/>
              </w:rPr>
              <w:t>WP in UK: 1997 Dearing Report – disparities of access and participation of particular groups and linked to contribution of graduates to national economy – led to introduction of tuition fees/student loans system (initial cost = £1000 per year)</w:t>
            </w:r>
          </w:p>
          <w:p w14:paraId="1DDCAB08" w14:textId="77777777" w:rsidR="00FB26B0" w:rsidRPr="005B7547" w:rsidRDefault="00FB26B0" w:rsidP="00FB26B0">
            <w:pPr>
              <w:pStyle w:val="ListParagraph"/>
              <w:numPr>
                <w:ilvl w:val="0"/>
                <w:numId w:val="21"/>
              </w:numPr>
              <w:rPr>
                <w:rFonts w:ascii="Gill Sans MT" w:hAnsi="Gill Sans MT"/>
                <w:color w:val="000000"/>
                <w:szCs w:val="22"/>
                <w:lang w:val="en-AU"/>
              </w:rPr>
            </w:pPr>
            <w:r w:rsidRPr="005B7547">
              <w:rPr>
                <w:rFonts w:ascii="Gill Sans MT" w:hAnsi="Gill Sans MT"/>
                <w:color w:val="000000"/>
                <w:szCs w:val="22"/>
                <w:lang w:val="en-AU"/>
              </w:rPr>
              <w:t>Specific reference to travellers in Irish WP context</w:t>
            </w:r>
          </w:p>
          <w:p w14:paraId="359A0F93" w14:textId="77777777" w:rsidR="00FB26B0" w:rsidRPr="005B7547" w:rsidRDefault="00FB26B0" w:rsidP="00FB26B0">
            <w:pPr>
              <w:pStyle w:val="ListParagraph"/>
              <w:numPr>
                <w:ilvl w:val="0"/>
                <w:numId w:val="21"/>
              </w:numPr>
              <w:rPr>
                <w:rFonts w:ascii="Gill Sans MT" w:hAnsi="Gill Sans MT"/>
                <w:color w:val="000000"/>
                <w:szCs w:val="22"/>
                <w:lang w:val="en-AU"/>
              </w:rPr>
            </w:pPr>
            <w:r w:rsidRPr="005B7547">
              <w:rPr>
                <w:rFonts w:ascii="Gill Sans MT" w:hAnsi="Gill Sans MT"/>
                <w:color w:val="000000"/>
                <w:szCs w:val="22"/>
                <w:lang w:val="en-AU"/>
              </w:rPr>
              <w:t>Across UK and Ireland, recognition of need for “coordinated national response” to issues related to social class (not SES)</w:t>
            </w:r>
          </w:p>
          <w:p w14:paraId="725440AF" w14:textId="77777777" w:rsidR="00FB26B0" w:rsidRPr="005B7547" w:rsidRDefault="00FB26B0" w:rsidP="00FB26B0">
            <w:pPr>
              <w:pStyle w:val="ListParagraph"/>
              <w:numPr>
                <w:ilvl w:val="0"/>
                <w:numId w:val="21"/>
              </w:numPr>
              <w:rPr>
                <w:rFonts w:ascii="Gill Sans MT" w:hAnsi="Gill Sans MT"/>
                <w:color w:val="000000"/>
                <w:szCs w:val="22"/>
                <w:lang w:val="en-AU"/>
              </w:rPr>
            </w:pPr>
            <w:r w:rsidRPr="005B7547">
              <w:rPr>
                <w:rFonts w:ascii="Gill Sans MT" w:hAnsi="Gill Sans MT"/>
                <w:color w:val="000000"/>
                <w:szCs w:val="22"/>
                <w:lang w:val="en-AU"/>
              </w:rPr>
              <w:t>UK: HEFCE established in 1992 in UK; HEPI founded in 2002; HESA – collects HE statistics and regularly reports on WP; OFFA safeguards and promotes fair access</w:t>
            </w:r>
          </w:p>
          <w:p w14:paraId="254261F4" w14:textId="77777777" w:rsidR="00FB26B0" w:rsidRPr="005B7547" w:rsidRDefault="00FB26B0" w:rsidP="00FB26B0">
            <w:pPr>
              <w:pStyle w:val="ListParagraph"/>
              <w:numPr>
                <w:ilvl w:val="0"/>
                <w:numId w:val="21"/>
              </w:numPr>
              <w:rPr>
                <w:rFonts w:ascii="Gill Sans MT" w:hAnsi="Gill Sans MT"/>
                <w:color w:val="000000"/>
                <w:szCs w:val="22"/>
                <w:lang w:val="en-AU"/>
              </w:rPr>
            </w:pPr>
            <w:r w:rsidRPr="005B7547">
              <w:rPr>
                <w:rFonts w:ascii="Gill Sans MT" w:hAnsi="Gill Sans MT"/>
                <w:color w:val="000000"/>
                <w:szCs w:val="22"/>
                <w:lang w:val="en-AU"/>
              </w:rPr>
              <w:t>In Ireland, the HEA has responsibility for planning, development and advice</w:t>
            </w:r>
          </w:p>
          <w:p w14:paraId="7EB48229"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lang w:val="en-AU"/>
              </w:rPr>
              <w:t>WP practices in UK</w:t>
            </w:r>
          </w:p>
          <w:p w14:paraId="6DF26BC2" w14:textId="77777777" w:rsidR="00FB26B0" w:rsidRPr="005B7547" w:rsidRDefault="00FB26B0" w:rsidP="00FB26B0">
            <w:pPr>
              <w:pStyle w:val="ListParagraph"/>
              <w:numPr>
                <w:ilvl w:val="0"/>
                <w:numId w:val="21"/>
              </w:numPr>
              <w:rPr>
                <w:rFonts w:ascii="Gill Sans MT" w:hAnsi="Gill Sans MT"/>
                <w:color w:val="000000"/>
                <w:szCs w:val="22"/>
                <w:lang w:val="en-AU"/>
              </w:rPr>
            </w:pPr>
            <w:r w:rsidRPr="005B7547">
              <w:rPr>
                <w:rFonts w:ascii="Gill Sans MT" w:hAnsi="Gill Sans MT"/>
                <w:color w:val="000000"/>
                <w:szCs w:val="22"/>
                <w:lang w:val="en-AU"/>
              </w:rPr>
              <w:lastRenderedPageBreak/>
              <w:t>Aim Higher = national WP program in UK (disbanded since report written)</w:t>
            </w:r>
          </w:p>
          <w:p w14:paraId="081CDDE7" w14:textId="77777777" w:rsidR="00FB26B0" w:rsidRPr="005B7547" w:rsidRDefault="00FB26B0" w:rsidP="00FB26B0">
            <w:pPr>
              <w:pStyle w:val="ListParagraph"/>
              <w:numPr>
                <w:ilvl w:val="0"/>
                <w:numId w:val="21"/>
              </w:numPr>
              <w:rPr>
                <w:rFonts w:ascii="Gill Sans MT" w:hAnsi="Gill Sans MT"/>
                <w:color w:val="000000"/>
                <w:szCs w:val="22"/>
                <w:lang w:val="en-AU"/>
              </w:rPr>
            </w:pPr>
            <w:r w:rsidRPr="005B7547">
              <w:rPr>
                <w:rFonts w:ascii="Gill Sans MT" w:hAnsi="Gill Sans MT"/>
                <w:color w:val="000000"/>
                <w:szCs w:val="22"/>
                <w:lang w:val="en-AU"/>
              </w:rPr>
              <w:t>Action on Access =supports strategic national aims of WP and Aim Higher – Higher Education Progression Framework</w:t>
            </w:r>
          </w:p>
          <w:p w14:paraId="56799419" w14:textId="77777777" w:rsidR="00FB26B0" w:rsidRPr="005B7547" w:rsidRDefault="00FB26B0" w:rsidP="00FB26B0">
            <w:pPr>
              <w:pStyle w:val="ListParagraph"/>
              <w:numPr>
                <w:ilvl w:val="0"/>
                <w:numId w:val="21"/>
              </w:numPr>
              <w:rPr>
                <w:rFonts w:ascii="Gill Sans MT" w:hAnsi="Gill Sans MT"/>
                <w:color w:val="000000"/>
                <w:szCs w:val="22"/>
                <w:lang w:val="en-AU"/>
              </w:rPr>
            </w:pPr>
            <w:r w:rsidRPr="005B7547">
              <w:rPr>
                <w:rFonts w:ascii="Gill Sans MT" w:hAnsi="Gill Sans MT"/>
                <w:color w:val="000000"/>
                <w:szCs w:val="22"/>
                <w:lang w:val="en-AU"/>
              </w:rPr>
              <w:t>Discussion of evaluation p.12</w:t>
            </w:r>
          </w:p>
          <w:p w14:paraId="1133713B"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lang w:val="en-AU"/>
              </w:rPr>
              <w:t>WP practices in Ireland</w:t>
            </w:r>
          </w:p>
          <w:p w14:paraId="7D8B985B" w14:textId="77777777" w:rsidR="00FB26B0" w:rsidRPr="005B7547" w:rsidRDefault="00FB26B0" w:rsidP="00FB26B0">
            <w:pPr>
              <w:pStyle w:val="ListParagraph"/>
              <w:numPr>
                <w:ilvl w:val="0"/>
                <w:numId w:val="22"/>
              </w:numPr>
              <w:rPr>
                <w:rFonts w:ascii="Gill Sans MT" w:hAnsi="Gill Sans MT"/>
                <w:color w:val="000000"/>
                <w:szCs w:val="22"/>
                <w:lang w:val="en-AU"/>
              </w:rPr>
            </w:pPr>
            <w:r w:rsidRPr="005B7547">
              <w:rPr>
                <w:rFonts w:ascii="Gill Sans MT" w:hAnsi="Gill Sans MT"/>
                <w:color w:val="000000"/>
                <w:szCs w:val="22"/>
                <w:lang w:val="en-AU"/>
              </w:rPr>
              <w:t>Higher Education Access Route (HEAR) – places at reduced tariff for low SES school leavers. Similar program for students with disabilities (DARE). Overview of HE in Ireland – p.10</w:t>
            </w:r>
          </w:p>
          <w:p w14:paraId="6F60D68A"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lang w:val="en-AU"/>
              </w:rPr>
              <w:t>Most effective WP activities combine awareness-raising and aspiration-building and academic outcomes (provides list: p.8)</w:t>
            </w:r>
          </w:p>
          <w:p w14:paraId="71135328"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lang w:val="en-AU"/>
              </w:rPr>
              <w:t xml:space="preserve">WP in USA – focus on </w:t>
            </w:r>
            <w:proofErr w:type="gramStart"/>
            <w:r w:rsidRPr="005B7547">
              <w:rPr>
                <w:rFonts w:ascii="Gill Sans MT" w:hAnsi="Gill Sans MT"/>
                <w:i/>
                <w:color w:val="000000"/>
                <w:szCs w:val="22"/>
                <w:lang w:val="en-AU"/>
              </w:rPr>
              <w:t>diversity</w:t>
            </w:r>
            <w:r w:rsidRPr="005B7547">
              <w:rPr>
                <w:rFonts w:ascii="Gill Sans MT" w:hAnsi="Gill Sans MT"/>
                <w:color w:val="000000"/>
                <w:szCs w:val="22"/>
                <w:lang w:val="en-AU"/>
              </w:rPr>
              <w:t xml:space="preserve">  -</w:t>
            </w:r>
            <w:proofErr w:type="gramEnd"/>
            <w:r w:rsidRPr="005B7547">
              <w:rPr>
                <w:rFonts w:ascii="Gill Sans MT" w:hAnsi="Gill Sans MT"/>
                <w:color w:val="000000"/>
                <w:szCs w:val="22"/>
                <w:lang w:val="en-AU"/>
              </w:rPr>
              <w:t xml:space="preserve"> “visible minorities and people with a disability” (p.10) and “low income first generation learners. Federal outreach programs include </w:t>
            </w:r>
            <w:r w:rsidRPr="005B7547">
              <w:rPr>
                <w:rFonts w:ascii="Gill Sans MT" w:hAnsi="Gill Sans MT"/>
                <w:i/>
                <w:color w:val="000000"/>
                <w:szCs w:val="22"/>
                <w:lang w:val="en-AU"/>
              </w:rPr>
              <w:t xml:space="preserve">Know How 2 Go </w:t>
            </w:r>
            <w:r w:rsidRPr="005B7547">
              <w:rPr>
                <w:rFonts w:ascii="Gill Sans MT" w:hAnsi="Gill Sans MT"/>
                <w:color w:val="000000"/>
                <w:szCs w:val="22"/>
                <w:lang w:val="en-AU"/>
              </w:rPr>
              <w:t xml:space="preserve">and </w:t>
            </w:r>
            <w:r w:rsidRPr="005B7547">
              <w:rPr>
                <w:rFonts w:ascii="Gill Sans MT" w:hAnsi="Gill Sans MT"/>
                <w:i/>
                <w:color w:val="000000"/>
                <w:szCs w:val="22"/>
                <w:lang w:val="en-AU"/>
              </w:rPr>
              <w:t>Gear Up</w:t>
            </w:r>
            <w:r w:rsidRPr="005B7547">
              <w:rPr>
                <w:rFonts w:ascii="Gill Sans MT" w:hAnsi="Gill Sans MT"/>
                <w:color w:val="000000"/>
                <w:szCs w:val="22"/>
                <w:lang w:val="en-AU"/>
              </w:rPr>
              <w:t xml:space="preserve"> = collaboration between universities in Washington state [and others?] Tracking of students is undertaken by Office of Superintendent of Public Instruction</w:t>
            </w:r>
          </w:p>
          <w:p w14:paraId="0D6A1C72" w14:textId="77777777" w:rsidR="00FB26B0" w:rsidRPr="005B7547" w:rsidRDefault="00FB26B0" w:rsidP="00FB26B0">
            <w:pPr>
              <w:rPr>
                <w:rFonts w:ascii="Gill Sans MT" w:hAnsi="Gill Sans MT"/>
                <w:color w:val="000000"/>
                <w:szCs w:val="22"/>
                <w:lang w:val="en-AU"/>
              </w:rPr>
            </w:pPr>
          </w:p>
          <w:p w14:paraId="3AD1FF15" w14:textId="77777777" w:rsidR="00FB26B0" w:rsidRPr="005B7547" w:rsidRDefault="00FB26B0" w:rsidP="00FB26B0">
            <w:pPr>
              <w:rPr>
                <w:rFonts w:ascii="Gill Sans MT" w:hAnsi="Gill Sans MT"/>
                <w:b/>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The visit was intended to develop deeper understanding of national policies in the different national contexts</w:t>
            </w:r>
          </w:p>
          <w:p w14:paraId="25338EEA" w14:textId="77777777" w:rsidR="00FB26B0" w:rsidRPr="005B7547" w:rsidRDefault="00FB26B0" w:rsidP="00FB26B0">
            <w:pPr>
              <w:rPr>
                <w:rFonts w:ascii="Gill Sans MT" w:hAnsi="Gill Sans MT"/>
                <w:b/>
                <w:color w:val="000000"/>
                <w:szCs w:val="22"/>
                <w:lang w:val="en-AU"/>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Investment in widening participation “</w:t>
            </w:r>
            <w:r w:rsidRPr="005B7547">
              <w:rPr>
                <w:rFonts w:ascii="Gill Sans MT" w:hAnsi="Gill Sans MT"/>
                <w:b/>
                <w:color w:val="000000"/>
                <w:szCs w:val="22"/>
                <w:lang w:val="en-AU"/>
              </w:rPr>
              <w:t>does</w:t>
            </w:r>
            <w:r w:rsidRPr="005B7547">
              <w:rPr>
                <w:rFonts w:ascii="Gill Sans MT" w:hAnsi="Gill Sans MT"/>
                <w:color w:val="000000"/>
                <w:szCs w:val="22"/>
                <w:lang w:val="en-AU"/>
              </w:rPr>
              <w:t xml:space="preserve"> give return” (p.2)</w:t>
            </w:r>
          </w:p>
          <w:p w14:paraId="45FE6905"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Long term investment</w:t>
            </w:r>
            <w:r w:rsidRPr="005B7547">
              <w:rPr>
                <w:rFonts w:ascii="Gill Sans MT" w:hAnsi="Gill Sans MT"/>
                <w:color w:val="000000"/>
                <w:szCs w:val="22"/>
                <w:lang w:val="en-AU"/>
              </w:rPr>
              <w:t xml:space="preserve"> in UK has resulted in “sustained and substantial improvement in participation figures” from 2005-2010</w:t>
            </w:r>
          </w:p>
          <w:p w14:paraId="4C0FBFA1"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Sustainability</w:t>
            </w:r>
            <w:r w:rsidRPr="005B7547">
              <w:rPr>
                <w:rFonts w:ascii="Gill Sans MT" w:hAnsi="Gill Sans MT"/>
                <w:color w:val="000000"/>
                <w:szCs w:val="22"/>
                <w:lang w:val="en-AU"/>
              </w:rPr>
              <w:t xml:space="preserve"> – long term activities have had ‘generational’ impact post-first in family</w:t>
            </w:r>
          </w:p>
          <w:p w14:paraId="13376306"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First in family</w:t>
            </w:r>
            <w:r w:rsidRPr="005B7547">
              <w:rPr>
                <w:rFonts w:ascii="Gill Sans MT" w:hAnsi="Gill Sans MT"/>
                <w:color w:val="000000"/>
                <w:szCs w:val="22"/>
                <w:lang w:val="en-AU"/>
              </w:rPr>
              <w:t xml:space="preserve"> – keeping FinF as primary focus picks up other target groups</w:t>
            </w:r>
          </w:p>
          <w:p w14:paraId="4EDEA75C"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lang w:val="en-AU"/>
              </w:rPr>
              <w:t>Early intervention – at an age as early as possible is most effective</w:t>
            </w:r>
          </w:p>
          <w:p w14:paraId="4EC74784"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Collaboration</w:t>
            </w:r>
            <w:r w:rsidRPr="005B7547">
              <w:rPr>
                <w:rFonts w:ascii="Gill Sans MT" w:hAnsi="Gill Sans MT"/>
                <w:color w:val="000000"/>
                <w:szCs w:val="22"/>
                <w:lang w:val="en-AU"/>
              </w:rPr>
              <w:t xml:space="preserve"> between sectors, universities and philanthropic organisations can increase funding opportunities that are community driven. “There is a strong link between community development, school achievement and increased aspiration to higher education” (p.3)</w:t>
            </w:r>
          </w:p>
          <w:p w14:paraId="4E0F7DA7"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University-school research</w:t>
            </w:r>
            <w:r w:rsidRPr="005B7547">
              <w:rPr>
                <w:rFonts w:ascii="Gill Sans MT" w:hAnsi="Gill Sans MT"/>
                <w:color w:val="000000"/>
                <w:szCs w:val="22"/>
                <w:lang w:val="en-AU"/>
              </w:rPr>
              <w:t xml:space="preserve"> links between faculties of education and schools/ communities are useful to help </w:t>
            </w:r>
            <w:proofErr w:type="gramStart"/>
            <w:r w:rsidRPr="005B7547">
              <w:rPr>
                <w:rFonts w:ascii="Gill Sans MT" w:hAnsi="Gill Sans MT"/>
                <w:color w:val="000000"/>
                <w:szCs w:val="22"/>
                <w:lang w:val="en-AU"/>
              </w:rPr>
              <w:t>school teachers</w:t>
            </w:r>
            <w:proofErr w:type="gramEnd"/>
            <w:r w:rsidRPr="005B7547">
              <w:rPr>
                <w:rFonts w:ascii="Gill Sans MT" w:hAnsi="Gill Sans MT"/>
                <w:color w:val="000000"/>
                <w:szCs w:val="22"/>
                <w:lang w:val="en-AU"/>
              </w:rPr>
              <w:t xml:space="preserve"> develop pedagogies that cater for diverse students (esp. low SES) in developing academic achievement + child/parent aspiration.</w:t>
            </w:r>
          </w:p>
          <w:p w14:paraId="43543C52"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Combining aspiration-building with lifting achievement</w:t>
            </w:r>
            <w:r w:rsidRPr="005B7547">
              <w:rPr>
                <w:rFonts w:ascii="Gill Sans MT" w:hAnsi="Gill Sans MT"/>
                <w:color w:val="000000"/>
                <w:szCs w:val="22"/>
                <w:lang w:val="en-AU"/>
              </w:rPr>
              <w:t xml:space="preserve">: prior academic achievement is significant indicator of success – access and success in HE. </w:t>
            </w:r>
          </w:p>
          <w:p w14:paraId="119AE8AA"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Separation of aspiration-building/ recruitment</w:t>
            </w:r>
            <w:r w:rsidRPr="005B7547">
              <w:rPr>
                <w:rFonts w:ascii="Gill Sans MT" w:hAnsi="Gill Sans MT"/>
                <w:color w:val="000000"/>
                <w:szCs w:val="22"/>
                <w:lang w:val="en-AU"/>
              </w:rPr>
              <w:t xml:space="preserve"> enables “true partnerships and meaningful collaboration” (p.4)</w:t>
            </w:r>
            <w:r w:rsidRPr="005B7547">
              <w:rPr>
                <w:rFonts w:ascii="Gill Sans MT" w:hAnsi="Gill Sans MT"/>
                <w:b/>
                <w:color w:val="000000"/>
                <w:szCs w:val="22"/>
                <w:lang w:val="en-AU"/>
              </w:rPr>
              <w:br/>
            </w:r>
            <w:r w:rsidRPr="005B7547">
              <w:rPr>
                <w:rFonts w:ascii="Gill Sans MT" w:hAnsi="Gill Sans MT"/>
                <w:color w:val="000000"/>
                <w:szCs w:val="22"/>
                <w:u w:val="single"/>
                <w:lang w:val="en-AU"/>
              </w:rPr>
              <w:t xml:space="preserve">Pathways </w:t>
            </w:r>
          </w:p>
          <w:p w14:paraId="7EDC712F"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lastRenderedPageBreak/>
              <w:t xml:space="preserve">Transition and student achievement: </w:t>
            </w:r>
            <w:r w:rsidRPr="005B7547">
              <w:rPr>
                <w:rFonts w:ascii="Gill Sans MT" w:hAnsi="Gill Sans MT"/>
                <w:color w:val="000000"/>
                <w:szCs w:val="22"/>
                <w:lang w:val="en-AU"/>
              </w:rPr>
              <w:t>maintaining pre-entry transition work gives “greater guarantee of success in the following years” (p.4)</w:t>
            </w:r>
          </w:p>
          <w:p w14:paraId="69EF1773"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Evidence-based policy</w:t>
            </w:r>
            <w:r w:rsidRPr="005B7547">
              <w:rPr>
                <w:rFonts w:ascii="Gill Sans MT" w:hAnsi="Gill Sans MT"/>
                <w:color w:val="000000"/>
                <w:szCs w:val="22"/>
                <w:lang w:val="en-AU"/>
              </w:rPr>
              <w:t xml:space="preserve"> – it would be good to track students from early childhood through to further and higher education</w:t>
            </w:r>
          </w:p>
          <w:p w14:paraId="14638EE4"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Success of WP students</w:t>
            </w:r>
            <w:r w:rsidRPr="005B7547">
              <w:rPr>
                <w:rFonts w:ascii="Gill Sans MT" w:hAnsi="Gill Sans MT"/>
                <w:color w:val="000000"/>
                <w:szCs w:val="22"/>
                <w:lang w:val="en-AU"/>
              </w:rPr>
              <w:t xml:space="preserve"> “Academically capable and well prepared students from WP backgrounds will perform on par with the remainder of the student cohort” (p.4)</w:t>
            </w:r>
          </w:p>
          <w:p w14:paraId="4A6D7AD3" w14:textId="77777777" w:rsidR="00FB26B0" w:rsidRPr="005B7547" w:rsidRDefault="00FB26B0" w:rsidP="00FB26B0">
            <w:pPr>
              <w:rPr>
                <w:rFonts w:ascii="Gill Sans MT" w:hAnsi="Gill Sans MT"/>
                <w:color w:val="000000"/>
                <w:szCs w:val="22"/>
                <w:lang w:val="en-AU"/>
              </w:rPr>
            </w:pPr>
            <w:r w:rsidRPr="005B7547">
              <w:rPr>
                <w:rFonts w:ascii="Gill Sans MT" w:hAnsi="Gill Sans MT"/>
                <w:color w:val="000000"/>
                <w:szCs w:val="22"/>
                <w:u w:val="single"/>
                <w:lang w:val="en-AU"/>
              </w:rPr>
              <w:t>Career advice</w:t>
            </w:r>
            <w:r w:rsidRPr="005B7547">
              <w:rPr>
                <w:rFonts w:ascii="Gill Sans MT" w:hAnsi="Gill Sans MT"/>
                <w:color w:val="000000"/>
                <w:szCs w:val="22"/>
                <w:lang w:val="en-AU"/>
              </w:rPr>
              <w:t>: crucial to informed course choice and improved retention.</w:t>
            </w:r>
          </w:p>
          <w:p w14:paraId="5A8A8A2D" w14:textId="77777777" w:rsidR="00FB26B0" w:rsidRPr="009E630F" w:rsidRDefault="00FB26B0" w:rsidP="00FB26B0">
            <w:pPr>
              <w:rPr>
                <w:rFonts w:ascii="Gill Sans MT" w:hAnsi="Gill Sans MT"/>
                <w:b/>
                <w:color w:val="000000"/>
                <w:szCs w:val="22"/>
                <w:lang w:val="en-AU"/>
              </w:rPr>
            </w:pPr>
          </w:p>
        </w:tc>
      </w:tr>
      <w:tr w:rsidR="00FB26B0" w:rsidRPr="009E630F" w14:paraId="40382194" w14:textId="77777777" w:rsidTr="000C6DDE">
        <w:tc>
          <w:tcPr>
            <w:tcW w:w="5529" w:type="dxa"/>
          </w:tcPr>
          <w:p w14:paraId="45DD1404" w14:textId="63A5AEDC" w:rsidR="00FB26B0" w:rsidRPr="005B7547" w:rsidRDefault="00FB26B0" w:rsidP="00FB26B0">
            <w:pPr>
              <w:widowControl w:val="0"/>
              <w:autoSpaceDE w:val="0"/>
              <w:autoSpaceDN w:val="0"/>
              <w:adjustRightInd w:val="0"/>
              <w:rPr>
                <w:rFonts w:ascii="Gill Sans MT" w:hAnsi="Gill Sans MT"/>
                <w:szCs w:val="22"/>
              </w:rPr>
            </w:pPr>
            <w:r w:rsidRPr="005B7547">
              <w:rPr>
                <w:rFonts w:ascii="Gill Sans MT" w:hAnsi="Gill Sans MT"/>
                <w:szCs w:val="22"/>
              </w:rPr>
              <w:lastRenderedPageBreak/>
              <w:t xml:space="preserve">Tett, L. (1999). </w:t>
            </w:r>
            <w:hyperlink r:id="rId31" w:history="1">
              <w:r w:rsidRPr="00E17440">
                <w:rPr>
                  <w:rStyle w:val="Hyperlink"/>
                  <w:rFonts w:ascii="Gill Sans MT" w:hAnsi="Gill Sans MT"/>
                  <w:szCs w:val="22"/>
                </w:rPr>
                <w:t>Widening provision in higher education – some non-traditional participants’ experiences,</w:t>
              </w:r>
            </w:hyperlink>
            <w:r w:rsidRPr="005B7547">
              <w:rPr>
                <w:rFonts w:ascii="Gill Sans MT" w:hAnsi="Gill Sans MT"/>
                <w:szCs w:val="22"/>
              </w:rPr>
              <w:t xml:space="preserve"> </w:t>
            </w:r>
            <w:r w:rsidRPr="005B7547">
              <w:rPr>
                <w:rFonts w:ascii="Gill Sans MT" w:hAnsi="Gill Sans MT"/>
                <w:i/>
                <w:szCs w:val="22"/>
              </w:rPr>
              <w:t xml:space="preserve">Research Papers in Education, </w:t>
            </w:r>
            <w:r w:rsidRPr="005B7547">
              <w:rPr>
                <w:rFonts w:ascii="Gill Sans MT" w:hAnsi="Gill Sans MT"/>
                <w:szCs w:val="22"/>
              </w:rPr>
              <w:t>14(1)</w:t>
            </w:r>
            <w:r>
              <w:rPr>
                <w:rFonts w:ascii="Gill Sans MT" w:hAnsi="Gill Sans MT"/>
                <w:szCs w:val="22"/>
              </w:rPr>
              <w:t>,</w:t>
            </w:r>
            <w:r w:rsidRPr="005B7547">
              <w:rPr>
                <w:rFonts w:ascii="Gill Sans MT" w:hAnsi="Gill Sans MT"/>
                <w:szCs w:val="22"/>
              </w:rPr>
              <w:t xml:space="preserve"> 107</w:t>
            </w:r>
            <w:r>
              <w:rPr>
                <w:rFonts w:ascii="Gill Sans MT" w:hAnsi="Gill Sans MT"/>
                <w:szCs w:val="22"/>
              </w:rPr>
              <w:t>–</w:t>
            </w:r>
            <w:r w:rsidRPr="005B7547">
              <w:rPr>
                <w:rFonts w:ascii="Gill Sans MT" w:hAnsi="Gill Sans MT"/>
                <w:szCs w:val="22"/>
              </w:rPr>
              <w:t>119.</w:t>
            </w:r>
          </w:p>
          <w:p w14:paraId="4D55A456" w14:textId="77777777" w:rsidR="00FB26B0" w:rsidRPr="005B7547" w:rsidRDefault="00FB26B0" w:rsidP="00FB26B0">
            <w:pPr>
              <w:widowControl w:val="0"/>
              <w:autoSpaceDE w:val="0"/>
              <w:autoSpaceDN w:val="0"/>
              <w:adjustRightInd w:val="0"/>
              <w:rPr>
                <w:rFonts w:ascii="Gill Sans MT" w:hAnsi="Gill Sans MT"/>
                <w:szCs w:val="22"/>
              </w:rPr>
            </w:pPr>
          </w:p>
          <w:p w14:paraId="698E4AA3" w14:textId="77777777" w:rsidR="00FB26B0" w:rsidRPr="005B7547" w:rsidRDefault="00FB26B0" w:rsidP="00FB26B0">
            <w:pPr>
              <w:widowControl w:val="0"/>
              <w:autoSpaceDE w:val="0"/>
              <w:autoSpaceDN w:val="0"/>
              <w:adjustRightInd w:val="0"/>
              <w:rPr>
                <w:rFonts w:ascii="Gill Sans MT" w:hAnsi="Gill Sans MT"/>
                <w:szCs w:val="22"/>
              </w:rPr>
            </w:pPr>
            <w:r w:rsidRPr="005B7547">
              <w:rPr>
                <w:rFonts w:ascii="Gill Sans MT" w:hAnsi="Gill Sans MT"/>
                <w:szCs w:val="22"/>
              </w:rPr>
              <w:t>UK</w:t>
            </w:r>
          </w:p>
          <w:p w14:paraId="12D22F6D" w14:textId="77777777" w:rsidR="00FB26B0" w:rsidRPr="009A1CE0" w:rsidRDefault="00FB26B0" w:rsidP="00FB26B0">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247224C4" w14:textId="77777777" w:rsidR="00FB26B0" w:rsidRPr="005B7547" w:rsidRDefault="00FB26B0" w:rsidP="00FB26B0">
            <w:pPr>
              <w:widowControl w:val="0"/>
              <w:autoSpaceDE w:val="0"/>
              <w:autoSpaceDN w:val="0"/>
              <w:adjustRightInd w:val="0"/>
              <w:rPr>
                <w:rFonts w:ascii="Gill Sans MT" w:hAnsi="Gill Sans MT"/>
                <w:szCs w:val="22"/>
              </w:rPr>
            </w:pPr>
          </w:p>
          <w:p w14:paraId="72B73B5A" w14:textId="49F94792" w:rsidR="00FB26B0" w:rsidRPr="009E630F" w:rsidRDefault="00FB26B0" w:rsidP="00FB26B0">
            <w:pPr>
              <w:widowControl w:val="0"/>
              <w:autoSpaceDE w:val="0"/>
              <w:autoSpaceDN w:val="0"/>
              <w:adjustRightInd w:val="0"/>
              <w:rPr>
                <w:rFonts w:ascii="Gill Sans MT" w:hAnsi="Gill Sans MT"/>
                <w:szCs w:val="22"/>
              </w:rPr>
            </w:pPr>
            <w:r w:rsidRPr="005B7547">
              <w:rPr>
                <w:rFonts w:ascii="Gill Sans MT" w:hAnsi="Gill Sans MT"/>
                <w:szCs w:val="22"/>
              </w:rPr>
              <w:t xml:space="preserve">Keywords: </w:t>
            </w:r>
            <w:r w:rsidRPr="005B7547">
              <w:rPr>
                <w:rFonts w:ascii="Gill Sans MT" w:hAnsi="Gill Sans MT"/>
                <w:i/>
                <w:szCs w:val="22"/>
              </w:rPr>
              <w:t>access; adults; community; higher education; participation; working-class</w:t>
            </w:r>
          </w:p>
        </w:tc>
        <w:tc>
          <w:tcPr>
            <w:tcW w:w="10064" w:type="dxa"/>
          </w:tcPr>
          <w:p w14:paraId="7B3B9A1B" w14:textId="77777777" w:rsidR="00FB26B0" w:rsidRPr="005B7547" w:rsidRDefault="00FB26B0" w:rsidP="00FB26B0">
            <w:pPr>
              <w:rPr>
                <w:rFonts w:ascii="Gill Sans MT" w:hAnsi="Gill Sans MT"/>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color w:val="000000"/>
                <w:szCs w:val="22"/>
                <w:lang w:val="en-AU"/>
              </w:rPr>
              <w:t xml:space="preserve">Examines barriers to accessing university education for ‘non-traditional’ students (working class, black, disabled community activists accessing degree in Community Education in this case) = ‘Lothian Apprenticeship Scheme Trust’ (LAST) = designed to deliberately circumvent the personal/institutional barriers that prevent participation – allowed community workers to study alongside community work. ‘Non-traditional’ label comes from under-representation. </w:t>
            </w:r>
          </w:p>
          <w:p w14:paraId="3893F77E" w14:textId="77777777" w:rsidR="00FB26B0" w:rsidRPr="005B7547" w:rsidRDefault="00FB26B0" w:rsidP="00FB26B0">
            <w:pPr>
              <w:rPr>
                <w:rFonts w:ascii="Gill Sans MT" w:hAnsi="Gill Sans MT"/>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color w:val="000000"/>
                <w:szCs w:val="22"/>
                <w:lang w:val="en-AU"/>
              </w:rPr>
              <w:t>To report on project designed “</w:t>
            </w:r>
            <w:r w:rsidRPr="005B7547">
              <w:rPr>
                <w:rFonts w:ascii="Gill Sans MT" w:hAnsi="Gill Sans MT"/>
                <w:color w:val="000000"/>
                <w:szCs w:val="22"/>
              </w:rPr>
              <w:t>to enable community activists from the working-class, disabled, and minority ethnic communities to participate in higher education” (p.107); to explore pre-course and on-course experiences</w:t>
            </w:r>
          </w:p>
          <w:p w14:paraId="1F8A7604" w14:textId="77777777" w:rsidR="00FB26B0" w:rsidRPr="005B7547" w:rsidRDefault="00FB26B0" w:rsidP="00FB26B0">
            <w:pPr>
              <w:rPr>
                <w:rFonts w:ascii="Gill Sans MT" w:hAnsi="Gill Sans MT"/>
                <w:b/>
                <w:color w:val="000000"/>
                <w:szCs w:val="22"/>
                <w:lang w:val="en-AU"/>
              </w:rPr>
            </w:pPr>
            <w:r w:rsidRPr="005B7547">
              <w:rPr>
                <w:rFonts w:ascii="Gill Sans MT" w:hAnsi="Gill Sans MT"/>
                <w:b/>
                <w:color w:val="000000"/>
                <w:szCs w:val="22"/>
                <w:lang w:val="en-AU"/>
              </w:rPr>
              <w:t>Theoretical frame:</w:t>
            </w:r>
          </w:p>
          <w:p w14:paraId="1DDE37BE" w14:textId="77777777" w:rsidR="00FB26B0" w:rsidRPr="005B7547" w:rsidRDefault="00FB26B0" w:rsidP="00FB26B0">
            <w:pPr>
              <w:rPr>
                <w:rFonts w:ascii="Gill Sans MT" w:hAnsi="Gill Sans MT"/>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color w:val="000000"/>
                <w:szCs w:val="22"/>
                <w:lang w:val="en-AU"/>
              </w:rPr>
              <w:t>Not explicated but clearly longitudinal and qualitative. Analysis of documentation on planning course, recruitment and selection + interviews with students/ LAST staff and Trust members. None of student-participants had ‘standard’ entry qualifications (all = working class, 2 = disabled, 3 = black)</w:t>
            </w:r>
          </w:p>
          <w:p w14:paraId="710D4804" w14:textId="77777777" w:rsidR="00FB26B0" w:rsidRPr="005B7547" w:rsidRDefault="00FB26B0" w:rsidP="00FB26B0">
            <w:pPr>
              <w:rPr>
                <w:rFonts w:ascii="Gill Sans MT" w:hAnsi="Gill Sans MT"/>
                <w:color w:val="000000"/>
                <w:szCs w:val="22"/>
                <w:lang w:val="en-AU"/>
              </w:rPr>
            </w:pPr>
            <w:r w:rsidRPr="005B7547">
              <w:rPr>
                <w:rFonts w:ascii="Gill Sans MT" w:hAnsi="Gill Sans MT"/>
                <w:b/>
                <w:color w:val="000000"/>
                <w:szCs w:val="22"/>
                <w:lang w:val="en-AU"/>
              </w:rPr>
              <w:t xml:space="preserve">Findings: </w:t>
            </w:r>
            <w:r w:rsidRPr="005B7547">
              <w:rPr>
                <w:rFonts w:ascii="Gill Sans MT" w:hAnsi="Gill Sans MT"/>
                <w:color w:val="000000"/>
                <w:szCs w:val="22"/>
                <w:lang w:val="en-AU"/>
              </w:rPr>
              <w:t>Analysis from pre/on-course interviews with students = thematically organised around: academic/ financial support, school experience, transformative learning experiences (non-formal/ pre-university), attitudes to HE. Themes from later interviews = motivation, evidence + experience, changing attitudes to HE.</w:t>
            </w:r>
          </w:p>
          <w:p w14:paraId="2590B30C" w14:textId="77777777" w:rsidR="00FB26B0" w:rsidRPr="005B7547" w:rsidRDefault="00FB26B0" w:rsidP="00FB26B0">
            <w:pPr>
              <w:rPr>
                <w:rFonts w:ascii="Gill Sans MT" w:hAnsi="Gill Sans MT"/>
                <w:color w:val="000000"/>
                <w:szCs w:val="22"/>
              </w:rPr>
            </w:pPr>
            <w:r w:rsidRPr="005B7547">
              <w:rPr>
                <w:rFonts w:ascii="Gill Sans MT" w:hAnsi="Gill Sans MT"/>
                <w:color w:val="000000"/>
                <w:szCs w:val="22"/>
                <w:lang w:val="en-AU"/>
              </w:rPr>
              <w:t>Students didn’t necessarily choose to participate in formal learning for instrumental reasons; “</w:t>
            </w:r>
            <w:r w:rsidRPr="005B7547">
              <w:rPr>
                <w:rFonts w:ascii="Gill Sans MT" w:hAnsi="Gill Sans MT"/>
                <w:color w:val="000000"/>
                <w:szCs w:val="22"/>
              </w:rPr>
              <w:t xml:space="preserve">positive learning derived from their life experiences and associated with their community activism has been identified, often by community education workers, as valuable in its own right” (p.113). As confidence grew over time, attitudes to HE changed. </w:t>
            </w:r>
          </w:p>
          <w:p w14:paraId="7A6CEFCA" w14:textId="3B3194EC" w:rsidR="00FB26B0" w:rsidRPr="009E630F" w:rsidRDefault="00FB26B0" w:rsidP="00FB26B0">
            <w:pPr>
              <w:rPr>
                <w:rFonts w:ascii="Gill Sans MT" w:hAnsi="Gill Sans MT"/>
                <w:b/>
                <w:color w:val="000000"/>
                <w:szCs w:val="22"/>
                <w:lang w:val="en-AU"/>
              </w:rPr>
            </w:pPr>
            <w:r w:rsidRPr="005B7547">
              <w:rPr>
                <w:rFonts w:ascii="Gill Sans MT" w:hAnsi="Gill Sans MT"/>
                <w:color w:val="000000"/>
                <w:szCs w:val="22"/>
              </w:rPr>
              <w:t>LAST offered supports that facilitated continued engagement (e.g. funds to pay for childcare, providing access to computers) = appears to help to reduce attrition</w:t>
            </w:r>
            <w:r w:rsidRPr="005B7547">
              <w:rPr>
                <w:rFonts w:ascii="Gill Sans MT" w:hAnsi="Gill Sans MT"/>
                <w:b/>
                <w:color w:val="000000"/>
                <w:szCs w:val="22"/>
                <w:lang w:val="en-AU"/>
              </w:rPr>
              <w:br/>
              <w:t xml:space="preserve">Core argument: </w:t>
            </w:r>
            <w:r w:rsidRPr="005B7547">
              <w:rPr>
                <w:rFonts w:ascii="Gill Sans MT" w:hAnsi="Gill Sans MT"/>
                <w:color w:val="000000"/>
                <w:szCs w:val="22"/>
                <w:lang w:val="en-AU"/>
              </w:rPr>
              <w:t xml:space="preserve">LAST responds to institutional and dispositional barriers explicitly. </w:t>
            </w:r>
            <w:r w:rsidRPr="005B7547">
              <w:rPr>
                <w:rFonts w:ascii="Gill Sans MT" w:hAnsi="Gill Sans MT"/>
                <w:color w:val="000000"/>
                <w:szCs w:val="22"/>
              </w:rPr>
              <w:t xml:space="preserve">Critical element to LAST = “a course that develops awareness of the ways in which working-class people are excluded from education helps to change perceptions away from an emphasis on education as a private consumer good that </w:t>
            </w:r>
            <w:r w:rsidRPr="005B7547">
              <w:rPr>
                <w:rFonts w:ascii="Gill Sans MT" w:hAnsi="Gill Sans MT"/>
                <w:color w:val="000000"/>
                <w:szCs w:val="22"/>
              </w:rPr>
              <w:lastRenderedPageBreak/>
              <w:t>can be purchased on to the ways in which access to education is socially and economically structured” (p.114)</w:t>
            </w:r>
          </w:p>
        </w:tc>
      </w:tr>
      <w:tr w:rsidR="00FB26B0" w:rsidRPr="009E630F" w14:paraId="5ADEBB3C" w14:textId="77777777" w:rsidTr="000C6DDE">
        <w:tc>
          <w:tcPr>
            <w:tcW w:w="5529" w:type="dxa"/>
          </w:tcPr>
          <w:p w14:paraId="300127D6" w14:textId="75CD0BB2" w:rsidR="00FB26B0" w:rsidRPr="009E630F" w:rsidRDefault="00FB26B0" w:rsidP="00FB26B0">
            <w:pPr>
              <w:widowControl w:val="0"/>
              <w:autoSpaceDE w:val="0"/>
              <w:autoSpaceDN w:val="0"/>
              <w:adjustRightInd w:val="0"/>
              <w:rPr>
                <w:rFonts w:ascii="Gill Sans MT" w:hAnsi="Gill Sans MT"/>
                <w:szCs w:val="22"/>
              </w:rPr>
            </w:pPr>
            <w:r w:rsidRPr="009E630F">
              <w:rPr>
                <w:rFonts w:ascii="Gill Sans MT" w:hAnsi="Gill Sans MT"/>
                <w:szCs w:val="22"/>
              </w:rPr>
              <w:lastRenderedPageBreak/>
              <w:t xml:space="preserve">Tight, M. (2012). </w:t>
            </w:r>
            <w:hyperlink r:id="rId32" w:history="1">
              <w:r w:rsidRPr="00FB26B0">
                <w:rPr>
                  <w:rStyle w:val="Hyperlink"/>
                  <w:rFonts w:ascii="Gill Sans MT" w:hAnsi="Gill Sans MT"/>
                  <w:szCs w:val="22"/>
                </w:rPr>
                <w:t>Widening Participation: A Post-War Scorecard</w:t>
              </w:r>
            </w:hyperlink>
            <w:r w:rsidRPr="009E630F">
              <w:rPr>
                <w:rFonts w:ascii="Gill Sans MT" w:hAnsi="Gill Sans MT"/>
                <w:szCs w:val="22"/>
              </w:rPr>
              <w:t xml:space="preserve">, </w:t>
            </w:r>
            <w:r w:rsidRPr="009E630F">
              <w:rPr>
                <w:rFonts w:ascii="Gill Sans MT" w:hAnsi="Gill Sans MT"/>
                <w:i/>
                <w:szCs w:val="22"/>
              </w:rPr>
              <w:t xml:space="preserve">British Journal of Educational Studies, </w:t>
            </w:r>
            <w:r w:rsidRPr="009E630F">
              <w:rPr>
                <w:rFonts w:ascii="Gill Sans MT" w:hAnsi="Gill Sans MT"/>
                <w:szCs w:val="22"/>
              </w:rPr>
              <w:t>60(3</w:t>
            </w:r>
            <w:r>
              <w:rPr>
                <w:rFonts w:ascii="Gill Sans MT" w:hAnsi="Gill Sans MT"/>
                <w:szCs w:val="22"/>
              </w:rPr>
              <w:t>),</w:t>
            </w:r>
            <w:r w:rsidRPr="009E630F">
              <w:rPr>
                <w:rFonts w:ascii="Gill Sans MT" w:hAnsi="Gill Sans MT"/>
                <w:szCs w:val="22"/>
              </w:rPr>
              <w:t xml:space="preserve"> 211</w:t>
            </w:r>
            <w:r>
              <w:rPr>
                <w:rFonts w:ascii="Gill Sans MT" w:hAnsi="Gill Sans MT"/>
                <w:szCs w:val="22"/>
              </w:rPr>
              <w:t>–</w:t>
            </w:r>
            <w:r w:rsidRPr="009E630F">
              <w:rPr>
                <w:rFonts w:ascii="Gill Sans MT" w:hAnsi="Gill Sans MT"/>
                <w:szCs w:val="22"/>
              </w:rPr>
              <w:t>226.</w:t>
            </w:r>
          </w:p>
          <w:p w14:paraId="3761FED4" w14:textId="77777777" w:rsidR="00FB26B0" w:rsidRPr="009E630F" w:rsidRDefault="00FB26B0" w:rsidP="00FB26B0">
            <w:pPr>
              <w:widowControl w:val="0"/>
              <w:autoSpaceDE w:val="0"/>
              <w:autoSpaceDN w:val="0"/>
              <w:adjustRightInd w:val="0"/>
              <w:rPr>
                <w:rFonts w:ascii="Gill Sans MT" w:hAnsi="Gill Sans MT"/>
                <w:szCs w:val="22"/>
              </w:rPr>
            </w:pPr>
          </w:p>
          <w:p w14:paraId="6F6CA6D2" w14:textId="77777777" w:rsidR="00FB26B0" w:rsidRPr="009E630F" w:rsidRDefault="00FB26B0" w:rsidP="00FB26B0">
            <w:pPr>
              <w:rPr>
                <w:rFonts w:ascii="Gill Sans MT" w:hAnsi="Gill Sans MT"/>
                <w:szCs w:val="22"/>
              </w:rPr>
            </w:pPr>
            <w:r w:rsidRPr="009E630F">
              <w:rPr>
                <w:rFonts w:ascii="Gill Sans MT" w:hAnsi="Gill Sans MT"/>
                <w:szCs w:val="22"/>
              </w:rPr>
              <w:t>UK</w:t>
            </w:r>
          </w:p>
          <w:p w14:paraId="6C24B953" w14:textId="5646A007" w:rsidR="00FB26B0" w:rsidRPr="009E630F" w:rsidRDefault="00FB26B0" w:rsidP="00FB26B0">
            <w:pPr>
              <w:rPr>
                <w:rFonts w:ascii="Gill Sans MT" w:hAnsi="Gill Sans MT"/>
                <w:szCs w:val="22"/>
              </w:rPr>
            </w:pPr>
            <w:r w:rsidRPr="009E630F">
              <w:rPr>
                <w:rFonts w:ascii="Gill Sans MT" w:hAnsi="Gill Sans MT"/>
                <w:szCs w:val="22"/>
              </w:rPr>
              <w:t>Annotation by Sally Baker</w:t>
            </w:r>
          </w:p>
          <w:p w14:paraId="3648A79F" w14:textId="77777777" w:rsidR="00FB26B0" w:rsidRPr="009E630F" w:rsidRDefault="00FB26B0" w:rsidP="00FB26B0">
            <w:pPr>
              <w:rPr>
                <w:rFonts w:ascii="Gill Sans MT" w:hAnsi="Gill Sans MT"/>
                <w:szCs w:val="22"/>
              </w:rPr>
            </w:pPr>
          </w:p>
          <w:p w14:paraId="56FFC154" w14:textId="7EFDC643" w:rsidR="00FB26B0" w:rsidRPr="009E630F" w:rsidRDefault="00FB26B0" w:rsidP="00FB26B0">
            <w:pPr>
              <w:rPr>
                <w:rFonts w:ascii="Gill Sans MT" w:hAnsi="Gill Sans MT"/>
                <w:szCs w:val="22"/>
              </w:rPr>
            </w:pPr>
            <w:r w:rsidRPr="009E630F">
              <w:rPr>
                <w:rFonts w:ascii="Gill Sans MT" w:hAnsi="Gill Sans MT"/>
                <w:szCs w:val="22"/>
              </w:rPr>
              <w:t xml:space="preserve">Keywords: </w:t>
            </w:r>
            <w:r w:rsidRPr="009E630F">
              <w:rPr>
                <w:rFonts w:ascii="Gill Sans MT" w:hAnsi="Gill Sans MT"/>
                <w:i/>
                <w:szCs w:val="22"/>
                <w:lang w:val="en-US"/>
              </w:rPr>
              <w:t>widening participation, higher education, United Kingdom, post-war</w:t>
            </w:r>
          </w:p>
        </w:tc>
        <w:tc>
          <w:tcPr>
            <w:tcW w:w="10064" w:type="dxa"/>
          </w:tcPr>
          <w:p w14:paraId="6E099352" w14:textId="6262F07D" w:rsidR="00FB26B0" w:rsidRPr="009E630F" w:rsidRDefault="00FB26B0" w:rsidP="00FB26B0">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WP in UK as a historic and ongoing concern for all universities as they seek to maintain and increase rates of participation (but beyond ‘traditional’ cohorts). In UK, the label ‘widening participation’ = 2 decades old, but activities and underlying intentions pre-date this. Definition/discussion of ‘traditional’ students on p.212, as well as pre-HE context (issues with schooling and entrance requirements).</w:t>
            </w:r>
          </w:p>
          <w:p w14:paraId="100BC43D" w14:textId="08B0E147" w:rsidR="00FB26B0" w:rsidRPr="009E630F" w:rsidRDefault="00FB26B0" w:rsidP="00FB26B0">
            <w:pPr>
              <w:rPr>
                <w:rFonts w:ascii="Gill Sans MT" w:hAnsi="Gill Sans MT"/>
                <w:color w:val="000000"/>
                <w:szCs w:val="22"/>
                <w:lang w:val="en-AU"/>
              </w:rPr>
            </w:pPr>
            <w:r w:rsidRPr="009E630F">
              <w:rPr>
                <w:rFonts w:ascii="Gill Sans MT" w:hAnsi="Gill Sans MT"/>
                <w:b/>
                <w:color w:val="000000"/>
                <w:szCs w:val="22"/>
                <w:lang w:val="en-AU"/>
              </w:rPr>
              <w:t xml:space="preserve">Aim: </w:t>
            </w:r>
            <w:r w:rsidRPr="009E630F">
              <w:rPr>
                <w:rFonts w:ascii="Gill Sans MT" w:hAnsi="Gill Sans MT"/>
                <w:color w:val="000000"/>
                <w:szCs w:val="22"/>
                <w:lang w:val="en-AU"/>
              </w:rPr>
              <w:t>To examine achievements in WP; “</w:t>
            </w:r>
            <w:r w:rsidRPr="009E630F">
              <w:rPr>
                <w:rFonts w:ascii="Gill Sans MT" w:hAnsi="Gill Sans MT"/>
                <w:color w:val="000000"/>
                <w:szCs w:val="22"/>
                <w:lang w:val="en-US"/>
              </w:rPr>
              <w:t>to review post-war initiatives at widening participation, and produce an overall assessment, a ‘score card’, both of what has been achieved and what remains to be done” (p.211). To focus on participation of 4 groups: women, lower SES groups, mature (often p/t) students, ethnic minorities, but problematizes multiple membership of groups (‘multiply disadvantaged’?).</w:t>
            </w:r>
          </w:p>
          <w:p w14:paraId="2E740172" w14:textId="77777777" w:rsidR="00FB26B0" w:rsidRPr="009E630F" w:rsidRDefault="00FB26B0" w:rsidP="00FB26B0">
            <w:pPr>
              <w:rPr>
                <w:rFonts w:ascii="Gill Sans MT" w:hAnsi="Gill Sans MT"/>
                <w:b/>
                <w:color w:val="000000"/>
                <w:szCs w:val="22"/>
                <w:lang w:val="en-AU"/>
              </w:rPr>
            </w:pPr>
            <w:r w:rsidRPr="009E630F">
              <w:rPr>
                <w:rFonts w:ascii="Gill Sans MT" w:hAnsi="Gill Sans MT"/>
                <w:b/>
                <w:color w:val="000000"/>
                <w:szCs w:val="22"/>
                <w:lang w:val="en-AU"/>
              </w:rPr>
              <w:t>Theoretical frame:</w:t>
            </w:r>
          </w:p>
          <w:p w14:paraId="33684F7A" w14:textId="0AAC089D" w:rsidR="00FB26B0" w:rsidRPr="009E630F" w:rsidRDefault="00FB26B0" w:rsidP="00FB26B0">
            <w:pPr>
              <w:rPr>
                <w:rFonts w:ascii="Gill Sans MT" w:hAnsi="Gill Sans MT"/>
                <w:color w:val="000000"/>
                <w:szCs w:val="22"/>
                <w:lang w:val="en-AU"/>
              </w:rPr>
            </w:pPr>
            <w:r w:rsidRPr="009E630F">
              <w:rPr>
                <w:rFonts w:ascii="Gill Sans MT" w:hAnsi="Gill Sans MT"/>
                <w:b/>
                <w:color w:val="000000"/>
                <w:szCs w:val="22"/>
                <w:lang w:val="en-AU"/>
              </w:rPr>
              <w:t xml:space="preserve">Methodology: </w:t>
            </w:r>
            <w:r w:rsidRPr="009E630F">
              <w:rPr>
                <w:rFonts w:ascii="Gill Sans MT" w:hAnsi="Gill Sans MT"/>
                <w:color w:val="000000"/>
                <w:szCs w:val="22"/>
                <w:lang w:val="en-AU"/>
              </w:rPr>
              <w:t>Analysis of documents post-1945 and statistics (but notes limitations of comparisons due to different ways of collecting and measuring data)</w:t>
            </w:r>
          </w:p>
          <w:p w14:paraId="389312F5" w14:textId="77777777" w:rsidR="00FB26B0" w:rsidRPr="009E630F" w:rsidRDefault="00FB26B0" w:rsidP="00FB26B0">
            <w:pPr>
              <w:rPr>
                <w:rFonts w:ascii="Gill Sans MT" w:hAnsi="Gill Sans MT"/>
                <w:color w:val="000000"/>
                <w:szCs w:val="22"/>
                <w:lang w:val="en-AU"/>
              </w:rPr>
            </w:pPr>
            <w:r w:rsidRPr="009E630F">
              <w:rPr>
                <w:rFonts w:ascii="Gill Sans MT" w:hAnsi="Gill Sans MT"/>
                <w:b/>
                <w:color w:val="000000"/>
                <w:szCs w:val="22"/>
                <w:lang w:val="en-AU"/>
              </w:rPr>
              <w:t xml:space="preserve">Findings: </w:t>
            </w:r>
            <w:r w:rsidRPr="009E630F">
              <w:rPr>
                <w:rFonts w:ascii="Gill Sans MT" w:hAnsi="Gill Sans MT"/>
                <w:color w:val="000000"/>
                <w:szCs w:val="22"/>
                <w:lang w:val="en-AU"/>
              </w:rPr>
              <w:t>Discussion of 4 groups and ‘achievements’ to date:</w:t>
            </w:r>
          </w:p>
          <w:p w14:paraId="67755BE2" w14:textId="77777777" w:rsidR="00FB26B0" w:rsidRPr="009E630F" w:rsidRDefault="00FB26B0" w:rsidP="00FB26B0">
            <w:pPr>
              <w:rPr>
                <w:rFonts w:ascii="Gill Sans MT" w:hAnsi="Gill Sans MT"/>
                <w:color w:val="000000"/>
                <w:szCs w:val="22"/>
                <w:lang w:val="en-AU"/>
              </w:rPr>
            </w:pPr>
            <w:r w:rsidRPr="009E630F">
              <w:rPr>
                <w:rFonts w:ascii="Gill Sans MT" w:hAnsi="Gill Sans MT"/>
                <w:i/>
                <w:color w:val="000000"/>
                <w:szCs w:val="22"/>
                <w:lang w:val="en-AU"/>
              </w:rPr>
              <w:t>Women</w:t>
            </w:r>
            <w:r w:rsidRPr="009E630F">
              <w:rPr>
                <w:rFonts w:ascii="Gill Sans MT" w:hAnsi="Gill Sans MT"/>
                <w:color w:val="000000"/>
                <w:szCs w:val="22"/>
                <w:lang w:val="en-AU"/>
              </w:rPr>
              <w:t>: Literature/ statistics illustrate the substantial rise in participation of women, from less than a third (reported in 1957) to nearly 57% in 2009/10. Themes emerging relate to intersections between gender/discipline, women taking up HE later in life, participation of women in postgrad study. Two main points: 1) women now outnumber men in HE, but there are more men in PG study and in positions of leadership; 2) participation of women is concentrated in particular subject areas.</w:t>
            </w:r>
          </w:p>
          <w:p w14:paraId="0E5C3025" w14:textId="77777777" w:rsidR="00FB26B0" w:rsidRPr="009E630F" w:rsidRDefault="00FB26B0" w:rsidP="00FB26B0">
            <w:pPr>
              <w:rPr>
                <w:rFonts w:ascii="Gill Sans MT" w:hAnsi="Gill Sans MT"/>
                <w:color w:val="000000"/>
                <w:szCs w:val="22"/>
                <w:lang w:val="en-AU"/>
              </w:rPr>
            </w:pPr>
            <w:r w:rsidRPr="009E630F">
              <w:rPr>
                <w:rFonts w:ascii="Gill Sans MT" w:hAnsi="Gill Sans MT"/>
                <w:i/>
                <w:color w:val="000000"/>
                <w:szCs w:val="22"/>
                <w:lang w:val="en-AU"/>
              </w:rPr>
              <w:t>Lower SES</w:t>
            </w:r>
            <w:r w:rsidRPr="009E630F">
              <w:rPr>
                <w:rFonts w:ascii="Gill Sans MT" w:hAnsi="Gill Sans MT"/>
                <w:color w:val="000000"/>
                <w:szCs w:val="22"/>
                <w:lang w:val="en-AU"/>
              </w:rPr>
              <w:t>: Similar pattern to women: less than 1/3 of applicants = working class (reported in 1957); however, unlike women there has been limited increase in participation of lower SES students (citing Crozier et al., 2008: ‘range of cultural behaviours’ = not learned by unprivileged children = inhibits HE participation).</w:t>
            </w:r>
          </w:p>
          <w:p w14:paraId="570A5B94" w14:textId="77777777" w:rsidR="00FB26B0" w:rsidRPr="009E630F" w:rsidRDefault="00FB26B0" w:rsidP="00FB26B0">
            <w:pPr>
              <w:rPr>
                <w:rFonts w:ascii="Gill Sans MT" w:hAnsi="Gill Sans MT"/>
                <w:color w:val="000000"/>
                <w:szCs w:val="22"/>
                <w:lang w:val="en-AU"/>
              </w:rPr>
            </w:pPr>
            <w:r w:rsidRPr="009E630F">
              <w:rPr>
                <w:rFonts w:ascii="Gill Sans MT" w:hAnsi="Gill Sans MT"/>
                <w:i/>
                <w:color w:val="000000"/>
                <w:szCs w:val="22"/>
                <w:lang w:val="en-AU"/>
              </w:rPr>
              <w:t>Mature age</w:t>
            </w:r>
            <w:r w:rsidRPr="009E630F">
              <w:rPr>
                <w:rFonts w:ascii="Gill Sans MT" w:hAnsi="Gill Sans MT"/>
                <w:color w:val="000000"/>
                <w:szCs w:val="22"/>
                <w:lang w:val="en-AU"/>
              </w:rPr>
              <w:t>: Interest in this group started in 1980s. Author discusses research that survey older (21+) learners; Woodley et al. (1987) found that patterns in mature age tended to replicate patterns with school leavers along class and gender lines: In 2009/10, 6% of FT students = aged 30+ but 2/3 PT students = aged 30+ (see p.219). Mature age students much more likely to study part time (often in lower status universities). Strong connections made with social mobility.</w:t>
            </w:r>
          </w:p>
          <w:p w14:paraId="2CA89812" w14:textId="0DF5E2EC" w:rsidR="00FB26B0" w:rsidRPr="009E630F" w:rsidRDefault="00FB26B0" w:rsidP="00FB26B0">
            <w:pPr>
              <w:rPr>
                <w:rFonts w:ascii="Gill Sans MT" w:hAnsi="Gill Sans MT"/>
                <w:color w:val="000000"/>
                <w:szCs w:val="22"/>
                <w:lang w:val="en-AU"/>
              </w:rPr>
            </w:pPr>
            <w:r w:rsidRPr="009E630F">
              <w:rPr>
                <w:rFonts w:ascii="Gill Sans MT" w:hAnsi="Gill Sans MT"/>
                <w:color w:val="000000"/>
                <w:szCs w:val="22"/>
                <w:lang w:val="en-AU"/>
              </w:rPr>
              <w:t xml:space="preserve">Ethnic minorities: Also more recent interest (like mature age students). Early research from 1987 (Brennan &amp; </w:t>
            </w:r>
            <w:proofErr w:type="spellStart"/>
            <w:r w:rsidRPr="009E630F">
              <w:rPr>
                <w:rFonts w:ascii="Gill Sans MT" w:hAnsi="Gill Sans MT"/>
                <w:color w:val="000000"/>
                <w:szCs w:val="22"/>
                <w:lang w:val="en-AU"/>
              </w:rPr>
              <w:t>McGeevor</w:t>
            </w:r>
            <w:proofErr w:type="spellEnd"/>
            <w:r w:rsidRPr="009E630F">
              <w:rPr>
                <w:rFonts w:ascii="Gill Sans MT" w:hAnsi="Gill Sans MT"/>
                <w:color w:val="000000"/>
                <w:szCs w:val="22"/>
                <w:lang w:val="en-AU"/>
              </w:rPr>
              <w:t xml:space="preserve">) found concentrations of particular ethnicities in discipline areas (e.g. Asian student = </w:t>
            </w:r>
            <w:r w:rsidRPr="009E630F">
              <w:rPr>
                <w:rFonts w:ascii="Gill Sans MT" w:hAnsi="Gill Sans MT"/>
                <w:color w:val="000000"/>
                <w:szCs w:val="22"/>
                <w:lang w:val="en-US"/>
              </w:rPr>
              <w:t>Electrical and Electronic Engineering, Science and Pharmacy; little participation in Humanities). Patterns in under/non-participation with Caribbean men and Bangladeshi women least likely to study in HE (see p.221).</w:t>
            </w:r>
            <w:r w:rsidRPr="009E630F">
              <w:rPr>
                <w:rFonts w:ascii="Gill Sans MT" w:hAnsi="Gill Sans MT"/>
                <w:b/>
                <w:color w:val="000000"/>
                <w:szCs w:val="22"/>
                <w:lang w:val="en-AU"/>
              </w:rPr>
              <w:br/>
              <w:t xml:space="preserve">Core argument: </w:t>
            </w:r>
            <w:r w:rsidRPr="009E630F">
              <w:rPr>
                <w:rFonts w:ascii="Gill Sans MT" w:hAnsi="Gill Sans MT"/>
                <w:color w:val="000000"/>
                <w:szCs w:val="22"/>
                <w:lang w:val="en-AU"/>
              </w:rPr>
              <w:t xml:space="preserve">Efforts to widen participation since 1945 to women, mature age, and ethnic minority students have largely been successful. However, efforts to increase participation of lower SES students has </w:t>
            </w:r>
            <w:r w:rsidRPr="009E630F">
              <w:rPr>
                <w:rFonts w:ascii="Gill Sans MT" w:hAnsi="Gill Sans MT"/>
                <w:color w:val="000000"/>
                <w:szCs w:val="22"/>
                <w:lang w:val="en-AU"/>
              </w:rPr>
              <w:lastRenderedPageBreak/>
              <w:t>consistently been stunted.</w:t>
            </w:r>
          </w:p>
        </w:tc>
      </w:tr>
      <w:tr w:rsidR="00FB26B0" w:rsidRPr="009E630F" w14:paraId="429B9043" w14:textId="77777777" w:rsidTr="000C6DDE">
        <w:tc>
          <w:tcPr>
            <w:tcW w:w="5529" w:type="dxa"/>
          </w:tcPr>
          <w:p w14:paraId="1B189B63" w14:textId="66D5783A" w:rsidR="00FB26B0" w:rsidRPr="005B7547" w:rsidRDefault="00FB26B0" w:rsidP="00FB26B0">
            <w:pPr>
              <w:rPr>
                <w:rFonts w:ascii="Gill Sans MT" w:hAnsi="Gill Sans MT"/>
                <w:szCs w:val="22"/>
              </w:rPr>
            </w:pPr>
            <w:r w:rsidRPr="005B7547">
              <w:rPr>
                <w:rFonts w:ascii="Gill Sans MT" w:hAnsi="Gill Sans MT"/>
                <w:szCs w:val="22"/>
              </w:rPr>
              <w:lastRenderedPageBreak/>
              <w:t xml:space="preserve">Walton, T. &amp; </w:t>
            </w:r>
            <w:proofErr w:type="spellStart"/>
            <w:r w:rsidRPr="005B7547">
              <w:rPr>
                <w:rFonts w:ascii="Gill Sans MT" w:hAnsi="Gill Sans MT"/>
                <w:szCs w:val="22"/>
              </w:rPr>
              <w:t>Carillo</w:t>
            </w:r>
            <w:proofErr w:type="spellEnd"/>
            <w:r w:rsidRPr="005B7547">
              <w:rPr>
                <w:rFonts w:ascii="Gill Sans MT" w:hAnsi="Gill Sans MT"/>
                <w:szCs w:val="22"/>
              </w:rPr>
              <w:t xml:space="preserve">, F. (2017). </w:t>
            </w:r>
            <w:hyperlink r:id="rId33" w:history="1">
              <w:r w:rsidRPr="00E17440">
                <w:rPr>
                  <w:rStyle w:val="Hyperlink"/>
                  <w:rFonts w:ascii="Gill Sans MT" w:hAnsi="Gill Sans MT"/>
                  <w:szCs w:val="22"/>
                </w:rPr>
                <w:t>Mechanisms for fulfilling equity targets at the elite Australian university: a review of scholarship and practice,</w:t>
              </w:r>
            </w:hyperlink>
            <w:r w:rsidRPr="005B7547">
              <w:rPr>
                <w:rFonts w:ascii="Gill Sans MT" w:hAnsi="Gill Sans MT"/>
                <w:szCs w:val="22"/>
              </w:rPr>
              <w:t xml:space="preserve"> </w:t>
            </w:r>
            <w:r w:rsidRPr="005B7547">
              <w:rPr>
                <w:rFonts w:ascii="Gill Sans MT" w:hAnsi="Gill Sans MT"/>
                <w:i/>
                <w:iCs/>
                <w:szCs w:val="22"/>
              </w:rPr>
              <w:t xml:space="preserve">Widening Participation and Lifelong Learning, </w:t>
            </w:r>
            <w:r w:rsidRPr="005B7547">
              <w:rPr>
                <w:rFonts w:ascii="Gill Sans MT" w:hAnsi="Gill Sans MT"/>
                <w:szCs w:val="22"/>
              </w:rPr>
              <w:t>19(2), 156–162.</w:t>
            </w:r>
          </w:p>
          <w:p w14:paraId="1A0DEFD2" w14:textId="77777777" w:rsidR="00FB26B0" w:rsidRPr="005B7547" w:rsidRDefault="00FB26B0" w:rsidP="00FB26B0">
            <w:pPr>
              <w:rPr>
                <w:rFonts w:ascii="Gill Sans MT" w:hAnsi="Gill Sans MT"/>
                <w:szCs w:val="22"/>
              </w:rPr>
            </w:pPr>
          </w:p>
          <w:p w14:paraId="23B61060" w14:textId="77777777" w:rsidR="00FB26B0" w:rsidRPr="005B7547" w:rsidRDefault="00FB26B0" w:rsidP="00FB26B0">
            <w:pPr>
              <w:rPr>
                <w:rFonts w:ascii="Gill Sans MT" w:hAnsi="Gill Sans MT"/>
                <w:szCs w:val="22"/>
              </w:rPr>
            </w:pPr>
            <w:r w:rsidRPr="005B7547">
              <w:rPr>
                <w:rFonts w:ascii="Gill Sans MT" w:hAnsi="Gill Sans MT"/>
                <w:szCs w:val="22"/>
              </w:rPr>
              <w:t>AUS</w:t>
            </w:r>
          </w:p>
          <w:p w14:paraId="1A9EF87C" w14:textId="77777777" w:rsidR="00FB26B0" w:rsidRPr="009A1CE0" w:rsidRDefault="00FB26B0" w:rsidP="00FB26B0">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5FAF7D12" w14:textId="77777777" w:rsidR="00FB26B0" w:rsidRPr="005B7547" w:rsidRDefault="00FB26B0" w:rsidP="00FB26B0">
            <w:pPr>
              <w:rPr>
                <w:rFonts w:ascii="Gill Sans MT" w:hAnsi="Gill Sans MT"/>
                <w:szCs w:val="22"/>
              </w:rPr>
            </w:pPr>
          </w:p>
          <w:p w14:paraId="2959DBFF" w14:textId="6A5DF513" w:rsidR="00FB26B0" w:rsidRPr="009E630F" w:rsidRDefault="00FB26B0" w:rsidP="00FB26B0">
            <w:pPr>
              <w:rPr>
                <w:rFonts w:ascii="Gill Sans MT" w:hAnsi="Gill Sans MT"/>
                <w:szCs w:val="22"/>
              </w:rPr>
            </w:pPr>
            <w:r w:rsidRPr="005B7547">
              <w:rPr>
                <w:rFonts w:ascii="Gill Sans MT" w:hAnsi="Gill Sans MT"/>
                <w:szCs w:val="22"/>
              </w:rPr>
              <w:t xml:space="preserve">Keywords: </w:t>
            </w:r>
            <w:r w:rsidRPr="005B7547">
              <w:rPr>
                <w:rFonts w:ascii="Gill Sans MT" w:hAnsi="Gill Sans MT"/>
                <w:i/>
                <w:iCs/>
                <w:szCs w:val="22"/>
              </w:rPr>
              <w:t>Educational Access Scheme, widening participation, Group of Eight</w:t>
            </w:r>
          </w:p>
        </w:tc>
        <w:tc>
          <w:tcPr>
            <w:tcW w:w="10064" w:type="dxa"/>
          </w:tcPr>
          <w:p w14:paraId="318FDC6E" w14:textId="77777777" w:rsidR="00FB26B0" w:rsidRPr="005B7547" w:rsidRDefault="00FB26B0" w:rsidP="00FB26B0">
            <w:pPr>
              <w:rPr>
                <w:rFonts w:ascii="Gill Sans MT" w:hAnsi="Gill Sans MT"/>
                <w:bCs/>
                <w:color w:val="000000"/>
                <w:szCs w:val="22"/>
                <w:lang w:val="en-AU"/>
              </w:rPr>
            </w:pPr>
            <w:r w:rsidRPr="005B7547">
              <w:rPr>
                <w:rFonts w:ascii="Gill Sans MT" w:hAnsi="Gill Sans MT"/>
                <w:b/>
                <w:color w:val="000000"/>
                <w:szCs w:val="22"/>
                <w:lang w:val="en-AU"/>
              </w:rPr>
              <w:t xml:space="preserve">Context: </w:t>
            </w:r>
            <w:r w:rsidRPr="005B7547">
              <w:rPr>
                <w:rFonts w:ascii="Gill Sans MT" w:hAnsi="Gill Sans MT"/>
                <w:bCs/>
                <w:color w:val="000000"/>
                <w:szCs w:val="22"/>
                <w:lang w:val="en-AU"/>
              </w:rPr>
              <w:t xml:space="preserve">Widening participation in elite contexts — specifically in Go8/ Australia. Set against context of 20% participation rate for low SES students (following Bradley review of 2008). Educational Access Scheme (EAS) is most commonly used by Go8 </w:t>
            </w:r>
            <w:proofErr w:type="spellStart"/>
            <w:r w:rsidRPr="005B7547">
              <w:rPr>
                <w:rFonts w:ascii="Gill Sans MT" w:hAnsi="Gill Sans MT"/>
                <w:bCs/>
                <w:color w:val="000000"/>
                <w:szCs w:val="22"/>
                <w:lang w:val="en-AU"/>
              </w:rPr>
              <w:t>univerisites</w:t>
            </w:r>
            <w:proofErr w:type="spellEnd"/>
            <w:r w:rsidRPr="005B7547">
              <w:rPr>
                <w:rFonts w:ascii="Gill Sans MT" w:hAnsi="Gill Sans MT"/>
                <w:bCs/>
                <w:color w:val="000000"/>
                <w:szCs w:val="22"/>
                <w:lang w:val="en-AU"/>
              </w:rPr>
              <w:t xml:space="preserve"> to increase low SES numbers. Application using EAS is responsibility of students, depends on their knowledge of the system, their social network, meaning that students with ‘hot’ (</w:t>
            </w:r>
            <w:proofErr w:type="spellStart"/>
            <w:r w:rsidRPr="005B7547">
              <w:rPr>
                <w:rFonts w:ascii="Gill Sans MT" w:hAnsi="Gill Sans MT"/>
                <w:bCs/>
                <w:color w:val="000000"/>
                <w:szCs w:val="22"/>
                <w:lang w:val="en-AU"/>
              </w:rPr>
              <w:t>ogten</w:t>
            </w:r>
            <w:proofErr w:type="spellEnd"/>
            <w:r w:rsidRPr="005B7547">
              <w:rPr>
                <w:rFonts w:ascii="Gill Sans MT" w:hAnsi="Gill Sans MT"/>
                <w:bCs/>
                <w:color w:val="000000"/>
                <w:szCs w:val="22"/>
                <w:lang w:val="en-AU"/>
              </w:rPr>
              <w:t xml:space="preserve"> higher SES) family/school backgrounds make better use of the system. For students who attend certain, identified low SES schools, they automatically get bonus points added to their admissions application. Authors argue that there is an alarming lack of transparency about this part of the system</w:t>
            </w:r>
          </w:p>
          <w:p w14:paraId="77082B78" w14:textId="77777777" w:rsidR="00FB26B0" w:rsidRPr="005B7547" w:rsidRDefault="00FB26B0" w:rsidP="00FB26B0">
            <w:pPr>
              <w:rPr>
                <w:rFonts w:ascii="Gill Sans MT" w:hAnsi="Gill Sans MT"/>
                <w:bCs/>
                <w:color w:val="000000"/>
                <w:szCs w:val="22"/>
                <w:lang w:val="en-AU"/>
              </w:rPr>
            </w:pPr>
            <w:r w:rsidRPr="005B7547">
              <w:rPr>
                <w:rFonts w:ascii="Gill Sans MT" w:hAnsi="Gill Sans MT"/>
                <w:b/>
                <w:color w:val="000000"/>
                <w:szCs w:val="22"/>
                <w:lang w:val="en-AU"/>
              </w:rPr>
              <w:t xml:space="preserve">Aim: </w:t>
            </w:r>
            <w:r w:rsidRPr="005B7547">
              <w:rPr>
                <w:rFonts w:ascii="Gill Sans MT" w:hAnsi="Gill Sans MT"/>
                <w:bCs/>
                <w:color w:val="000000"/>
                <w:szCs w:val="22"/>
                <w:lang w:val="en-AU"/>
              </w:rPr>
              <w:t>To “take aim at the government initiated Educational Access Scheme (EAS); to argue for “a more transparent method of identifying disadvantaged students for application-free bonus points” (abstract)</w:t>
            </w:r>
          </w:p>
          <w:p w14:paraId="0F788DB0" w14:textId="77777777" w:rsidR="00FB26B0" w:rsidRPr="005B7547" w:rsidRDefault="00FB26B0" w:rsidP="00FB26B0">
            <w:pPr>
              <w:rPr>
                <w:rFonts w:ascii="Gill Sans MT" w:hAnsi="Gill Sans MT"/>
                <w:bCs/>
                <w:color w:val="000000"/>
                <w:szCs w:val="22"/>
                <w:lang w:val="en-AU"/>
              </w:rPr>
            </w:pPr>
            <w:r w:rsidRPr="005B7547">
              <w:rPr>
                <w:rFonts w:ascii="Gill Sans MT" w:hAnsi="Gill Sans MT"/>
                <w:b/>
                <w:color w:val="000000"/>
                <w:szCs w:val="22"/>
                <w:lang w:val="en-AU"/>
              </w:rPr>
              <w:t xml:space="preserve">Methodology: </w:t>
            </w:r>
            <w:r w:rsidRPr="005B7547">
              <w:rPr>
                <w:rFonts w:ascii="Gill Sans MT" w:hAnsi="Gill Sans MT"/>
                <w:bCs/>
                <w:color w:val="000000"/>
                <w:szCs w:val="22"/>
                <w:lang w:val="en-AU"/>
              </w:rPr>
              <w:t>Essay; authors draw on public data about low SES participation rates</w:t>
            </w:r>
          </w:p>
          <w:p w14:paraId="1EE04C6A" w14:textId="77777777" w:rsidR="00FB26B0" w:rsidRPr="005B7547" w:rsidRDefault="00FB26B0" w:rsidP="00FB26B0">
            <w:pPr>
              <w:rPr>
                <w:rFonts w:ascii="Gill Sans MT" w:hAnsi="Gill Sans MT"/>
                <w:bCs/>
                <w:color w:val="000000"/>
                <w:szCs w:val="22"/>
                <w:lang w:val="en-AU"/>
              </w:rPr>
            </w:pPr>
            <w:r w:rsidRPr="005B7547">
              <w:rPr>
                <w:rFonts w:ascii="Gill Sans MT" w:hAnsi="Gill Sans MT"/>
                <w:b/>
                <w:color w:val="000000"/>
                <w:szCs w:val="22"/>
                <w:lang w:val="en-AU"/>
              </w:rPr>
              <w:t xml:space="preserve">Discussion: </w:t>
            </w:r>
            <w:r w:rsidRPr="005B7547">
              <w:rPr>
                <w:rFonts w:ascii="Gill Sans MT" w:hAnsi="Gill Sans MT"/>
                <w:bCs/>
                <w:color w:val="000000"/>
                <w:szCs w:val="22"/>
                <w:lang w:val="en-AU"/>
              </w:rPr>
              <w:t>The average increase in low SES participation in EAS elite universities between 2008–2014 was less than 0.5%</w:t>
            </w:r>
            <w:r w:rsidRPr="005B7547">
              <w:rPr>
                <w:rFonts w:ascii="Gill Sans MT" w:hAnsi="Gill Sans MT"/>
                <w:b/>
                <w:color w:val="000000"/>
                <w:szCs w:val="22"/>
                <w:lang w:val="en-AU"/>
              </w:rPr>
              <w:br/>
              <w:t xml:space="preserve">Core argument: </w:t>
            </w:r>
            <w:r w:rsidRPr="005B7547">
              <w:rPr>
                <w:rFonts w:ascii="Gill Sans MT" w:hAnsi="Gill Sans MT"/>
                <w:bCs/>
                <w:color w:val="000000"/>
                <w:szCs w:val="22"/>
                <w:lang w:val="en-AU"/>
              </w:rPr>
              <w:t>Authors argue that the EAS doesn’t work because the methodology behind identifying WP students is not sound. They argue that future work should address these questions:</w:t>
            </w:r>
          </w:p>
          <w:p w14:paraId="1DE0502F" w14:textId="77777777" w:rsidR="00FB26B0" w:rsidRPr="005B7547" w:rsidRDefault="00FB26B0" w:rsidP="00FB26B0">
            <w:pPr>
              <w:pStyle w:val="ListParagraph"/>
              <w:numPr>
                <w:ilvl w:val="0"/>
                <w:numId w:val="23"/>
              </w:numPr>
              <w:rPr>
                <w:rFonts w:ascii="Gill Sans MT" w:hAnsi="Gill Sans MT"/>
                <w:bCs/>
                <w:color w:val="000000"/>
                <w:szCs w:val="22"/>
                <w:lang w:val="en-AU"/>
              </w:rPr>
            </w:pPr>
            <w:r w:rsidRPr="005B7547">
              <w:rPr>
                <w:rFonts w:ascii="Gill Sans MT" w:hAnsi="Gill Sans MT"/>
                <w:bCs/>
                <w:color w:val="000000"/>
                <w:szCs w:val="22"/>
                <w:lang w:val="en-AU"/>
              </w:rPr>
              <w:t>How important is the role of transparency when defining equity access schemes?</w:t>
            </w:r>
          </w:p>
          <w:p w14:paraId="4170CE1A" w14:textId="77777777" w:rsidR="00FB26B0" w:rsidRPr="005B7547" w:rsidRDefault="00FB26B0" w:rsidP="00FB26B0">
            <w:pPr>
              <w:pStyle w:val="ListParagraph"/>
              <w:numPr>
                <w:ilvl w:val="0"/>
                <w:numId w:val="23"/>
              </w:numPr>
              <w:rPr>
                <w:rFonts w:ascii="Gill Sans MT" w:hAnsi="Gill Sans MT"/>
                <w:bCs/>
                <w:color w:val="000000"/>
                <w:szCs w:val="22"/>
                <w:lang w:val="en-AU"/>
              </w:rPr>
            </w:pPr>
            <w:r w:rsidRPr="005B7547">
              <w:rPr>
                <w:rFonts w:ascii="Gill Sans MT" w:hAnsi="Gill Sans MT"/>
                <w:bCs/>
                <w:color w:val="000000"/>
                <w:szCs w:val="22"/>
                <w:lang w:val="en-AU"/>
              </w:rPr>
              <w:t>What should be the relative weights for each of the factors involved in contextual admission?</w:t>
            </w:r>
          </w:p>
          <w:p w14:paraId="7759944F" w14:textId="1F9F89AC" w:rsidR="00FB26B0" w:rsidRPr="009E630F" w:rsidRDefault="00FB26B0" w:rsidP="00FB26B0">
            <w:pPr>
              <w:rPr>
                <w:rFonts w:ascii="Gill Sans MT" w:hAnsi="Gill Sans MT"/>
                <w:b/>
                <w:color w:val="000000"/>
                <w:szCs w:val="22"/>
                <w:lang w:val="en-AU"/>
              </w:rPr>
            </w:pPr>
            <w:r w:rsidRPr="005B7547">
              <w:rPr>
                <w:rFonts w:ascii="Gill Sans MT" w:hAnsi="Gill Sans MT"/>
                <w:bCs/>
                <w:color w:val="000000"/>
                <w:szCs w:val="22"/>
                <w:lang w:val="en-AU"/>
              </w:rPr>
              <w:t>To what extent can the method of applying to equity schemes improve or undermine its results? (p.160)</w:t>
            </w:r>
          </w:p>
        </w:tc>
      </w:tr>
      <w:tr w:rsidR="00FB26B0" w:rsidRPr="009E630F" w14:paraId="7AB7F577" w14:textId="77777777" w:rsidTr="000C6DDE">
        <w:tc>
          <w:tcPr>
            <w:tcW w:w="5529" w:type="dxa"/>
          </w:tcPr>
          <w:p w14:paraId="747F282B" w14:textId="2A93E73A" w:rsidR="00FB26B0" w:rsidRPr="005B7547" w:rsidRDefault="00FB26B0" w:rsidP="00FB26B0">
            <w:pPr>
              <w:rPr>
                <w:rFonts w:ascii="Gill Sans MT" w:hAnsi="Gill Sans MT"/>
                <w:szCs w:val="22"/>
              </w:rPr>
            </w:pPr>
            <w:r w:rsidRPr="005B7547">
              <w:rPr>
                <w:rFonts w:ascii="Gill Sans MT" w:hAnsi="Gill Sans MT"/>
                <w:szCs w:val="22"/>
              </w:rPr>
              <w:t xml:space="preserve">Whitty, G. &amp; Clements, N. (2015). </w:t>
            </w:r>
            <w:hyperlink r:id="rId34" w:history="1">
              <w:r w:rsidRPr="00773B5D">
                <w:rPr>
                  <w:rStyle w:val="Hyperlink"/>
                  <w:rFonts w:ascii="Gill Sans MT" w:hAnsi="Gill Sans MT"/>
                  <w:szCs w:val="22"/>
                </w:rPr>
                <w:t xml:space="preserve">Getting into Uni in England and Australia: who you know, what you know or knowing the </w:t>
              </w:r>
              <w:proofErr w:type="gramStart"/>
              <w:r w:rsidRPr="00773B5D">
                <w:rPr>
                  <w:rStyle w:val="Hyperlink"/>
                  <w:rFonts w:ascii="Gill Sans MT" w:hAnsi="Gill Sans MT"/>
                  <w:szCs w:val="22"/>
                </w:rPr>
                <w:t>ropes?,</w:t>
              </w:r>
              <w:proofErr w:type="gramEnd"/>
            </w:hyperlink>
            <w:r w:rsidRPr="005B7547">
              <w:rPr>
                <w:rFonts w:ascii="Gill Sans MT" w:hAnsi="Gill Sans MT"/>
                <w:szCs w:val="22"/>
              </w:rPr>
              <w:t xml:space="preserve"> </w:t>
            </w:r>
            <w:r w:rsidRPr="005B7547">
              <w:rPr>
                <w:rFonts w:ascii="Gill Sans MT" w:hAnsi="Gill Sans MT"/>
                <w:i/>
                <w:szCs w:val="22"/>
              </w:rPr>
              <w:t xml:space="preserve">International Studies in Widening Participation, </w:t>
            </w:r>
            <w:r w:rsidRPr="005B7547">
              <w:rPr>
                <w:rFonts w:ascii="Gill Sans MT" w:hAnsi="Gill Sans MT"/>
                <w:szCs w:val="22"/>
              </w:rPr>
              <w:t>2(2)</w:t>
            </w:r>
            <w:r>
              <w:rPr>
                <w:rFonts w:ascii="Gill Sans MT" w:hAnsi="Gill Sans MT"/>
                <w:szCs w:val="22"/>
              </w:rPr>
              <w:t>,</w:t>
            </w:r>
            <w:r w:rsidRPr="005B7547">
              <w:rPr>
                <w:rFonts w:ascii="Gill Sans MT" w:hAnsi="Gill Sans MT"/>
                <w:szCs w:val="22"/>
              </w:rPr>
              <w:t xml:space="preserve"> 44</w:t>
            </w:r>
            <w:r>
              <w:rPr>
                <w:rFonts w:ascii="Gill Sans MT" w:hAnsi="Gill Sans MT"/>
                <w:szCs w:val="22"/>
              </w:rPr>
              <w:t>–5</w:t>
            </w:r>
            <w:r w:rsidRPr="005B7547">
              <w:rPr>
                <w:rFonts w:ascii="Gill Sans MT" w:hAnsi="Gill Sans MT"/>
                <w:szCs w:val="22"/>
              </w:rPr>
              <w:t>5.</w:t>
            </w:r>
          </w:p>
          <w:p w14:paraId="4D34FFC8" w14:textId="77777777" w:rsidR="00FB26B0" w:rsidRPr="005B7547" w:rsidRDefault="00FB26B0" w:rsidP="00FB26B0">
            <w:pPr>
              <w:rPr>
                <w:rFonts w:ascii="Gill Sans MT" w:hAnsi="Gill Sans MT"/>
                <w:szCs w:val="22"/>
              </w:rPr>
            </w:pPr>
          </w:p>
          <w:p w14:paraId="05456B29" w14:textId="77777777" w:rsidR="00FB26B0" w:rsidRPr="005B7547" w:rsidRDefault="00FB26B0" w:rsidP="00FB26B0">
            <w:pPr>
              <w:rPr>
                <w:rFonts w:ascii="Gill Sans MT" w:hAnsi="Gill Sans MT"/>
                <w:szCs w:val="22"/>
              </w:rPr>
            </w:pPr>
            <w:r w:rsidRPr="005B7547">
              <w:rPr>
                <w:rFonts w:ascii="Gill Sans MT" w:hAnsi="Gill Sans MT"/>
                <w:szCs w:val="22"/>
              </w:rPr>
              <w:t>AUS/ ENGLAND</w:t>
            </w:r>
          </w:p>
          <w:p w14:paraId="532CACA8" w14:textId="77777777" w:rsidR="00FB26B0" w:rsidRPr="009A1CE0" w:rsidRDefault="00FB26B0" w:rsidP="00FB26B0">
            <w:pPr>
              <w:rPr>
                <w:rFonts w:ascii="Gill Sans MT" w:hAnsi="Gill Sans MT" w:cs="Gill Sans"/>
                <w:color w:val="000000" w:themeColor="text1"/>
                <w:szCs w:val="22"/>
              </w:rPr>
            </w:pPr>
            <w:r w:rsidRPr="009A1CE0">
              <w:rPr>
                <w:rFonts w:ascii="Gill Sans MT" w:hAnsi="Gill Sans MT" w:cs="Gill Sans"/>
                <w:color w:val="000000" w:themeColor="text1"/>
                <w:szCs w:val="22"/>
              </w:rPr>
              <w:t xml:space="preserve">Annotation written by Sally Baker </w:t>
            </w:r>
          </w:p>
          <w:p w14:paraId="73E87BAD" w14:textId="77777777" w:rsidR="00FB26B0" w:rsidRPr="005B7547" w:rsidRDefault="00FB26B0" w:rsidP="00FB26B0">
            <w:pPr>
              <w:rPr>
                <w:rFonts w:ascii="Gill Sans MT" w:hAnsi="Gill Sans MT"/>
                <w:szCs w:val="22"/>
              </w:rPr>
            </w:pPr>
          </w:p>
          <w:p w14:paraId="005866CA" w14:textId="38DD831A" w:rsidR="00FB26B0" w:rsidRPr="009E630F" w:rsidRDefault="00FB26B0" w:rsidP="00FB26B0">
            <w:pPr>
              <w:rPr>
                <w:rFonts w:ascii="Gill Sans MT" w:hAnsi="Gill Sans MT"/>
                <w:i/>
                <w:szCs w:val="22"/>
              </w:rPr>
            </w:pPr>
            <w:r w:rsidRPr="005B7547">
              <w:rPr>
                <w:rFonts w:ascii="Gill Sans MT" w:hAnsi="Gill Sans MT"/>
                <w:szCs w:val="22"/>
              </w:rPr>
              <w:t xml:space="preserve">Keywords:  </w:t>
            </w:r>
            <w:r w:rsidRPr="005B7547">
              <w:rPr>
                <w:rFonts w:ascii="Gill Sans MT" w:hAnsi="Gill Sans MT"/>
                <w:i/>
              </w:rPr>
              <w:t>England; Australia; higher education; access; widening participation</w:t>
            </w:r>
          </w:p>
        </w:tc>
        <w:tc>
          <w:tcPr>
            <w:tcW w:w="10064" w:type="dxa"/>
          </w:tcPr>
          <w:p w14:paraId="5F2F878C" w14:textId="77777777" w:rsidR="00FB26B0" w:rsidRPr="009E630F" w:rsidRDefault="00FB26B0" w:rsidP="00FB26B0">
            <w:pPr>
              <w:rPr>
                <w:rFonts w:ascii="Gill Sans MT" w:hAnsi="Gill Sans MT"/>
                <w:color w:val="000000"/>
                <w:szCs w:val="22"/>
                <w:lang w:val="en-AU"/>
              </w:rPr>
            </w:pPr>
            <w:r w:rsidRPr="009E630F">
              <w:rPr>
                <w:rFonts w:ascii="Gill Sans MT" w:hAnsi="Gill Sans MT"/>
                <w:b/>
                <w:color w:val="000000"/>
                <w:szCs w:val="22"/>
                <w:lang w:val="en-AU"/>
              </w:rPr>
              <w:t xml:space="preserve">Context: </w:t>
            </w:r>
            <w:r w:rsidRPr="009E630F">
              <w:rPr>
                <w:rFonts w:ascii="Gill Sans MT" w:hAnsi="Gill Sans MT"/>
                <w:color w:val="000000"/>
                <w:szCs w:val="22"/>
                <w:lang w:val="en-AU"/>
              </w:rPr>
              <w:t>Examines access to higher education in Australia and England works from understanding that access for ‘socially disadvantaged’ groups = more complex than a social democratic or neoliberal explanation. Authors “</w:t>
            </w:r>
            <w:r w:rsidRPr="009E630F">
              <w:rPr>
                <w:rFonts w:ascii="Gill Sans MT" w:hAnsi="Gill Sans MT"/>
                <w:color w:val="000000"/>
                <w:szCs w:val="22"/>
                <w:lang w:val="en-US"/>
              </w:rPr>
              <w:t xml:space="preserve">take the view that, if higher education as currently constituted is taken for granted as a desirable ‘good’ for some social groups, it should not be systematically denied to others” – but not the right thing for everyone (p.44). Attends primarily to traditional school-leavers. Offers brief historical account of WP in England and Australia (cites Whitty et al. 2015), focusing more extensively on New </w:t>
            </w:r>
            <w:proofErr w:type="spellStart"/>
            <w:r w:rsidRPr="009E630F">
              <w:rPr>
                <w:rFonts w:ascii="Gill Sans MT" w:hAnsi="Gill Sans MT"/>
                <w:color w:val="000000"/>
                <w:szCs w:val="22"/>
                <w:lang w:val="en-US"/>
              </w:rPr>
              <w:t>Labour</w:t>
            </w:r>
            <w:proofErr w:type="spellEnd"/>
            <w:r w:rsidRPr="009E630F">
              <w:rPr>
                <w:rFonts w:ascii="Gill Sans MT" w:hAnsi="Gill Sans MT"/>
                <w:color w:val="000000"/>
                <w:szCs w:val="22"/>
                <w:lang w:val="en-US"/>
              </w:rPr>
              <w:t xml:space="preserve"> (UK) with 50% target, and post-Bradley (Aus) with 20/40 targets</w:t>
            </w:r>
          </w:p>
          <w:p w14:paraId="3D6FF068" w14:textId="77777777" w:rsidR="00FB26B0" w:rsidRPr="009E630F" w:rsidRDefault="00FB26B0" w:rsidP="00FB26B0">
            <w:pPr>
              <w:rPr>
                <w:rFonts w:ascii="Gill Sans MT" w:hAnsi="Gill Sans MT"/>
                <w:color w:val="000000"/>
                <w:szCs w:val="22"/>
                <w:lang w:val="en-AU"/>
              </w:rPr>
            </w:pPr>
            <w:r w:rsidRPr="009E630F">
              <w:rPr>
                <w:rFonts w:ascii="Gill Sans MT" w:hAnsi="Gill Sans MT"/>
                <w:b/>
                <w:color w:val="000000"/>
                <w:szCs w:val="22"/>
                <w:lang w:val="en-AU"/>
              </w:rPr>
              <w:t xml:space="preserve">Aim: </w:t>
            </w:r>
            <w:r w:rsidRPr="009E630F">
              <w:rPr>
                <w:rFonts w:ascii="Gill Sans MT" w:hAnsi="Gill Sans MT"/>
                <w:color w:val="000000"/>
                <w:szCs w:val="22"/>
                <w:lang w:val="en-AU"/>
              </w:rPr>
              <w:t>To compare Australia and England in terms of policies and measurement of access/ WP</w:t>
            </w:r>
          </w:p>
          <w:p w14:paraId="0A66AADD" w14:textId="77777777" w:rsidR="00FB26B0" w:rsidRPr="009E630F" w:rsidRDefault="00FB26B0" w:rsidP="00FB26B0">
            <w:pPr>
              <w:rPr>
                <w:rFonts w:ascii="Gill Sans MT" w:hAnsi="Gill Sans MT"/>
                <w:color w:val="000000"/>
                <w:szCs w:val="22"/>
                <w:lang w:val="en-AU"/>
              </w:rPr>
            </w:pPr>
            <w:r w:rsidRPr="009E630F">
              <w:rPr>
                <w:rFonts w:ascii="Gill Sans MT" w:hAnsi="Gill Sans MT"/>
                <w:b/>
                <w:color w:val="000000"/>
                <w:szCs w:val="22"/>
                <w:lang w:val="en-AU"/>
              </w:rPr>
              <w:t xml:space="preserve">Theoretical frame: </w:t>
            </w:r>
            <w:r w:rsidRPr="009E630F">
              <w:rPr>
                <w:rFonts w:ascii="Gill Sans MT" w:hAnsi="Gill Sans MT"/>
                <w:color w:val="000000"/>
                <w:szCs w:val="22"/>
                <w:lang w:val="en-AU"/>
              </w:rPr>
              <w:t>Not explicit; critical sociological account of higher education</w:t>
            </w:r>
          </w:p>
          <w:p w14:paraId="1FB59509" w14:textId="77777777" w:rsidR="00FB26B0" w:rsidRPr="009E630F" w:rsidRDefault="00FB26B0" w:rsidP="00FB26B0">
            <w:pPr>
              <w:rPr>
                <w:rFonts w:ascii="Gill Sans MT" w:hAnsi="Gill Sans MT"/>
                <w:color w:val="000000"/>
                <w:szCs w:val="22"/>
                <w:lang w:val="en-AU"/>
              </w:rPr>
            </w:pPr>
            <w:r w:rsidRPr="009E630F">
              <w:rPr>
                <w:rFonts w:ascii="Gill Sans MT" w:hAnsi="Gill Sans MT"/>
                <w:b/>
                <w:color w:val="000000"/>
                <w:szCs w:val="22"/>
                <w:lang w:val="en-AU"/>
              </w:rPr>
              <w:t xml:space="preserve">Methodology: </w:t>
            </w:r>
            <w:r w:rsidRPr="009E630F">
              <w:rPr>
                <w:rFonts w:ascii="Gill Sans MT" w:hAnsi="Gill Sans MT"/>
                <w:color w:val="000000"/>
                <w:szCs w:val="22"/>
                <w:lang w:val="en-AU"/>
              </w:rPr>
              <w:t>Essay</w:t>
            </w:r>
          </w:p>
          <w:p w14:paraId="14234F51" w14:textId="77777777" w:rsidR="00FB26B0" w:rsidRPr="009E630F" w:rsidRDefault="00FB26B0" w:rsidP="00FB26B0">
            <w:pPr>
              <w:rPr>
                <w:rFonts w:ascii="Gill Sans MT" w:hAnsi="Gill Sans MT"/>
                <w:b/>
                <w:color w:val="000000"/>
                <w:szCs w:val="22"/>
                <w:lang w:val="en-AU"/>
              </w:rPr>
            </w:pPr>
            <w:r w:rsidRPr="009E630F">
              <w:rPr>
                <w:rFonts w:ascii="Gill Sans MT" w:hAnsi="Gill Sans MT"/>
                <w:b/>
                <w:color w:val="000000"/>
                <w:szCs w:val="22"/>
                <w:lang w:val="en-AU"/>
              </w:rPr>
              <w:t>Discussion:</w:t>
            </w:r>
          </w:p>
          <w:p w14:paraId="29A6901F" w14:textId="77777777" w:rsidR="00FB26B0" w:rsidRPr="009E630F" w:rsidRDefault="00FB26B0" w:rsidP="00FB26B0">
            <w:pPr>
              <w:rPr>
                <w:rFonts w:ascii="Gill Sans MT" w:hAnsi="Gill Sans MT"/>
                <w:sz w:val="23"/>
                <w:szCs w:val="23"/>
              </w:rPr>
            </w:pPr>
            <w:r w:rsidRPr="009E630F">
              <w:rPr>
                <w:rFonts w:ascii="Gill Sans MT" w:hAnsi="Gill Sans MT"/>
                <w:color w:val="000000"/>
                <w:szCs w:val="22"/>
                <w:lang w:val="en-AU"/>
              </w:rPr>
              <w:t>‘Quantitative inequality’ – at level of how participation/access =measured. Notes that in UK, a new measurement was introduced in 2007 that painted a more positive picture of WP, but when analysed in-depth = “</w:t>
            </w:r>
            <w:r w:rsidRPr="009E630F">
              <w:rPr>
                <w:rFonts w:ascii="Gill Sans MT" w:hAnsi="Gill Sans MT"/>
                <w:sz w:val="23"/>
                <w:szCs w:val="23"/>
              </w:rPr>
              <w:t xml:space="preserve">major disparities and differences in participation between diverse social groups when you dug beneath </w:t>
            </w:r>
            <w:r w:rsidRPr="009E630F">
              <w:rPr>
                <w:rFonts w:ascii="Gill Sans MT" w:hAnsi="Gill Sans MT"/>
                <w:sz w:val="23"/>
                <w:szCs w:val="23"/>
              </w:rPr>
              <w:lastRenderedPageBreak/>
              <w:t>the surface” (p.46). Offer argument of ‘Maximally Maintained Inequality’ = saturation from ‘traditional’ sources of students [see Pitman, 2015; Gidley et al. 2010 for same argument]</w:t>
            </w:r>
          </w:p>
          <w:p w14:paraId="75F3C9DA" w14:textId="77777777" w:rsidR="00FB26B0" w:rsidRPr="009E630F" w:rsidRDefault="00FB26B0" w:rsidP="00FB26B0">
            <w:pPr>
              <w:rPr>
                <w:rFonts w:ascii="Gill Sans MT" w:hAnsi="Gill Sans MT"/>
                <w:sz w:val="23"/>
                <w:szCs w:val="23"/>
              </w:rPr>
            </w:pPr>
            <w:r w:rsidRPr="009E630F">
              <w:rPr>
                <w:rFonts w:ascii="Gill Sans MT" w:hAnsi="Gill Sans MT"/>
                <w:sz w:val="23"/>
                <w:szCs w:val="23"/>
              </w:rPr>
              <w:t>‘Qualitatively inequality’</w:t>
            </w:r>
            <w:r w:rsidRPr="009E630F">
              <w:rPr>
                <w:rFonts w:ascii="Gill Sans MT" w:hAnsi="Gill Sans MT"/>
                <w:b/>
                <w:color w:val="000000"/>
                <w:szCs w:val="22"/>
                <w:lang w:val="en-AU"/>
              </w:rPr>
              <w:t xml:space="preserve"> </w:t>
            </w:r>
            <w:r w:rsidRPr="009E630F">
              <w:rPr>
                <w:rFonts w:ascii="Gill Sans MT" w:hAnsi="Gill Sans MT"/>
                <w:color w:val="000000"/>
                <w:szCs w:val="22"/>
                <w:lang w:val="en-AU"/>
              </w:rPr>
              <w:t>– explained by theory of ‘</w:t>
            </w:r>
            <w:r w:rsidRPr="009E630F">
              <w:rPr>
                <w:rFonts w:ascii="Gill Sans MT" w:hAnsi="Gill Sans MT"/>
                <w:sz w:val="23"/>
                <w:szCs w:val="23"/>
              </w:rPr>
              <w:t>Effectively Maintained Inequality’ = more privileged look for new ways to enhance advantage [see argument made by Marginson, 2011 about rich Australians travelling to Ivy League universities to gain competitive advantage]. In UK = “clearly uneven distribution” of students at Russell Group universities- similar picture noted in Australia with Go8.</w:t>
            </w:r>
          </w:p>
          <w:p w14:paraId="2493B32C" w14:textId="77777777" w:rsidR="00FB26B0" w:rsidRPr="009E630F" w:rsidRDefault="00FB26B0" w:rsidP="00FB26B0">
            <w:pPr>
              <w:rPr>
                <w:rFonts w:ascii="Gill Sans MT" w:hAnsi="Gill Sans MT"/>
                <w:sz w:val="23"/>
                <w:szCs w:val="23"/>
              </w:rPr>
            </w:pPr>
            <w:r w:rsidRPr="009E630F">
              <w:rPr>
                <w:rFonts w:ascii="Gill Sans MT" w:hAnsi="Gill Sans MT"/>
                <w:sz w:val="23"/>
                <w:szCs w:val="23"/>
              </w:rPr>
              <w:t xml:space="preserve">Authors argue that two countries appear to be competing at level of policy and view each other as “laboratories for testing out policies that they may want to introduce” (p.47) – e.g. introduction of higher student contributions in UK and abolition of </w:t>
            </w:r>
            <w:proofErr w:type="spellStart"/>
            <w:r w:rsidRPr="009E630F">
              <w:rPr>
                <w:rFonts w:ascii="Gill Sans MT" w:hAnsi="Gill Sans MT"/>
                <w:sz w:val="23"/>
                <w:szCs w:val="23"/>
              </w:rPr>
              <w:t>Aimhigher</w:t>
            </w:r>
            <w:proofErr w:type="spellEnd"/>
            <w:r w:rsidRPr="009E630F">
              <w:rPr>
                <w:rFonts w:ascii="Gill Sans MT" w:hAnsi="Gill Sans MT"/>
                <w:sz w:val="23"/>
                <w:szCs w:val="23"/>
              </w:rPr>
              <w:t>.</w:t>
            </w:r>
          </w:p>
          <w:p w14:paraId="514D65F1" w14:textId="77777777" w:rsidR="00FB26B0" w:rsidRPr="009E630F" w:rsidRDefault="00FB26B0" w:rsidP="00FB26B0">
            <w:pPr>
              <w:rPr>
                <w:rFonts w:ascii="Gill Sans MT" w:hAnsi="Gill Sans MT"/>
                <w:color w:val="000000"/>
                <w:szCs w:val="22"/>
                <w:lang w:val="en-AU"/>
              </w:rPr>
            </w:pPr>
            <w:r w:rsidRPr="009E630F">
              <w:rPr>
                <w:rFonts w:ascii="Gill Sans MT" w:hAnsi="Gill Sans MT"/>
                <w:sz w:val="23"/>
                <w:szCs w:val="23"/>
              </w:rPr>
              <w:t>Barriers to ‘fair access’ = student finance arrangements (not enough), aspiration and awareness (dispels idea that low SES students have lower/fewer aspirations), school attainment (strong links with SES), importance of social and cultural capital (including access to information – choice/ advice)</w:t>
            </w:r>
          </w:p>
          <w:p w14:paraId="5A6BF58D" w14:textId="214CA8EB" w:rsidR="00FB26B0" w:rsidRPr="009E630F" w:rsidRDefault="00FB26B0" w:rsidP="00FB26B0">
            <w:pPr>
              <w:rPr>
                <w:rFonts w:ascii="Gill Sans MT" w:hAnsi="Gill Sans MT"/>
                <w:b/>
                <w:color w:val="000000"/>
                <w:szCs w:val="22"/>
                <w:lang w:val="en-AU"/>
              </w:rPr>
            </w:pPr>
            <w:r w:rsidRPr="009E630F">
              <w:rPr>
                <w:rFonts w:ascii="Gill Sans MT" w:hAnsi="Gill Sans MT"/>
                <w:b/>
                <w:color w:val="000000"/>
                <w:szCs w:val="22"/>
                <w:lang w:val="en-AU"/>
              </w:rPr>
              <w:t xml:space="preserve">Core argument: </w:t>
            </w:r>
            <w:r w:rsidRPr="009E630F">
              <w:rPr>
                <w:rFonts w:ascii="Gill Sans MT" w:hAnsi="Gill Sans MT"/>
                <w:color w:val="000000"/>
                <w:szCs w:val="22"/>
                <w:lang w:val="en-AU"/>
              </w:rPr>
              <w:t>WP should be reconceptualised as social justice in widest sense possible (see Gale, 2015 &amp; Burke, 2012) but need more policy direction around encouraging entry/ narrowing attainment gaps/ ‘radically improving’ quality of information given to young people about HE, strengthening links between schools and universities. Research priorities = need “more sophisticated research and datasets” (p.52) and how to link different datasets and more work that questions normative assumptions about WP: “</w:t>
            </w:r>
            <w:r w:rsidRPr="009E630F">
              <w:rPr>
                <w:rFonts w:ascii="Gill Sans MT" w:hAnsi="Gill Sans MT"/>
                <w:sz w:val="23"/>
                <w:szCs w:val="23"/>
              </w:rPr>
              <w:t xml:space="preserve">We need to improve access to what exists </w:t>
            </w:r>
            <w:r w:rsidRPr="009E630F">
              <w:rPr>
                <w:rFonts w:ascii="Gill Sans MT" w:hAnsi="Gill Sans MT"/>
                <w:i/>
                <w:iCs/>
                <w:sz w:val="23"/>
                <w:szCs w:val="23"/>
              </w:rPr>
              <w:t xml:space="preserve">and </w:t>
            </w:r>
            <w:r w:rsidRPr="009E630F">
              <w:rPr>
                <w:rFonts w:ascii="Gill Sans MT" w:hAnsi="Gill Sans MT"/>
                <w:sz w:val="23"/>
                <w:szCs w:val="23"/>
              </w:rPr>
              <w:t>change what people gain access to. In our view, social justice demands both” (p.52).</w:t>
            </w:r>
          </w:p>
        </w:tc>
      </w:tr>
    </w:tbl>
    <w:p w14:paraId="5E359F38" w14:textId="77777777" w:rsidR="006C71AB" w:rsidRPr="009E630F" w:rsidRDefault="006C71AB" w:rsidP="006C71AB">
      <w:pPr>
        <w:pStyle w:val="Heading3"/>
        <w:numPr>
          <w:ilvl w:val="0"/>
          <w:numId w:val="0"/>
        </w:numPr>
        <w:spacing w:line="240" w:lineRule="auto"/>
        <w:ind w:left="720" w:hanging="720"/>
        <w:jc w:val="center"/>
        <w:rPr>
          <w:rFonts w:ascii="Gill Sans MT" w:hAnsi="Gill Sans MT"/>
        </w:rPr>
      </w:pPr>
    </w:p>
    <w:sectPr w:rsidR="006C71AB" w:rsidRPr="009E630F" w:rsidSect="006C71AB">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17B35" w14:textId="77777777" w:rsidR="00A8332E" w:rsidRDefault="00A8332E" w:rsidP="00DA21C4">
      <w:r>
        <w:separator/>
      </w:r>
    </w:p>
  </w:endnote>
  <w:endnote w:type="continuationSeparator" w:id="0">
    <w:p w14:paraId="7AF19810" w14:textId="77777777" w:rsidR="00A8332E" w:rsidRDefault="00A8332E" w:rsidP="00D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Helvetica 45 Light">
    <w:altName w:val="Cambria"/>
    <w:panose1 w:val="020B0403020202020204"/>
    <w:charset w:val="4D"/>
    <w:family w:val="swiss"/>
    <w:notTrueType/>
    <w:pitch w:val="default"/>
    <w:sig w:usb0="00000003" w:usb1="00000000" w:usb2="00000000" w:usb3="00000000" w:csb0="00000001" w:csb1="00000000"/>
  </w:font>
  <w:font w:name="Helvetica 65 Medium">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86BE" w14:textId="0E2ABF39" w:rsidR="00786FA7" w:rsidRDefault="00786FA7">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543E" w14:textId="77777777" w:rsidR="00A8332E" w:rsidRDefault="00A8332E" w:rsidP="00DA21C4">
      <w:r>
        <w:separator/>
      </w:r>
    </w:p>
  </w:footnote>
  <w:footnote w:type="continuationSeparator" w:id="0">
    <w:p w14:paraId="6DB5E987" w14:textId="77777777" w:rsidR="00A8332E" w:rsidRDefault="00A8332E" w:rsidP="00DA21C4">
      <w:r>
        <w:continuationSeparator/>
      </w:r>
    </w:p>
  </w:footnote>
  <w:footnote w:id="1">
    <w:p w14:paraId="03B6EAFD" w14:textId="77777777" w:rsidR="00786FA7" w:rsidRPr="00041293" w:rsidRDefault="00786FA7" w:rsidP="00BA55C8">
      <w:pPr>
        <w:pStyle w:val="FootnoteText"/>
        <w:rPr>
          <w:sz w:val="20"/>
          <w:szCs w:val="20"/>
          <w:lang w:val="en-US"/>
        </w:rPr>
      </w:pPr>
      <w:r w:rsidRPr="00041293">
        <w:rPr>
          <w:rStyle w:val="FootnoteReference"/>
          <w:sz w:val="20"/>
          <w:szCs w:val="20"/>
        </w:rPr>
        <w:footnoteRef/>
      </w:r>
      <w:r w:rsidRPr="00041293">
        <w:rPr>
          <w:sz w:val="20"/>
          <w:szCs w:val="20"/>
        </w:rPr>
        <w:t xml:space="preserve"> These students are: students from low socioeconomic backgrounds, Indigenous students, students with disabilities, students from rural and remote locations, non-English speaking background students and women in non-traditional 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6E3"/>
    <w:multiLevelType w:val="hybridMultilevel"/>
    <w:tmpl w:val="25A6C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D71EA"/>
    <w:multiLevelType w:val="hybridMultilevel"/>
    <w:tmpl w:val="BD48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4062"/>
    <w:multiLevelType w:val="hybridMultilevel"/>
    <w:tmpl w:val="4E44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7978"/>
    <w:multiLevelType w:val="hybridMultilevel"/>
    <w:tmpl w:val="9050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0234"/>
    <w:multiLevelType w:val="hybridMultilevel"/>
    <w:tmpl w:val="5FA8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0F6A"/>
    <w:multiLevelType w:val="hybridMultilevel"/>
    <w:tmpl w:val="2BF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21864"/>
    <w:multiLevelType w:val="hybridMultilevel"/>
    <w:tmpl w:val="00BA2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46EBE"/>
    <w:multiLevelType w:val="hybridMultilevel"/>
    <w:tmpl w:val="82D4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C2546"/>
    <w:multiLevelType w:val="hybridMultilevel"/>
    <w:tmpl w:val="518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50F16"/>
    <w:multiLevelType w:val="hybridMultilevel"/>
    <w:tmpl w:val="FF7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C436B"/>
    <w:multiLevelType w:val="hybridMultilevel"/>
    <w:tmpl w:val="61F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D6FFD"/>
    <w:multiLevelType w:val="hybridMultilevel"/>
    <w:tmpl w:val="0B5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03048"/>
    <w:multiLevelType w:val="hybridMultilevel"/>
    <w:tmpl w:val="D5FC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9269A"/>
    <w:multiLevelType w:val="multilevel"/>
    <w:tmpl w:val="B53EAE8E"/>
    <w:lvl w:ilvl="0">
      <w:start w:val="11"/>
      <w:numFmt w:val="decimal"/>
      <w:lvlText w:val="%1"/>
      <w:lvlJc w:val="left"/>
      <w:pPr>
        <w:ind w:left="432" w:hanging="432"/>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0A42D50"/>
    <w:multiLevelType w:val="hybridMultilevel"/>
    <w:tmpl w:val="45C2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830C1"/>
    <w:multiLevelType w:val="hybridMultilevel"/>
    <w:tmpl w:val="2BB0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D0140"/>
    <w:multiLevelType w:val="hybridMultilevel"/>
    <w:tmpl w:val="2E5AA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357177"/>
    <w:multiLevelType w:val="hybridMultilevel"/>
    <w:tmpl w:val="6B1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225D3"/>
    <w:multiLevelType w:val="hybridMultilevel"/>
    <w:tmpl w:val="CCA43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460CB"/>
    <w:multiLevelType w:val="hybridMultilevel"/>
    <w:tmpl w:val="3698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84711"/>
    <w:multiLevelType w:val="hybridMultilevel"/>
    <w:tmpl w:val="190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A167928"/>
    <w:multiLevelType w:val="hybridMultilevel"/>
    <w:tmpl w:val="998AB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8"/>
  </w:num>
  <w:num w:numId="4">
    <w:abstractNumId w:val="4"/>
  </w:num>
  <w:num w:numId="5">
    <w:abstractNumId w:val="19"/>
  </w:num>
  <w:num w:numId="6">
    <w:abstractNumId w:val="11"/>
  </w:num>
  <w:num w:numId="7">
    <w:abstractNumId w:val="9"/>
  </w:num>
  <w:num w:numId="8">
    <w:abstractNumId w:val="5"/>
  </w:num>
  <w:num w:numId="9">
    <w:abstractNumId w:val="8"/>
  </w:num>
  <w:num w:numId="10">
    <w:abstractNumId w:val="15"/>
  </w:num>
  <w:num w:numId="11">
    <w:abstractNumId w:val="1"/>
  </w:num>
  <w:num w:numId="12">
    <w:abstractNumId w:val="10"/>
  </w:num>
  <w:num w:numId="13">
    <w:abstractNumId w:val="17"/>
  </w:num>
  <w:num w:numId="14">
    <w:abstractNumId w:val="6"/>
  </w:num>
  <w:num w:numId="15">
    <w:abstractNumId w:val="22"/>
  </w:num>
  <w:num w:numId="16">
    <w:abstractNumId w:val="7"/>
  </w:num>
  <w:num w:numId="17">
    <w:abstractNumId w:val="12"/>
  </w:num>
  <w:num w:numId="18">
    <w:abstractNumId w:val="3"/>
  </w:num>
  <w:num w:numId="19">
    <w:abstractNumId w:val="13"/>
  </w:num>
  <w:num w:numId="20">
    <w:abstractNumId w:val="14"/>
  </w:num>
  <w:num w:numId="21">
    <w:abstractNumId w:val="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1AB"/>
    <w:rsid w:val="00082157"/>
    <w:rsid w:val="00097330"/>
    <w:rsid w:val="000B0879"/>
    <w:rsid w:val="000C6DDE"/>
    <w:rsid w:val="000F6DAC"/>
    <w:rsid w:val="00185A61"/>
    <w:rsid w:val="001B6369"/>
    <w:rsid w:val="00292A5A"/>
    <w:rsid w:val="002A1675"/>
    <w:rsid w:val="002B39BB"/>
    <w:rsid w:val="002E1608"/>
    <w:rsid w:val="002F295B"/>
    <w:rsid w:val="003110CD"/>
    <w:rsid w:val="00367625"/>
    <w:rsid w:val="00384651"/>
    <w:rsid w:val="003E268E"/>
    <w:rsid w:val="003F05A1"/>
    <w:rsid w:val="004347D3"/>
    <w:rsid w:val="00436BB7"/>
    <w:rsid w:val="004917CF"/>
    <w:rsid w:val="00500FF8"/>
    <w:rsid w:val="005510E4"/>
    <w:rsid w:val="005B5B5E"/>
    <w:rsid w:val="00670816"/>
    <w:rsid w:val="00676B8F"/>
    <w:rsid w:val="006C71AB"/>
    <w:rsid w:val="006D3614"/>
    <w:rsid w:val="006F29D7"/>
    <w:rsid w:val="00786FA7"/>
    <w:rsid w:val="007F00F1"/>
    <w:rsid w:val="00880DBF"/>
    <w:rsid w:val="009E630F"/>
    <w:rsid w:val="00A80E19"/>
    <w:rsid w:val="00A8332E"/>
    <w:rsid w:val="00A8622F"/>
    <w:rsid w:val="00AB1B13"/>
    <w:rsid w:val="00AC381E"/>
    <w:rsid w:val="00B05B9F"/>
    <w:rsid w:val="00B417A9"/>
    <w:rsid w:val="00BA55C8"/>
    <w:rsid w:val="00BB748E"/>
    <w:rsid w:val="00BF348D"/>
    <w:rsid w:val="00C0300F"/>
    <w:rsid w:val="00C75235"/>
    <w:rsid w:val="00CA6562"/>
    <w:rsid w:val="00CE1401"/>
    <w:rsid w:val="00CE5F6A"/>
    <w:rsid w:val="00D57E50"/>
    <w:rsid w:val="00D82F9A"/>
    <w:rsid w:val="00DA21C4"/>
    <w:rsid w:val="00DE1D75"/>
    <w:rsid w:val="00E17440"/>
    <w:rsid w:val="00E7592C"/>
    <w:rsid w:val="00E96EE2"/>
    <w:rsid w:val="00EE6416"/>
    <w:rsid w:val="00F84AA3"/>
    <w:rsid w:val="00F97670"/>
    <w:rsid w:val="00FA6C26"/>
    <w:rsid w:val="00FB26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03D4A"/>
  <w14:defaultImageDpi w14:val="300"/>
  <w15:docId w15:val="{DFB87015-827F-6943-986A-C7FF250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AB"/>
    <w:rPr>
      <w:rFonts w:ascii="Calibri" w:hAnsi="Calibri"/>
      <w:sz w:val="22"/>
      <w:lang w:val="en-GB"/>
    </w:rPr>
  </w:style>
  <w:style w:type="paragraph" w:styleId="Heading1">
    <w:name w:val="heading 1"/>
    <w:aliases w:val="SB Heading 1"/>
    <w:basedOn w:val="Normal"/>
    <w:next w:val="Normal"/>
    <w:link w:val="Heading1Char"/>
    <w:uiPriority w:val="9"/>
    <w:qFormat/>
    <w:rsid w:val="006C71AB"/>
    <w:pPr>
      <w:keepNext/>
      <w:keepLines/>
      <w:numPr>
        <w:numId w:val="1"/>
      </w:numPr>
      <w:spacing w:before="480" w:line="360" w:lineRule="auto"/>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6C71AB"/>
    <w:pPr>
      <w:keepNext/>
      <w:keepLines/>
      <w:numPr>
        <w:ilvl w:val="1"/>
        <w:numId w:val="1"/>
      </w:numPr>
      <w:spacing w:before="200" w:line="360" w:lineRule="auto"/>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6C71AB"/>
    <w:pPr>
      <w:keepNext/>
      <w:keepLines/>
      <w:numPr>
        <w:ilvl w:val="2"/>
        <w:numId w:val="1"/>
      </w:numPr>
      <w:spacing w:before="20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C71AB"/>
    <w:pPr>
      <w:keepNext/>
      <w:keepLines/>
      <w:numPr>
        <w:ilvl w:val="3"/>
        <w:numId w:val="1"/>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71AB"/>
    <w:pPr>
      <w:keepNext/>
      <w:keepLines/>
      <w:numPr>
        <w:ilvl w:val="4"/>
        <w:numId w:val="1"/>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71AB"/>
    <w:pPr>
      <w:keepNext/>
      <w:keepLines/>
      <w:numPr>
        <w:ilvl w:val="5"/>
        <w:numId w:val="1"/>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71AB"/>
    <w:pPr>
      <w:keepNext/>
      <w:keepLines/>
      <w:numPr>
        <w:ilvl w:val="6"/>
        <w:numId w:val="1"/>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71AB"/>
    <w:pPr>
      <w:keepNext/>
      <w:keepLines/>
      <w:numPr>
        <w:ilvl w:val="7"/>
        <w:numId w:val="1"/>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71AB"/>
    <w:pPr>
      <w:keepNext/>
      <w:keepLines/>
      <w:numPr>
        <w:ilvl w:val="8"/>
        <w:numId w:val="1"/>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1A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1AB"/>
    <w:pPr>
      <w:spacing w:before="100" w:beforeAutospacing="1" w:after="100" w:afterAutospacing="1"/>
    </w:pPr>
    <w:rPr>
      <w:rFonts w:ascii="Times" w:hAnsi="Times" w:cs="Times New Roman"/>
      <w:sz w:val="20"/>
      <w:szCs w:val="20"/>
      <w:lang w:val="en-AU"/>
    </w:rPr>
  </w:style>
  <w:style w:type="character" w:customStyle="1" w:styleId="Heading1Char">
    <w:name w:val="Heading 1 Char"/>
    <w:aliases w:val="SB Heading 1 Char"/>
    <w:basedOn w:val="DefaultParagraphFont"/>
    <w:link w:val="Heading1"/>
    <w:uiPriority w:val="9"/>
    <w:rsid w:val="006C71AB"/>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6C71AB"/>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6C71AB"/>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6C71A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6C71A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6C71A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6C71A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6C71A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C71AB"/>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unhideWhenUsed/>
    <w:rsid w:val="006C7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1AB"/>
    <w:rPr>
      <w:rFonts w:ascii="Lucida Grande" w:hAnsi="Lucida Grande" w:cs="Lucida Grande"/>
      <w:sz w:val="18"/>
      <w:szCs w:val="18"/>
      <w:lang w:val="en-GB"/>
    </w:rPr>
  </w:style>
  <w:style w:type="paragraph" w:styleId="DocumentMap">
    <w:name w:val="Document Map"/>
    <w:basedOn w:val="Normal"/>
    <w:link w:val="DocumentMapChar"/>
    <w:uiPriority w:val="99"/>
    <w:semiHidden/>
    <w:unhideWhenUsed/>
    <w:rsid w:val="006C71A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C71AB"/>
    <w:rPr>
      <w:rFonts w:ascii="Lucida Grande" w:hAnsi="Lucida Grande" w:cs="Lucida Grande"/>
      <w:lang w:val="en-GB"/>
    </w:rPr>
  </w:style>
  <w:style w:type="paragraph" w:styleId="ListParagraph">
    <w:name w:val="List Paragraph"/>
    <w:basedOn w:val="Normal"/>
    <w:uiPriority w:val="34"/>
    <w:qFormat/>
    <w:rsid w:val="006C71AB"/>
    <w:pPr>
      <w:ind w:left="720"/>
      <w:contextualSpacing/>
    </w:pPr>
  </w:style>
  <w:style w:type="paragraph" w:styleId="FootnoteText">
    <w:name w:val="footnote text"/>
    <w:basedOn w:val="Normal"/>
    <w:link w:val="FootnoteTextChar"/>
    <w:uiPriority w:val="99"/>
    <w:unhideWhenUsed/>
    <w:rsid w:val="00DA21C4"/>
    <w:rPr>
      <w:sz w:val="24"/>
    </w:rPr>
  </w:style>
  <w:style w:type="character" w:customStyle="1" w:styleId="FootnoteTextChar">
    <w:name w:val="Footnote Text Char"/>
    <w:basedOn w:val="DefaultParagraphFont"/>
    <w:link w:val="FootnoteText"/>
    <w:uiPriority w:val="99"/>
    <w:rsid w:val="00DA21C4"/>
    <w:rPr>
      <w:rFonts w:ascii="Calibri" w:hAnsi="Calibri"/>
      <w:lang w:val="en-GB"/>
    </w:rPr>
  </w:style>
  <w:style w:type="character" w:styleId="FootnoteReference">
    <w:name w:val="footnote reference"/>
    <w:basedOn w:val="DefaultParagraphFont"/>
    <w:uiPriority w:val="99"/>
    <w:unhideWhenUsed/>
    <w:rsid w:val="00DA21C4"/>
    <w:rPr>
      <w:vertAlign w:val="superscript"/>
    </w:rPr>
  </w:style>
  <w:style w:type="paragraph" w:customStyle="1" w:styleId="Default">
    <w:name w:val="Default"/>
    <w:rsid w:val="00A8622F"/>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5B5B5E"/>
    <w:pPr>
      <w:tabs>
        <w:tab w:val="center" w:pos="4320"/>
        <w:tab w:val="right" w:pos="8640"/>
      </w:tabs>
    </w:pPr>
  </w:style>
  <w:style w:type="character" w:customStyle="1" w:styleId="HeaderChar">
    <w:name w:val="Header Char"/>
    <w:basedOn w:val="DefaultParagraphFont"/>
    <w:link w:val="Header"/>
    <w:uiPriority w:val="99"/>
    <w:rsid w:val="005B5B5E"/>
    <w:rPr>
      <w:rFonts w:ascii="Calibri" w:hAnsi="Calibri"/>
      <w:sz w:val="22"/>
      <w:lang w:val="en-GB"/>
    </w:rPr>
  </w:style>
  <w:style w:type="paragraph" w:styleId="Footer">
    <w:name w:val="footer"/>
    <w:basedOn w:val="Normal"/>
    <w:link w:val="FooterChar"/>
    <w:uiPriority w:val="99"/>
    <w:unhideWhenUsed/>
    <w:rsid w:val="005B5B5E"/>
    <w:pPr>
      <w:tabs>
        <w:tab w:val="center" w:pos="4320"/>
        <w:tab w:val="right" w:pos="8640"/>
      </w:tabs>
    </w:pPr>
  </w:style>
  <w:style w:type="character" w:customStyle="1" w:styleId="FooterChar">
    <w:name w:val="Footer Char"/>
    <w:basedOn w:val="DefaultParagraphFont"/>
    <w:link w:val="Footer"/>
    <w:uiPriority w:val="99"/>
    <w:rsid w:val="005B5B5E"/>
    <w:rPr>
      <w:rFonts w:ascii="Calibri" w:hAnsi="Calibri"/>
      <w:sz w:val="22"/>
      <w:lang w:val="en-GB"/>
    </w:rPr>
  </w:style>
  <w:style w:type="character" w:styleId="Hyperlink">
    <w:name w:val="Hyperlink"/>
    <w:basedOn w:val="DefaultParagraphFont"/>
    <w:uiPriority w:val="99"/>
    <w:unhideWhenUsed/>
    <w:rsid w:val="009E630F"/>
    <w:rPr>
      <w:color w:val="0000FF" w:themeColor="hyperlink"/>
      <w:u w:val="single"/>
    </w:rPr>
  </w:style>
  <w:style w:type="character" w:styleId="UnresolvedMention">
    <w:name w:val="Unresolved Mention"/>
    <w:basedOn w:val="DefaultParagraphFont"/>
    <w:uiPriority w:val="99"/>
    <w:semiHidden/>
    <w:unhideWhenUsed/>
    <w:rsid w:val="009E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ints.usq.edu.au/10288/" TargetMode="External"/><Relationship Id="rId18" Type="http://schemas.openxmlformats.org/officeDocument/2006/relationships/hyperlink" Target="https://www.tandfonline.com/doi/abs/10.1080/17508487.2011.536511" TargetMode="External"/><Relationship Id="rId26" Type="http://schemas.openxmlformats.org/officeDocument/2006/relationships/hyperlink" Target="https://www.tandfonline.com/doi/abs/10.1080/07294360.2014.956692?journalCode=cher20" TargetMode="External"/><Relationship Id="rId3" Type="http://schemas.openxmlformats.org/officeDocument/2006/relationships/customXml" Target="../customXml/item3.xml"/><Relationship Id="rId21" Type="http://schemas.openxmlformats.org/officeDocument/2006/relationships/hyperlink" Target="http://www.mitchellinstitute.org.au/reports/educational-opportunity-in-australia-2015-who-succeeds-and-who-misses-out/" TargetMode="External"/><Relationship Id="rId34" Type="http://schemas.openxmlformats.org/officeDocument/2006/relationships/hyperlink" Target="https://novaojs.newcastle.edu.au/ceehe/index.php/iswp/article/view/33" TargetMode="External"/><Relationship Id="rId7" Type="http://schemas.openxmlformats.org/officeDocument/2006/relationships/webSettings" Target="webSettings.xml"/><Relationship Id="rId12" Type="http://schemas.openxmlformats.org/officeDocument/2006/relationships/hyperlink" Target="http://oro.open.ac.uk/33147/" TargetMode="External"/><Relationship Id="rId17" Type="http://schemas.openxmlformats.org/officeDocument/2006/relationships/hyperlink" Target="https://www.deakin.edu.au/__data/assets/pdf_file/0006/365199/widening-participation.pdf" TargetMode="External"/><Relationship Id="rId25" Type="http://schemas.openxmlformats.org/officeDocument/2006/relationships/hyperlink" Target="https://www.tandfonline.com/doi/abs/10.1080/03075079.2011.580838" TargetMode="External"/><Relationship Id="rId33" Type="http://schemas.openxmlformats.org/officeDocument/2006/relationships/hyperlink" Target="https://www.ingentaconnect.com/content/openu/jwpll/2017/00000019/00000002/art00009" TargetMode="External"/><Relationship Id="rId2" Type="http://schemas.openxmlformats.org/officeDocument/2006/relationships/customXml" Target="../customXml/item2.xml"/><Relationship Id="rId16" Type="http://schemas.openxmlformats.org/officeDocument/2006/relationships/hyperlink" Target="https://www.tandfonline.com/doi/abs/10.1080/07294360.2013.776520" TargetMode="External"/><Relationship Id="rId20" Type="http://schemas.openxmlformats.org/officeDocument/2006/relationships/hyperlink" Target="https://www.tandfonline.com/doi/abs/10.1080/01425690701252531" TargetMode="External"/><Relationship Id="rId29" Type="http://schemas.openxmlformats.org/officeDocument/2006/relationships/hyperlink" Target="https://www.semanticscholar.org/paper/Excavating-widening-participation-policy-in-higher-Southgate-Bennett/828c350990f48ff42eb581fc7b1a6faf16a9f9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vaojs.newcastle.edu.au/ceehe/index.php/iswp/article/view/10" TargetMode="External"/><Relationship Id="rId24" Type="http://schemas.openxmlformats.org/officeDocument/2006/relationships/hyperlink" Target="https://www.tandfonline.com/doi/abs/10.1080/13596740100200106" TargetMode="External"/><Relationship Id="rId32" Type="http://schemas.openxmlformats.org/officeDocument/2006/relationships/hyperlink" Target="https://www.tandfonline.com/doi/abs/10.1080/00071005.2012.697541" TargetMode="External"/><Relationship Id="rId5" Type="http://schemas.openxmlformats.org/officeDocument/2006/relationships/styles" Target="styles.xml"/><Relationship Id="rId15" Type="http://schemas.openxmlformats.org/officeDocument/2006/relationships/hyperlink" Target="https://www.voced.edu.au/content/ngv:71548" TargetMode="External"/><Relationship Id="rId23" Type="http://schemas.openxmlformats.org/officeDocument/2006/relationships/hyperlink" Target="doi:%2010.1177/1757743815624117" TargetMode="External"/><Relationship Id="rId28" Type="http://schemas.openxmlformats.org/officeDocument/2006/relationships/hyperlink" Target="https://ro.uow.edu.au/jutlp/vol10/iss1/2/"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earl.plymouth.ac.uk/bitstream/handle/10026.1/6678/Gibson_Diversity_Widening_Participation.pdf?sequence=3" TargetMode="External"/><Relationship Id="rId31" Type="http://schemas.openxmlformats.org/officeDocument/2006/relationships/hyperlink" Target="https://www.tandfonline.com/doi/abs/10.1080/02671529901401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ndfonline.com/doi/abs/10.1080/13600800500045810" TargetMode="External"/><Relationship Id="rId22" Type="http://schemas.openxmlformats.org/officeDocument/2006/relationships/hyperlink" Target="https://www.tandfonline.com/doi/abs/10.1080/03054985.2013.791618" TargetMode="External"/><Relationship Id="rId27" Type="http://schemas.openxmlformats.org/officeDocument/2006/relationships/hyperlink" Target="https://www.tandfonline.com/doi/abs/10.1080/02601370.2013.873216?src=recsys&amp;journalCode=tled20" TargetMode="External"/><Relationship Id="rId30" Type="http://schemas.openxmlformats.org/officeDocument/2006/relationships/hyperlink" Target="https://www.ingentaconnect.com/content/ioep/clre/2010/00000008/00000002/art00002?crawler=true"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B1AA5-4A24-4BA5-BA7B-EB3D787F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9bc-3817-44f0-8f4f-1c8996818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8D478-83F8-4FE3-93B9-16AAE95B2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C5670-FD1A-4227-B47C-07A729501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15746</Words>
  <Characters>89757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Courtenay Atwell</cp:lastModifiedBy>
  <cp:revision>10</cp:revision>
  <dcterms:created xsi:type="dcterms:W3CDTF">2017-05-23T05:47:00Z</dcterms:created>
  <dcterms:modified xsi:type="dcterms:W3CDTF">2020-06-04T02:04:00Z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