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7B5C" w14:textId="397ED594" w:rsidR="00033529" w:rsidRPr="00341A37" w:rsidRDefault="00033529" w:rsidP="00033529">
      <w:pPr>
        <w:jc w:val="center"/>
        <w:rPr>
          <w:rFonts w:ascii="Gill Sans MT" w:hAnsi="Gill Sans MT"/>
          <w:b/>
          <w:sz w:val="24"/>
        </w:rPr>
      </w:pPr>
      <w:r w:rsidRPr="00341A37">
        <w:rPr>
          <w:rFonts w:ascii="Gill Sans MT" w:hAnsi="Gill Sans MT"/>
          <w:b/>
          <w:sz w:val="24"/>
        </w:rPr>
        <w:t xml:space="preserve">Postgraduate Study and </w:t>
      </w:r>
      <w:r w:rsidR="00341A37" w:rsidRPr="00341A37">
        <w:rPr>
          <w:rFonts w:ascii="Gill Sans MT" w:hAnsi="Gill Sans MT"/>
          <w:b/>
          <w:sz w:val="24"/>
        </w:rPr>
        <w:t>e</w:t>
      </w:r>
      <w:r w:rsidRPr="00341A37">
        <w:rPr>
          <w:rFonts w:ascii="Gill Sans MT" w:hAnsi="Gill Sans MT"/>
          <w:b/>
          <w:sz w:val="24"/>
        </w:rPr>
        <w:t>quity in higher education</w:t>
      </w:r>
    </w:p>
    <w:p w14:paraId="2998485F" w14:textId="77777777" w:rsidR="00033529" w:rsidRPr="00341A37" w:rsidRDefault="00033529" w:rsidP="00033529">
      <w:pPr>
        <w:jc w:val="center"/>
        <w:rPr>
          <w:rFonts w:ascii="Gill Sans MT" w:hAnsi="Gill Sans MT"/>
        </w:rPr>
      </w:pPr>
      <w:r w:rsidRPr="00341A37">
        <w:rPr>
          <w:rFonts w:ascii="Gill Sans MT" w:hAnsi="Gill Sans MT"/>
        </w:rPr>
        <w:t>Literature Review</w:t>
      </w:r>
    </w:p>
    <w:p w14:paraId="521D3715" w14:textId="77777777" w:rsidR="00033529" w:rsidRPr="00341A37" w:rsidRDefault="00033529" w:rsidP="00033529">
      <w:pPr>
        <w:rPr>
          <w:rFonts w:ascii="Gill Sans MT" w:hAnsi="Gill Sans MT"/>
        </w:rPr>
      </w:pPr>
    </w:p>
    <w:p w14:paraId="45D700E9" w14:textId="77777777" w:rsidR="00033529" w:rsidRPr="00341A37" w:rsidRDefault="00033529" w:rsidP="00033529">
      <w:pPr>
        <w:rPr>
          <w:rFonts w:ascii="Gill Sans MT" w:hAnsi="Gill Sans MT"/>
        </w:rPr>
      </w:pPr>
    </w:p>
    <w:p w14:paraId="644AD424" w14:textId="7508530D" w:rsidR="00033529" w:rsidRPr="00341A37" w:rsidRDefault="00033529" w:rsidP="00033529">
      <w:pPr>
        <w:spacing w:line="276" w:lineRule="auto"/>
        <w:jc w:val="both"/>
        <w:rPr>
          <w:rFonts w:ascii="Gill Sans MT" w:hAnsi="Gill Sans MT" w:cstheme="minorHAnsi"/>
          <w:lang w:val="en-AU"/>
        </w:rPr>
      </w:pPr>
      <w:r w:rsidRPr="00341A37">
        <w:rPr>
          <w:rFonts w:ascii="Gill Sans MT" w:hAnsi="Gill Sans MT" w:cstheme="minorHAnsi"/>
          <w:lang w:val="en-AU"/>
        </w:rPr>
        <w:t xml:space="preserve">There is a significant silence in the literature regarding equity at the postgraduate level, both internationally and in the Australian context. Instead, the focus on widening participation and supporting equity is almost exclusively located in undergraduate education, and this attention is also mirrored in government and higher education institution policy initiatives. In Australia, such practice-focused initiatives, predominantly funded by the Higher Education Participation Program (HEPP), are predominantly aimed at raising aspirations and engaging in outreach work earlier in students’ lives, or in supporting students to enter and remain in undergraduate study (see for example, Gale et al. 2010). This attention to equity in the undergraduate level is mostly focused on increasing </w:t>
      </w:r>
      <w:r w:rsidRPr="00341A37">
        <w:rPr>
          <w:rFonts w:ascii="Gill Sans MT" w:hAnsi="Gill Sans MT" w:cstheme="minorHAnsi"/>
          <w:i/>
          <w:lang w:val="en-AU"/>
        </w:rPr>
        <w:t xml:space="preserve">access </w:t>
      </w:r>
      <w:r w:rsidRPr="00341A37">
        <w:rPr>
          <w:rFonts w:ascii="Gill Sans MT" w:hAnsi="Gill Sans MT" w:cstheme="minorHAnsi"/>
          <w:lang w:val="en-AU"/>
        </w:rPr>
        <w:t xml:space="preserve">to higher education (Armstrong &amp; Cairnduff, 2012), fuelled primarily by economic imperatives to enhance Australia’s future competitiveness and standing in the global knowledge economy, and by social-moral arguments about providing ‘fair’ opportunity for all to engage in higher education. </w:t>
      </w:r>
    </w:p>
    <w:p w14:paraId="25B95FB1" w14:textId="77777777" w:rsidR="00033529" w:rsidRPr="00341A37" w:rsidRDefault="00033529" w:rsidP="00033529">
      <w:pPr>
        <w:spacing w:line="276" w:lineRule="auto"/>
        <w:jc w:val="both"/>
        <w:rPr>
          <w:rFonts w:ascii="Gill Sans MT" w:hAnsi="Gill Sans MT" w:cstheme="minorHAnsi"/>
          <w:lang w:val="en-AU"/>
        </w:rPr>
      </w:pPr>
    </w:p>
    <w:p w14:paraId="5398D162" w14:textId="77777777" w:rsidR="00033529" w:rsidRPr="00341A37" w:rsidRDefault="00033529" w:rsidP="00033529">
      <w:pPr>
        <w:spacing w:line="276" w:lineRule="auto"/>
        <w:jc w:val="both"/>
        <w:rPr>
          <w:rFonts w:ascii="Gill Sans MT" w:hAnsi="Gill Sans MT" w:cstheme="minorHAnsi"/>
          <w:lang w:val="en-AU"/>
        </w:rPr>
      </w:pPr>
      <w:r w:rsidRPr="00341A37">
        <w:rPr>
          <w:rFonts w:ascii="Gill Sans MT" w:hAnsi="Gill Sans MT" w:cstheme="minorHAnsi"/>
          <w:lang w:val="en-AU"/>
        </w:rPr>
        <w:t xml:space="preserve">However, these arguments for widening participation and equitable access have hitherto not been reflected in the postgraduate domain. To date, the relatively sparse research that has explored equity at this level has predominantly uses the lens of work and employability (for example, Boden &amp; </w:t>
      </w:r>
      <w:proofErr w:type="spellStart"/>
      <w:r w:rsidRPr="00341A37">
        <w:rPr>
          <w:rFonts w:ascii="Gill Sans MT" w:hAnsi="Gill Sans MT" w:cstheme="minorHAnsi"/>
          <w:lang w:val="en-AU"/>
        </w:rPr>
        <w:t>Nedeva</w:t>
      </w:r>
      <w:proofErr w:type="spellEnd"/>
      <w:r w:rsidRPr="00341A37">
        <w:rPr>
          <w:rFonts w:ascii="Gill Sans MT" w:hAnsi="Gill Sans MT" w:cstheme="minorHAnsi"/>
          <w:lang w:val="en-AU"/>
        </w:rPr>
        <w:t xml:space="preserve">, 2010; </w:t>
      </w:r>
      <w:proofErr w:type="spellStart"/>
      <w:r w:rsidRPr="00341A37">
        <w:rPr>
          <w:rFonts w:ascii="Gill Sans MT" w:hAnsi="Gill Sans MT" w:cstheme="minorHAnsi"/>
          <w:lang w:val="en-AU"/>
        </w:rPr>
        <w:t>D’Aguiar</w:t>
      </w:r>
      <w:proofErr w:type="spellEnd"/>
      <w:r w:rsidRPr="00341A37">
        <w:rPr>
          <w:rFonts w:ascii="Gill Sans MT" w:hAnsi="Gill Sans MT" w:cstheme="minorHAnsi"/>
          <w:lang w:val="en-AU"/>
        </w:rPr>
        <w:t xml:space="preserve"> &amp; Harrison, 2015). Moreover, the majority of this work has originated from the UK, and has focused more on Research Higher Degrees (RHD), rather on Postgraduate Coursework (PGCW) programs, despite PGCW being the bigger and more profitable of the two postgraduate qualification types in Australia. Indeed, as Gale &amp; Parker (2013) assert, </w:t>
      </w:r>
      <w:r w:rsidRPr="00341A37">
        <w:rPr>
          <w:rFonts w:ascii="Gill Sans MT" w:hAnsi="Gill Sans MT"/>
        </w:rPr>
        <w:t xml:space="preserve">“Equity in postgraduate study in particular remains to be fully considered by policy” (p.54). </w:t>
      </w:r>
    </w:p>
    <w:p w14:paraId="28A56C67" w14:textId="77777777" w:rsidR="00033529" w:rsidRPr="00341A37" w:rsidRDefault="00033529" w:rsidP="00033529">
      <w:pPr>
        <w:spacing w:line="276" w:lineRule="auto"/>
        <w:jc w:val="both"/>
        <w:rPr>
          <w:rFonts w:ascii="Gill Sans MT" w:hAnsi="Gill Sans MT" w:cstheme="minorHAnsi"/>
          <w:lang w:val="en-AU"/>
        </w:rPr>
      </w:pPr>
    </w:p>
    <w:p w14:paraId="6D3C700D" w14:textId="77777777" w:rsidR="00033529" w:rsidRPr="00341A37" w:rsidRDefault="00033529" w:rsidP="00033529">
      <w:pPr>
        <w:spacing w:line="276" w:lineRule="auto"/>
        <w:jc w:val="both"/>
        <w:rPr>
          <w:rFonts w:ascii="Gill Sans MT" w:hAnsi="Gill Sans MT" w:cstheme="minorHAnsi"/>
          <w:lang w:val="en-AU"/>
        </w:rPr>
      </w:pPr>
      <w:r w:rsidRPr="00341A37">
        <w:rPr>
          <w:rFonts w:ascii="Gill Sans MT" w:hAnsi="Gill Sans MT" w:cstheme="minorHAnsi"/>
          <w:lang w:val="en-AU"/>
        </w:rPr>
        <w:t>A key issue that serve to hide the equity agenda in the postgraduate context is that the collection of, and access to, basic and nuanced data about postgraduate students is also extremely limited (</w:t>
      </w:r>
      <w:proofErr w:type="spellStart"/>
      <w:r w:rsidRPr="00341A37">
        <w:rPr>
          <w:rFonts w:ascii="Gill Sans MT" w:hAnsi="Gill Sans MT" w:cstheme="minorHAnsi"/>
          <w:lang w:val="en-AU"/>
        </w:rPr>
        <w:t>Wakeling</w:t>
      </w:r>
      <w:proofErr w:type="spellEnd"/>
      <w:r w:rsidRPr="00341A37">
        <w:rPr>
          <w:rFonts w:ascii="Gill Sans MT" w:hAnsi="Gill Sans MT" w:cstheme="minorHAnsi"/>
          <w:lang w:val="en-AU"/>
        </w:rPr>
        <w:t xml:space="preserve"> &amp; </w:t>
      </w:r>
      <w:proofErr w:type="spellStart"/>
      <w:r w:rsidRPr="00341A37">
        <w:rPr>
          <w:rFonts w:ascii="Gill Sans MT" w:hAnsi="Gill Sans MT" w:cstheme="minorHAnsi"/>
        </w:rPr>
        <w:t>Kyriacou</w:t>
      </w:r>
      <w:proofErr w:type="spellEnd"/>
      <w:r w:rsidRPr="00341A37">
        <w:rPr>
          <w:rFonts w:ascii="Gill Sans MT" w:hAnsi="Gill Sans MT" w:cstheme="minorHAnsi"/>
          <w:lang w:val="en-AU"/>
        </w:rPr>
        <w:t xml:space="preserve">, 2010; Whitty &amp; Mullan 2013; Gale &amp; Parker, 2013), making it difficult to adequately represent the equity story in postgraduate education. This is underscored by Gale &amp; Parker’s (2013) comprehensive review of widening participation in Australian higher education, which highlights how little data is available on participation of the six equity groups in postgraduate study. They argue, however, that the little data that is available strongly suggests that the inequities experienced by target equity groups at undergraduate level are more pronounced at the postgraduate level. </w:t>
      </w:r>
      <w:r w:rsidRPr="00341A37">
        <w:rPr>
          <w:rFonts w:ascii="Gill Sans MT" w:hAnsi="Gill Sans MT" w:cstheme="minorHAnsi"/>
        </w:rPr>
        <w:t xml:space="preserve">According to figures obtained by Gale &amp; Parker (2013) from the Department of Education, Employment and Workplace Relations (DEEWR), </w:t>
      </w:r>
      <w:r w:rsidRPr="00341A37">
        <w:rPr>
          <w:rFonts w:ascii="Gill Sans MT" w:hAnsi="Gill Sans MT" w:cstheme="minorHAnsi"/>
          <w:lang w:val="en-AU"/>
        </w:rPr>
        <w:t xml:space="preserve">only 10.5% of the Australian postgraduate cohort comes from low SES backgrounds, and they are more likely to be studying a postgraduate coursework (PGCW) which concurs with the 10% figure offered by Richard James in 2008. Harvey &amp; Andrewartha (2013) add to this impoverished picture by citing a presentation by Margaret </w:t>
      </w:r>
      <w:proofErr w:type="spellStart"/>
      <w:r w:rsidRPr="00341A37">
        <w:rPr>
          <w:rFonts w:ascii="Gill Sans MT" w:hAnsi="Gill Sans MT" w:cstheme="minorHAnsi"/>
          <w:lang w:val="en-AU"/>
        </w:rPr>
        <w:t>Heagney</w:t>
      </w:r>
      <w:proofErr w:type="spellEnd"/>
      <w:r w:rsidRPr="00341A37">
        <w:rPr>
          <w:rFonts w:ascii="Gill Sans MT" w:hAnsi="Gill Sans MT" w:cstheme="minorHAnsi"/>
          <w:lang w:val="en-AU"/>
        </w:rPr>
        <w:t xml:space="preserve"> (2010), which claimed that only 11% of PhD students in Australia were from rural/remote areas. The lack of information about the demographic composition in Australia’s postgraduate students are makes it difficult to advance the equity agenda in the postgraduate level.</w:t>
      </w:r>
    </w:p>
    <w:p w14:paraId="42A38B3F" w14:textId="77777777" w:rsidR="00033529" w:rsidRPr="00341A37" w:rsidRDefault="00033529" w:rsidP="00033529">
      <w:pPr>
        <w:spacing w:line="276" w:lineRule="auto"/>
        <w:jc w:val="both"/>
        <w:rPr>
          <w:rFonts w:ascii="Gill Sans MT" w:hAnsi="Gill Sans MT" w:cstheme="minorHAnsi"/>
          <w:lang w:val="en-AU"/>
        </w:rPr>
      </w:pPr>
    </w:p>
    <w:p w14:paraId="1721D8B7" w14:textId="0CF32F88" w:rsidR="00033529" w:rsidRPr="00341A37" w:rsidRDefault="00033529" w:rsidP="00033529">
      <w:pPr>
        <w:spacing w:line="276" w:lineRule="auto"/>
        <w:jc w:val="both"/>
        <w:rPr>
          <w:rFonts w:ascii="Gill Sans MT" w:hAnsi="Gill Sans MT"/>
          <w:lang w:val="en-AU"/>
        </w:rPr>
      </w:pPr>
      <w:r w:rsidRPr="00341A37">
        <w:rPr>
          <w:rFonts w:ascii="Gill Sans MT" w:hAnsi="Gill Sans MT" w:cstheme="minorHAnsi"/>
          <w:lang w:val="en-AU"/>
        </w:rPr>
        <w:t xml:space="preserve">However, research from the UK indicates that there could be strong reasons for trying. For example, privately educated students are more likely to undertake PG study </w:t>
      </w:r>
      <w:r w:rsidRPr="00341A37">
        <w:rPr>
          <w:rFonts w:ascii="Gill Sans MT" w:hAnsi="Gill Sans MT" w:cstheme="minorHAnsi"/>
        </w:rPr>
        <w:t xml:space="preserve">(Whitty, 2011; </w:t>
      </w:r>
      <w:proofErr w:type="spellStart"/>
      <w:r w:rsidRPr="00341A37">
        <w:rPr>
          <w:rFonts w:ascii="Gill Sans MT" w:hAnsi="Gill Sans MT" w:cstheme="minorHAnsi"/>
        </w:rPr>
        <w:lastRenderedPageBreak/>
        <w:t>Wakeling</w:t>
      </w:r>
      <w:proofErr w:type="spellEnd"/>
      <w:r w:rsidRPr="00341A37">
        <w:rPr>
          <w:rFonts w:ascii="Gill Sans MT" w:hAnsi="Gill Sans MT" w:cstheme="minorHAnsi"/>
        </w:rPr>
        <w:t xml:space="preserve"> &amp; </w:t>
      </w:r>
      <w:proofErr w:type="spellStart"/>
      <w:r w:rsidRPr="00341A37">
        <w:rPr>
          <w:rFonts w:ascii="Gill Sans MT" w:hAnsi="Gill Sans MT" w:cstheme="minorHAnsi"/>
        </w:rPr>
        <w:t>Kyriacou</w:t>
      </w:r>
      <w:proofErr w:type="spellEnd"/>
      <w:r w:rsidRPr="00341A37">
        <w:rPr>
          <w:rFonts w:ascii="Gill Sans MT" w:hAnsi="Gill Sans MT" w:cstheme="minorHAnsi"/>
        </w:rPr>
        <w:t>, 2010)</w:t>
      </w:r>
      <w:r w:rsidRPr="00341A37">
        <w:rPr>
          <w:rFonts w:ascii="Gill Sans MT" w:hAnsi="Gill Sans MT" w:cstheme="minorHAnsi"/>
          <w:lang w:val="en-AU"/>
        </w:rPr>
        <w:t>; suggesting that the egalitarian imperative behind the widening of participation in undergraduate education has led to a greater degree of elitism operating at the postgraduate level. Indeed, Whitty (2011) cites Alan Milburn (English government advisor on Social Mobility) saying that the lack of funding for postgraduate had serious implications for ‘social mobility’; as a result, Whitty argues that “</w:t>
      </w:r>
      <w:r w:rsidRPr="00341A37">
        <w:rPr>
          <w:rFonts w:ascii="Gill Sans MT" w:hAnsi="Gill Sans MT" w:cstheme="minorHAnsi"/>
        </w:rPr>
        <w:t>postgraduate study [has become] an increasingly important social sorting mechanism” (2011</w:t>
      </w:r>
      <w:r w:rsidR="00EB5422">
        <w:rPr>
          <w:rFonts w:ascii="Gill Sans MT" w:hAnsi="Gill Sans MT" w:cstheme="minorHAnsi"/>
        </w:rPr>
        <w:t>, 100</w:t>
      </w:r>
      <w:r w:rsidRPr="00341A37">
        <w:rPr>
          <w:rFonts w:ascii="Gill Sans MT" w:hAnsi="Gill Sans MT" w:cstheme="minorHAnsi"/>
        </w:rPr>
        <w:t xml:space="preserve">). A further element of the UK postgraduate-equity landscape is the high numbers of international students who are studying in English universities. </w:t>
      </w:r>
      <w:proofErr w:type="spellStart"/>
      <w:r w:rsidRPr="00341A37">
        <w:rPr>
          <w:rFonts w:ascii="Gill Sans MT" w:hAnsi="Gill Sans MT" w:cstheme="minorHAnsi"/>
        </w:rPr>
        <w:t>Wakeling</w:t>
      </w:r>
      <w:proofErr w:type="spellEnd"/>
      <w:r w:rsidRPr="00341A37">
        <w:rPr>
          <w:rFonts w:ascii="Gill Sans MT" w:hAnsi="Gill Sans MT" w:cstheme="minorHAnsi"/>
        </w:rPr>
        <w:t xml:space="preserve"> &amp; </w:t>
      </w:r>
      <w:proofErr w:type="spellStart"/>
      <w:r w:rsidRPr="00341A37">
        <w:rPr>
          <w:rFonts w:ascii="Gill Sans MT" w:hAnsi="Gill Sans MT" w:cstheme="minorHAnsi"/>
        </w:rPr>
        <w:t>Kyriacou</w:t>
      </w:r>
      <w:proofErr w:type="spellEnd"/>
      <w:r w:rsidRPr="00341A37">
        <w:rPr>
          <w:rFonts w:ascii="Gill Sans MT" w:hAnsi="Gill Sans MT" w:cstheme="minorHAnsi"/>
        </w:rPr>
        <w:t xml:space="preserve"> note that growth in domestic research student UK  </w:t>
      </w:r>
      <w:r w:rsidRPr="00341A37">
        <w:rPr>
          <w:rFonts w:ascii="Gill Sans MT" w:hAnsi="Gill Sans MT" w:cstheme="minorHAnsi"/>
          <w:lang w:val="en-AU"/>
        </w:rPr>
        <w:t xml:space="preserve"> </w:t>
      </w:r>
      <w:r w:rsidRPr="00341A37">
        <w:rPr>
          <w:rFonts w:ascii="Gill Sans MT" w:hAnsi="Gill Sans MT" w:cstheme="minorHAnsi"/>
        </w:rPr>
        <w:t xml:space="preserve">Whitty (2011) notes that a substantial number of postgraduate students are international students, reporting that </w:t>
      </w:r>
      <w:r w:rsidRPr="00341A37">
        <w:rPr>
          <w:rFonts w:ascii="Gill Sans MT" w:hAnsi="Gill Sans MT" w:cstheme="minorHAnsi"/>
          <w:lang w:val="en-AU"/>
        </w:rPr>
        <w:t xml:space="preserve">only 70 out of 3825 postgraduate Engineering students were classified as domestic students in 2008. More recently, </w:t>
      </w:r>
      <w:r w:rsidRPr="00341A37">
        <w:rPr>
          <w:rFonts w:ascii="Gill Sans MT" w:hAnsi="Gill Sans MT" w:cstheme="minorHAnsi"/>
        </w:rPr>
        <w:t xml:space="preserve">Strike &amp; </w:t>
      </w:r>
      <w:proofErr w:type="spellStart"/>
      <w:r w:rsidRPr="00341A37">
        <w:rPr>
          <w:rFonts w:ascii="Gill Sans MT" w:hAnsi="Gill Sans MT" w:cstheme="minorHAnsi"/>
        </w:rPr>
        <w:t>Toyne</w:t>
      </w:r>
      <w:proofErr w:type="spellEnd"/>
      <w:r w:rsidRPr="00341A37">
        <w:rPr>
          <w:rFonts w:ascii="Gill Sans MT" w:hAnsi="Gill Sans MT" w:cstheme="minorHAnsi"/>
        </w:rPr>
        <w:t xml:space="preserve"> (2015) report that </w:t>
      </w:r>
      <w:r w:rsidRPr="00341A37">
        <w:rPr>
          <w:rFonts w:ascii="Gill Sans MT" w:hAnsi="Gill Sans MT"/>
          <w:lang w:val="en-AU"/>
        </w:rPr>
        <w:t>applications for</w:t>
      </w:r>
      <w:r w:rsidRPr="00341A37">
        <w:rPr>
          <w:rFonts w:ascii="Gill Sans MT" w:hAnsi="Gill Sans MT" w:cstheme="minorHAnsi"/>
        </w:rPr>
        <w:t xml:space="preserve"> postgraduate study by</w:t>
      </w:r>
      <w:r w:rsidRPr="00341A37">
        <w:rPr>
          <w:rFonts w:ascii="Gill Sans MT" w:hAnsi="Gill Sans MT"/>
          <w:lang w:val="en-AU"/>
        </w:rPr>
        <w:t xml:space="preserve"> domestic (UK/EU) students declined by 15% in 2011/12. </w:t>
      </w:r>
    </w:p>
    <w:p w14:paraId="08839C61" w14:textId="77777777" w:rsidR="00033529" w:rsidRPr="00341A37" w:rsidRDefault="00033529" w:rsidP="00033529">
      <w:pPr>
        <w:spacing w:line="276" w:lineRule="auto"/>
        <w:jc w:val="both"/>
        <w:rPr>
          <w:rFonts w:ascii="Gill Sans MT" w:hAnsi="Gill Sans MT"/>
          <w:lang w:val="en-AU"/>
        </w:rPr>
      </w:pPr>
    </w:p>
    <w:p w14:paraId="3C12FC0C" w14:textId="4AEC24D9" w:rsidR="00033529" w:rsidRPr="00341A37" w:rsidRDefault="00033529" w:rsidP="00033529">
      <w:pPr>
        <w:spacing w:line="276" w:lineRule="auto"/>
        <w:jc w:val="both"/>
        <w:rPr>
          <w:rFonts w:ascii="Gill Sans MT" w:hAnsi="Gill Sans MT" w:cstheme="minorHAnsi"/>
        </w:rPr>
      </w:pPr>
      <w:r w:rsidRPr="00341A37">
        <w:rPr>
          <w:rFonts w:ascii="Gill Sans MT" w:hAnsi="Gill Sans MT"/>
          <w:lang w:val="en-AU"/>
        </w:rPr>
        <w:t>One likely reason for the decline in domestic postgraduate student numbers in the UK is the cost of postgraduate study. In the UK and Australia, there is limited financial support for postgraduate study. In Australia, there are a limited number of Commonwealth-Supported Places (CSPs) for postgraduate places and these are irregularly dispersed between universities</w:t>
      </w:r>
      <w:r w:rsidR="00EB5422">
        <w:rPr>
          <w:rFonts w:ascii="Gill Sans MT" w:hAnsi="Gill Sans MT"/>
          <w:lang w:val="en-AU"/>
        </w:rPr>
        <w:t>.</w:t>
      </w:r>
      <w:r w:rsidRPr="00341A37">
        <w:rPr>
          <w:rFonts w:ascii="Gill Sans MT" w:hAnsi="Gill Sans MT" w:cstheme="minorHAnsi"/>
        </w:rPr>
        <w:t xml:space="preserve"> Gale &amp; Parker (2013) argue that the financial situation for postgraduate students is ‘prohibitive’. Firstly, the maximum limits of the federal loan scheme (FEE-HELP) exceed the costs of many postgraduate courses (see also </w:t>
      </w:r>
      <w:proofErr w:type="spellStart"/>
      <w:r w:rsidRPr="00341A37">
        <w:rPr>
          <w:rFonts w:ascii="Gill Sans MT" w:hAnsi="Gill Sans MT" w:cstheme="minorHAnsi"/>
        </w:rPr>
        <w:t>Cervini</w:t>
      </w:r>
      <w:proofErr w:type="spellEnd"/>
      <w:r w:rsidRPr="00341A37">
        <w:rPr>
          <w:rFonts w:ascii="Gill Sans MT" w:hAnsi="Gill Sans MT" w:cstheme="minorHAnsi"/>
        </w:rPr>
        <w:t xml:space="preserve">, 2016), thus presenting “considerable participation limits for students from target groups if they cannot afford the fees or do not have the resources to fund the gap between FEE-HELP limits and what universities charge” (p.54). </w:t>
      </w:r>
      <w:r w:rsidRPr="00341A37">
        <w:rPr>
          <w:rFonts w:ascii="Gill Sans MT" w:hAnsi="Gill Sans MT"/>
          <w:lang w:val="en-AU"/>
        </w:rPr>
        <w:t>In the UK, the increase in student cost of undergraduate tuition fees to £9000 per year in 2011 meant that postgraduate issues “got lost” (Whitty &amp; Mullan, 2013), with financial support packages</w:t>
      </w:r>
      <w:r w:rsidRPr="00341A37">
        <w:rPr>
          <w:rFonts w:ascii="Gill Sans MT" w:hAnsi="Gill Sans MT" w:cstheme="minorHAnsi"/>
        </w:rPr>
        <w:t xml:space="preserve"> “hit or miss” (Whitty, 2011). Similar to Australia, there are competitive studentships available, some students are sponsored by employers, students can access career development loans, and some students self-fund. </w:t>
      </w:r>
    </w:p>
    <w:p w14:paraId="3F5C24C9" w14:textId="77777777" w:rsidR="00033529" w:rsidRPr="00341A37" w:rsidRDefault="00033529" w:rsidP="00033529">
      <w:pPr>
        <w:spacing w:line="276" w:lineRule="auto"/>
        <w:jc w:val="both"/>
        <w:rPr>
          <w:rFonts w:ascii="Gill Sans MT" w:hAnsi="Gill Sans MT" w:cstheme="minorHAnsi"/>
        </w:rPr>
      </w:pPr>
    </w:p>
    <w:p w14:paraId="4CFC1759" w14:textId="5E410E7B" w:rsidR="00033529" w:rsidRPr="00341A37" w:rsidRDefault="00033529" w:rsidP="00033529">
      <w:pPr>
        <w:spacing w:line="276" w:lineRule="auto"/>
        <w:jc w:val="both"/>
        <w:rPr>
          <w:rFonts w:ascii="Gill Sans MT" w:hAnsi="Gill Sans MT" w:cstheme="minorHAnsi"/>
        </w:rPr>
      </w:pPr>
      <w:r w:rsidRPr="00341A37">
        <w:rPr>
          <w:rFonts w:ascii="Gill Sans MT" w:hAnsi="Gill Sans MT" w:cstheme="minorHAnsi"/>
        </w:rPr>
        <w:t xml:space="preserve">The literature points to three compelling reasons to address ‘the equity issue’ in postgraduate study. Firstly, there is the social justice angle. Given that there are particularly groups of students who are traditionally less likely to consider undergraduate study, it runs to reason that the same could be true of postgraduate study. </w:t>
      </w:r>
      <w:proofErr w:type="spellStart"/>
      <w:r w:rsidRPr="00341A37">
        <w:rPr>
          <w:rFonts w:ascii="Gill Sans MT" w:hAnsi="Gill Sans MT" w:cstheme="minorHAnsi"/>
          <w:lang w:val="en-AU"/>
        </w:rPr>
        <w:t>Wakeling</w:t>
      </w:r>
      <w:proofErr w:type="spellEnd"/>
      <w:r w:rsidRPr="00341A37">
        <w:rPr>
          <w:rFonts w:ascii="Gill Sans MT" w:hAnsi="Gill Sans MT" w:cstheme="minorHAnsi"/>
          <w:lang w:val="en-AU"/>
        </w:rPr>
        <w:t xml:space="preserve"> &amp; </w:t>
      </w:r>
      <w:proofErr w:type="spellStart"/>
      <w:r w:rsidRPr="00341A37">
        <w:rPr>
          <w:rFonts w:ascii="Gill Sans MT" w:hAnsi="Gill Sans MT" w:cstheme="minorHAnsi"/>
        </w:rPr>
        <w:t>Kyriacou</w:t>
      </w:r>
      <w:proofErr w:type="spellEnd"/>
      <w:r w:rsidRPr="00341A37">
        <w:rPr>
          <w:rFonts w:ascii="Gill Sans MT" w:hAnsi="Gill Sans MT" w:cstheme="minorHAnsi"/>
          <w:lang w:val="en-AU"/>
        </w:rPr>
        <w:t xml:space="preserve"> (2010) argue that there “ensure that entry to postgraduate research is open to all </w:t>
      </w:r>
      <w:r w:rsidRPr="00341A37">
        <w:rPr>
          <w:rFonts w:ascii="Gill Sans MT" w:hAnsi="Gill Sans MT" w:cstheme="minorHAnsi"/>
        </w:rPr>
        <w:t>regardless of gender, ethnicity, social class background or any other such characteristic and that none are unfairly disadvantaged in this pursuit”. Moreover, in the context of a massified higher education sector, where arguments have been made about the diminishing currency of undergraduate qualifications</w:t>
      </w:r>
      <w:r w:rsidR="00EB5422">
        <w:rPr>
          <w:rFonts w:ascii="Gill Sans MT" w:hAnsi="Gill Sans MT" w:cstheme="minorHAnsi"/>
        </w:rPr>
        <w:t>,</w:t>
      </w:r>
      <w:r w:rsidRPr="00341A37">
        <w:rPr>
          <w:rFonts w:ascii="Gill Sans MT" w:hAnsi="Gill Sans MT" w:cstheme="minorHAnsi"/>
        </w:rPr>
        <w:t xml:space="preserve"> and there is a stronger focus on employability as a key output of university education, there is a significant equity issue at play. Low rates of participation in postgraduate study by particular groups could mean that they are un(der)equipped to engage in the neoliberal logics of self-investment and building competitive advantage. Indeed, as </w:t>
      </w:r>
      <w:proofErr w:type="spellStart"/>
      <w:r w:rsidRPr="00341A37">
        <w:rPr>
          <w:rFonts w:ascii="Gill Sans MT" w:hAnsi="Gill Sans MT" w:cstheme="minorHAnsi"/>
        </w:rPr>
        <w:t>d’Aguiar</w:t>
      </w:r>
      <w:proofErr w:type="spellEnd"/>
      <w:r w:rsidRPr="00341A37">
        <w:rPr>
          <w:rFonts w:ascii="Gill Sans MT" w:hAnsi="Gill Sans MT" w:cstheme="minorHAnsi"/>
        </w:rPr>
        <w:t xml:space="preserve"> &amp; Harrison (2015) note in their study of the impact of employment opportunities on choosing to undertake postgraduate study, there do appear to be patterns in participation (or not) according to social groups. They assert that their findings </w:t>
      </w:r>
      <w:r w:rsidRPr="00341A37">
        <w:rPr>
          <w:rFonts w:ascii="Gill Sans MT" w:hAnsi="Gill Sans MT"/>
        </w:rPr>
        <w:t xml:space="preserve">“add weight to the contention that women and those from ethnic minority communities are finding and/or perceiving it difficult to compete on a level playing field; this feature appears particularly strong within STEM subjects” (2015: 26). Moreover, the research undertaken by </w:t>
      </w:r>
      <w:r w:rsidRPr="00341A37">
        <w:rPr>
          <w:rFonts w:ascii="Gill Sans MT" w:hAnsi="Gill Sans MT" w:cstheme="minorHAnsi"/>
        </w:rPr>
        <w:lastRenderedPageBreak/>
        <w:t xml:space="preserve">Strike &amp; </w:t>
      </w:r>
      <w:proofErr w:type="spellStart"/>
      <w:r w:rsidRPr="00341A37">
        <w:rPr>
          <w:rFonts w:ascii="Gill Sans MT" w:hAnsi="Gill Sans MT" w:cstheme="minorHAnsi"/>
        </w:rPr>
        <w:t>Toyne</w:t>
      </w:r>
      <w:proofErr w:type="spellEnd"/>
      <w:r w:rsidRPr="00341A37">
        <w:rPr>
          <w:rFonts w:ascii="Gill Sans MT" w:hAnsi="Gill Sans MT" w:cstheme="minorHAnsi"/>
        </w:rPr>
        <w:t xml:space="preserve"> (2015) suggests that inequalities in postgraduate participation rates according to SES, ethnicity and gender are likely to be result of inequalities in good advice and attainment and some impact of SES on funding. </w:t>
      </w:r>
      <w:proofErr w:type="gramStart"/>
      <w:r w:rsidRPr="00341A37">
        <w:rPr>
          <w:rFonts w:ascii="Gill Sans MT" w:hAnsi="Gill Sans MT" w:cstheme="minorHAnsi"/>
        </w:rPr>
        <w:t>This places</w:t>
      </w:r>
      <w:proofErr w:type="gramEnd"/>
      <w:r w:rsidRPr="00341A37">
        <w:rPr>
          <w:rFonts w:ascii="Gill Sans MT" w:hAnsi="Gill Sans MT" w:cstheme="minorHAnsi"/>
        </w:rPr>
        <w:t xml:space="preserve"> the imperative on universities to address how implicit assumptions about what students know and how they obtain/ use information can impact on the diversity of their postgraduate student bodies.</w:t>
      </w:r>
    </w:p>
    <w:p w14:paraId="7E18937C" w14:textId="77777777" w:rsidR="00033529" w:rsidRPr="00341A37" w:rsidRDefault="00033529" w:rsidP="00033529">
      <w:pPr>
        <w:spacing w:line="276" w:lineRule="auto"/>
        <w:jc w:val="both"/>
        <w:rPr>
          <w:rFonts w:ascii="Gill Sans MT" w:hAnsi="Gill Sans MT" w:cstheme="minorHAnsi"/>
          <w:lang w:val="en-AU"/>
        </w:rPr>
      </w:pPr>
    </w:p>
    <w:p w14:paraId="0FDEFA4E" w14:textId="53EF0204" w:rsidR="00033529" w:rsidRPr="00341A37" w:rsidRDefault="00033529" w:rsidP="00033529">
      <w:pPr>
        <w:spacing w:line="276" w:lineRule="auto"/>
        <w:jc w:val="both"/>
        <w:rPr>
          <w:rFonts w:ascii="Gill Sans MT" w:hAnsi="Gill Sans MT" w:cstheme="minorHAnsi"/>
        </w:rPr>
      </w:pPr>
      <w:r w:rsidRPr="00341A37">
        <w:rPr>
          <w:rFonts w:ascii="Gill Sans MT" w:hAnsi="Gill Sans MT" w:cstheme="minorHAnsi"/>
        </w:rPr>
        <w:t>Secondly, in addition to the significant concerns about equity and social mobility, Whitty &amp; Mullan (2013) also highlight the need to consider how issues relating to equity in postgraduate studies will impact on the development of the future academic workforce. There is concern that the low participation rates of particular social groups, and indeed diminishing numbers of domestic postgraduate students, will lead to a smaller, less heterogeneous group of academics in the future.</w:t>
      </w:r>
      <w:r w:rsidRPr="00341A37">
        <w:rPr>
          <w:rFonts w:ascii="Gill Sans MT" w:hAnsi="Gill Sans MT"/>
          <w:color w:val="000000"/>
          <w:lang w:val="en-AU"/>
        </w:rPr>
        <w:t xml:space="preserve"> This imperative is echoed by Australia’s Group of Eight (2010), who argue that widening participation in postgraduate education is </w:t>
      </w:r>
      <w:r w:rsidRPr="00341A37">
        <w:rPr>
          <w:rFonts w:ascii="Gill Sans MT" w:hAnsi="Gill Sans MT" w:cstheme="minorHAnsi"/>
        </w:rPr>
        <w:t xml:space="preserve">to meet Australia’s research, industry, academic and professional workforce requirements for its competitive standing in the global knowledge economy, and “to counter the ageing academic workforce” (p.2). Whitty &amp; Mullen (2013) assert this concern is particularly salient in the context of the increasing proportion of international students in the postgraduate cohort, as these students are not necessarily going to enter the academy of the country of study. Moreover, if Whitty &amp; Mullen’s argument that higher education, and postgraduate education in particular,  </w:t>
      </w:r>
      <w:r w:rsidRPr="00341A37">
        <w:rPr>
          <w:rFonts w:ascii="Gill Sans MT" w:hAnsi="Gill Sans MT"/>
          <w:color w:val="000000"/>
          <w:lang w:val="en-AU"/>
        </w:rPr>
        <w:t>“feeds ‘cultural health’ of nation” (p.</w:t>
      </w:r>
      <w:r w:rsidR="00C95DE4" w:rsidRPr="00341A37">
        <w:rPr>
          <w:rFonts w:ascii="Gill Sans MT" w:hAnsi="Gill Sans MT"/>
          <w:color w:val="000000"/>
          <w:lang w:val="en-AU"/>
        </w:rPr>
        <w:t>177</w:t>
      </w:r>
      <w:r w:rsidRPr="00341A37">
        <w:rPr>
          <w:rFonts w:ascii="Gill Sans MT" w:hAnsi="Gill Sans MT"/>
          <w:color w:val="000000"/>
          <w:lang w:val="en-AU"/>
        </w:rPr>
        <w:t xml:space="preserve">) holds up, there is cause for concern if it is dependent on a large number of transient students, who may not be able to stay even if desired because of increasingly obstructive immigration rules. </w:t>
      </w:r>
    </w:p>
    <w:p w14:paraId="7835385B" w14:textId="77777777" w:rsidR="00033529" w:rsidRPr="00341A37" w:rsidRDefault="00033529" w:rsidP="00033529">
      <w:pPr>
        <w:spacing w:line="276" w:lineRule="auto"/>
        <w:jc w:val="both"/>
        <w:rPr>
          <w:rFonts w:ascii="Gill Sans MT" w:hAnsi="Gill Sans MT" w:cstheme="minorHAnsi"/>
          <w:lang w:val="en-AU"/>
        </w:rPr>
      </w:pPr>
    </w:p>
    <w:p w14:paraId="2CBFF9D7" w14:textId="22211EE9" w:rsidR="00033529" w:rsidRPr="00341A37" w:rsidRDefault="00033529" w:rsidP="00033529">
      <w:pPr>
        <w:spacing w:line="276" w:lineRule="auto"/>
        <w:jc w:val="both"/>
        <w:rPr>
          <w:rFonts w:ascii="Gill Sans MT" w:hAnsi="Gill Sans MT" w:cstheme="minorHAnsi"/>
          <w:lang w:val="en-AU"/>
        </w:rPr>
      </w:pPr>
      <w:r w:rsidRPr="00341A37">
        <w:rPr>
          <w:rFonts w:ascii="Gill Sans MT" w:hAnsi="Gill Sans MT" w:cstheme="minorHAnsi"/>
          <w:lang w:val="en-AU"/>
        </w:rPr>
        <w:t xml:space="preserve">Thirdly, there is a strong rationale for exploring teaching and learning practices in postgraduate study from an equity perspective. Firstly, the process of application for postgraduate study is open to contestation and subject to the abuses of privilege noted in other work that has explored admissions processes through the lens of equity (Burke &amp; McManus, 2011). In their comprehensive overview of admissions and entry requirements for higher education study, </w:t>
      </w:r>
      <w:r w:rsidRPr="00341A37">
        <w:rPr>
          <w:rFonts w:ascii="Gill Sans MT" w:hAnsi="Gill Sans MT" w:cstheme="minorHAnsi"/>
        </w:rPr>
        <w:t xml:space="preserve">Palmer, </w:t>
      </w:r>
      <w:proofErr w:type="spellStart"/>
      <w:r w:rsidRPr="00341A37">
        <w:rPr>
          <w:rFonts w:ascii="Gill Sans MT" w:hAnsi="Gill Sans MT" w:cstheme="minorHAnsi"/>
        </w:rPr>
        <w:t>Bexley</w:t>
      </w:r>
      <w:proofErr w:type="spellEnd"/>
      <w:r w:rsidRPr="00341A37">
        <w:rPr>
          <w:rFonts w:ascii="Gill Sans MT" w:hAnsi="Gill Sans MT" w:cstheme="minorHAnsi"/>
        </w:rPr>
        <w:t xml:space="preserve"> &amp; James (2011) note that most postgraduate applications are </w:t>
      </w:r>
      <w:r w:rsidRPr="00341A37">
        <w:rPr>
          <w:rFonts w:ascii="Gill Sans MT" w:hAnsi="Gill Sans MT" w:cstheme="minorHAnsi"/>
          <w:lang w:val="en-AU"/>
        </w:rPr>
        <w:t xml:space="preserve">managed by individual institutions at faculty, school or departmental level, which stands in contrast to the centralised system used for undergraduate applications. The criteria for acceptance are similarly idiosyncratic, with ‘prior academic achievement’ the most prominent criterion (p.31). Moreover, Palmer, Bexley &amp; James argue that the “unduly narrow or strict application of criteria” potentially disadvantages students from under-represented groups for postgraduate study – with this being the case for both Higher Degree by Research (HDR) and postgraduate coursework (PGCW) programs.  However, Stagg &amp; </w:t>
      </w:r>
      <w:proofErr w:type="spellStart"/>
      <w:r w:rsidRPr="00341A37">
        <w:rPr>
          <w:rFonts w:ascii="Gill Sans MT" w:hAnsi="Gill Sans MT" w:cstheme="minorHAnsi"/>
          <w:lang w:val="en-AU"/>
        </w:rPr>
        <w:t>Kimmens</w:t>
      </w:r>
      <w:proofErr w:type="spellEnd"/>
      <w:r w:rsidRPr="00341A37">
        <w:rPr>
          <w:rFonts w:ascii="Gill Sans MT" w:hAnsi="Gill Sans MT" w:cstheme="minorHAnsi"/>
          <w:lang w:val="en-AU"/>
        </w:rPr>
        <w:t xml:space="preserve"> (2014) note how some of the MBA students in their study entered via recognised prior learning (RPL) rather than undergraduate study, meaning that the MBA was their first experience of university. This highlights the highly problematic nature of making assumptions about what postgraduate students know, can do (have done) and familiarity with academic practices.</w:t>
      </w:r>
    </w:p>
    <w:p w14:paraId="5BE06D78" w14:textId="77777777" w:rsidR="00033529" w:rsidRPr="00341A37" w:rsidRDefault="00033529" w:rsidP="00033529">
      <w:pPr>
        <w:spacing w:line="276" w:lineRule="auto"/>
        <w:jc w:val="both"/>
        <w:rPr>
          <w:rFonts w:ascii="Gill Sans MT" w:hAnsi="Gill Sans MT" w:cstheme="minorHAnsi"/>
          <w:lang w:val="en-AU"/>
        </w:rPr>
      </w:pPr>
    </w:p>
    <w:p w14:paraId="4BD46F8E" w14:textId="77777777" w:rsidR="00033529" w:rsidRPr="00341A37" w:rsidRDefault="00033529" w:rsidP="00033529">
      <w:pPr>
        <w:spacing w:line="276" w:lineRule="auto"/>
        <w:jc w:val="both"/>
        <w:rPr>
          <w:rFonts w:ascii="Gill Sans MT" w:hAnsi="Gill Sans MT" w:cstheme="minorHAnsi"/>
          <w:lang w:val="en-AU"/>
        </w:rPr>
      </w:pPr>
      <w:r w:rsidRPr="00341A37">
        <w:rPr>
          <w:rFonts w:ascii="Gill Sans MT" w:hAnsi="Gill Sans MT" w:cstheme="minorHAnsi"/>
        </w:rPr>
        <w:t xml:space="preserve">The work undertaken by O’Donnell et al. (2009) further adds to the need to unpack assumptions about postgraduate students, making </w:t>
      </w:r>
      <w:r w:rsidRPr="00341A37">
        <w:rPr>
          <w:rFonts w:ascii="Gill Sans MT" w:hAnsi="Gill Sans MT"/>
          <w:color w:val="000000"/>
          <w:szCs w:val="22"/>
          <w:lang w:val="en-AU"/>
        </w:rPr>
        <w:t xml:space="preserve">the case that postgraduate study is underpinned by assumptions about a relatively homogeneous student body who have studied an undergraduate degree, in the same discipline, and who have familiarity with academic and technical practices. Their research into transitions into postgraduate study suggests that </w:t>
      </w:r>
      <w:r w:rsidRPr="00341A37">
        <w:rPr>
          <w:rFonts w:ascii="Gill Sans MT" w:hAnsi="Gill Sans MT"/>
          <w:color w:val="000000"/>
          <w:szCs w:val="22"/>
          <w:lang w:val="en-AU"/>
        </w:rPr>
        <w:lastRenderedPageBreak/>
        <w:t>teaching and learning practices do not appear to do much to support students to become more independent learners, arguing “</w:t>
      </w:r>
      <w:r w:rsidRPr="00341A37">
        <w:rPr>
          <w:rFonts w:ascii="Gill Sans MT" w:hAnsi="Gill Sans MT"/>
        </w:rPr>
        <w:t>At present, participation, and so success, is undermined by university processes which do not account for individual knowledge and skill bases which serve to undermine successful postgraduate trajectories” (p.38). As such, their work provides strong support for the argument that university/lecturer expectations of postgraduate transitions and student realities are at odds in ways that foster disadvantage and challenge. As such, O’Donnell et al. argue that any implementation of a widening participation agenda for postgraduate study should explicitly recognise the heterogeneity of the student body, both in terms of what they bring with them to their studies, and what they don’t yet know.</w:t>
      </w:r>
    </w:p>
    <w:p w14:paraId="2FC8880F" w14:textId="77777777" w:rsidR="00033529" w:rsidRPr="00341A37" w:rsidRDefault="00033529" w:rsidP="00033529">
      <w:pPr>
        <w:spacing w:line="276" w:lineRule="auto"/>
        <w:jc w:val="both"/>
        <w:rPr>
          <w:rFonts w:ascii="Gill Sans MT" w:hAnsi="Gill Sans MT" w:cstheme="minorHAnsi"/>
        </w:rPr>
      </w:pPr>
    </w:p>
    <w:p w14:paraId="3B186963" w14:textId="77777777" w:rsidR="00033529" w:rsidRPr="00341A37" w:rsidRDefault="00033529" w:rsidP="00033529">
      <w:pPr>
        <w:spacing w:line="276" w:lineRule="auto"/>
        <w:jc w:val="both"/>
        <w:rPr>
          <w:rFonts w:ascii="Gill Sans MT" w:hAnsi="Gill Sans MT"/>
          <w:color w:val="000000"/>
          <w:szCs w:val="22"/>
          <w:lang w:val="en-AU"/>
        </w:rPr>
      </w:pPr>
      <w:r w:rsidRPr="00341A37">
        <w:rPr>
          <w:rFonts w:ascii="Gill Sans MT" w:hAnsi="Gill Sans MT" w:cstheme="minorHAnsi"/>
          <w:lang w:val="en-AU"/>
        </w:rPr>
        <w:t xml:space="preserve">In addition to these three motives for highlighting the equity-related issues that are at play in postgraduate study, there is also a need to consider how students move into postgraduate study. There is a small body of UK-based research on postgraduate study that uses widening participation as a conceptual/policy framework for undergraduate-postgraduate or study-employment transitions (see O’Donnell et al., 2009; </w:t>
      </w:r>
      <w:proofErr w:type="spellStart"/>
      <w:r w:rsidRPr="00341A37">
        <w:rPr>
          <w:rFonts w:ascii="Gill Sans MT" w:hAnsi="Gill Sans MT" w:cstheme="minorHAnsi"/>
          <w:lang w:val="en-AU"/>
        </w:rPr>
        <w:t>Tobbell</w:t>
      </w:r>
      <w:proofErr w:type="spellEnd"/>
      <w:r w:rsidRPr="00341A37">
        <w:rPr>
          <w:rFonts w:ascii="Gill Sans MT" w:hAnsi="Gill Sans MT" w:cstheme="minorHAnsi"/>
          <w:lang w:val="en-AU"/>
        </w:rPr>
        <w:t xml:space="preserve">, O’Donnell &amp; Zammit, 2010; </w:t>
      </w:r>
      <w:proofErr w:type="spellStart"/>
      <w:r w:rsidRPr="00341A37">
        <w:rPr>
          <w:rFonts w:ascii="Gill Sans MT" w:hAnsi="Gill Sans MT" w:cstheme="minorHAnsi"/>
          <w:lang w:val="en-AU"/>
        </w:rPr>
        <w:t>Wakeling</w:t>
      </w:r>
      <w:proofErr w:type="spellEnd"/>
      <w:r w:rsidRPr="00341A37">
        <w:rPr>
          <w:rFonts w:ascii="Gill Sans MT" w:hAnsi="Gill Sans MT" w:cstheme="minorHAnsi"/>
          <w:lang w:val="en-AU"/>
        </w:rPr>
        <w:t xml:space="preserve"> &amp; </w:t>
      </w:r>
      <w:proofErr w:type="spellStart"/>
      <w:r w:rsidRPr="00341A37">
        <w:rPr>
          <w:rFonts w:ascii="Gill Sans MT" w:hAnsi="Gill Sans MT" w:cstheme="minorHAnsi"/>
          <w:lang w:val="en-AU"/>
        </w:rPr>
        <w:t>Kyriacou</w:t>
      </w:r>
      <w:proofErr w:type="spellEnd"/>
      <w:r w:rsidRPr="00341A37">
        <w:rPr>
          <w:rFonts w:ascii="Gill Sans MT" w:hAnsi="Gill Sans MT" w:cstheme="minorHAnsi"/>
          <w:lang w:val="en-AU"/>
        </w:rPr>
        <w:t xml:space="preserve">, 2010; McColloch &amp; Thomas, 2012). In Australia, a recent study by Stagg &amp; </w:t>
      </w:r>
      <w:proofErr w:type="spellStart"/>
      <w:r w:rsidRPr="00341A37">
        <w:rPr>
          <w:rFonts w:ascii="Gill Sans MT" w:hAnsi="Gill Sans MT" w:cstheme="minorHAnsi"/>
          <w:lang w:val="en-AU"/>
        </w:rPr>
        <w:t>Kimmens</w:t>
      </w:r>
      <w:proofErr w:type="spellEnd"/>
      <w:r w:rsidRPr="00341A37">
        <w:rPr>
          <w:rFonts w:ascii="Gill Sans MT" w:hAnsi="Gill Sans MT" w:cstheme="minorHAnsi"/>
          <w:lang w:val="en-AU"/>
        </w:rPr>
        <w:t xml:space="preserve"> (2014) of PGCW students’ information seeking behaviours highlighted how the assumptions noted above are problematic in terms of addressing their “foundational skills for academic success”. Their study illustrates a significant lack of difference between undergraduate and postgraduate students in terms of how they locate information, with exceptions noted in preferred use of Wikipedia (undergraduate students) or preferred use of a librarian for support (PGCW students). Given that several of the participants had entered their PGCW program on the strength of their work experience, and had therefore never studied at university before, Stagg &amp; </w:t>
      </w:r>
      <w:proofErr w:type="spellStart"/>
      <w:r w:rsidRPr="00341A37">
        <w:rPr>
          <w:rFonts w:ascii="Gill Sans MT" w:hAnsi="Gill Sans MT" w:cstheme="minorHAnsi"/>
          <w:lang w:val="en-AU"/>
        </w:rPr>
        <w:t>Kimmens</w:t>
      </w:r>
      <w:proofErr w:type="spellEnd"/>
      <w:r w:rsidRPr="00341A37">
        <w:rPr>
          <w:rFonts w:ascii="Gill Sans MT" w:hAnsi="Gill Sans MT" w:cstheme="minorHAnsi"/>
          <w:lang w:val="en-AU"/>
        </w:rPr>
        <w:t xml:space="preserve"> assert that ideas about the first year experience (FYE) being a fixed period of undergraduate study need to be reconsidered. Instead, they argue that </w:t>
      </w:r>
      <w:r w:rsidRPr="00341A37">
        <w:rPr>
          <w:rFonts w:ascii="Gill Sans MT" w:hAnsi="Gill Sans MT"/>
          <w:color w:val="000000"/>
          <w:szCs w:val="22"/>
          <w:lang w:val="en-AU"/>
        </w:rPr>
        <w:t>“</w:t>
      </w:r>
      <w:r w:rsidRPr="00341A37">
        <w:rPr>
          <w:rFonts w:ascii="Gill Sans MT" w:hAnsi="Gill Sans MT"/>
        </w:rPr>
        <w:t>support for coursework postgraduate students (just as it is for undergraduate students) needs to be asynchronous, just-in-time and situated within the immediate discipline context” (2014: 144).</w:t>
      </w:r>
      <w:r w:rsidRPr="00341A37">
        <w:rPr>
          <w:rFonts w:ascii="Gill Sans MT" w:hAnsi="Gill Sans MT"/>
          <w:color w:val="000000"/>
          <w:szCs w:val="22"/>
          <w:lang w:val="en-AU"/>
        </w:rPr>
        <w:tab/>
      </w:r>
    </w:p>
    <w:p w14:paraId="328FCED0" w14:textId="77777777" w:rsidR="00033529" w:rsidRPr="00341A37" w:rsidRDefault="00033529" w:rsidP="00033529">
      <w:pPr>
        <w:spacing w:line="276" w:lineRule="auto"/>
        <w:jc w:val="both"/>
        <w:rPr>
          <w:rFonts w:ascii="Gill Sans MT" w:hAnsi="Gill Sans MT"/>
          <w:color w:val="000000"/>
          <w:szCs w:val="22"/>
          <w:lang w:val="en-AU"/>
        </w:rPr>
      </w:pPr>
    </w:p>
    <w:p w14:paraId="51FDBEDA" w14:textId="77777777" w:rsidR="00033529" w:rsidRPr="00341A37" w:rsidRDefault="00033529" w:rsidP="00033529">
      <w:pPr>
        <w:spacing w:line="276" w:lineRule="auto"/>
        <w:jc w:val="both"/>
        <w:rPr>
          <w:rFonts w:ascii="Gill Sans MT" w:hAnsi="Gill Sans MT" w:cstheme="minorHAnsi"/>
          <w:lang w:val="en-AU"/>
        </w:rPr>
      </w:pPr>
      <w:r w:rsidRPr="00341A37">
        <w:rPr>
          <w:rFonts w:ascii="Gill Sans MT" w:hAnsi="Gill Sans MT"/>
          <w:color w:val="000000"/>
          <w:szCs w:val="22"/>
          <w:lang w:val="en-AU"/>
        </w:rPr>
        <w:t>Similarly, although ‘the transition to’ is a popular way of conceptualising</w:t>
      </w:r>
      <w:r w:rsidRPr="00341A37">
        <w:rPr>
          <w:rFonts w:ascii="Gill Sans MT" w:hAnsi="Gill Sans MT" w:cstheme="minorHAnsi"/>
          <w:lang w:val="en-AU"/>
        </w:rPr>
        <w:t xml:space="preserve"> the movements that students make through educational systems, its adoption can limit the empirical gaze if the taken-for-granted assumptions that underpin transition are not unpicked. This project takes a view of transition as fluid, complex and individual, rather than the ritualised, linear and homogenous view indexed in the ‘transition as induction’ metaphor identified by Gale and Parker (2014). Such a view of transition is contradicted in the work of </w:t>
      </w:r>
      <w:proofErr w:type="spellStart"/>
      <w:r w:rsidRPr="00341A37">
        <w:rPr>
          <w:rFonts w:ascii="Gill Sans MT" w:hAnsi="Gill Sans MT" w:cstheme="minorHAnsi"/>
          <w:lang w:val="en-AU"/>
        </w:rPr>
        <w:t>Tobbell</w:t>
      </w:r>
      <w:proofErr w:type="spellEnd"/>
      <w:r w:rsidRPr="00341A37">
        <w:rPr>
          <w:rFonts w:ascii="Gill Sans MT" w:hAnsi="Gill Sans MT" w:cstheme="minorHAnsi"/>
          <w:lang w:val="en-AU"/>
        </w:rPr>
        <w:t xml:space="preserve">, O’Donnell &amp; Zammit (2010) who explored postgraduates’ student identities in the contexts of their transitions into postgraduate study in the UK. Their findings </w:t>
      </w:r>
      <w:r w:rsidRPr="00341A37">
        <w:rPr>
          <w:rFonts w:ascii="Gill Sans MT" w:hAnsi="Gill Sans MT"/>
          <w:color w:val="000000"/>
          <w:lang w:val="en-AU"/>
        </w:rPr>
        <w:t>highlight problematic assumptions about the ‘readiness’ of postgraduate students and noted that the staff participants generally did not acknowledge the complexity of the students’ personal lives, resulting in significant challenges for the students: “</w:t>
      </w:r>
      <w:r w:rsidRPr="00341A37">
        <w:rPr>
          <w:rFonts w:ascii="Gill Sans MT" w:hAnsi="Gill Sans MT"/>
          <w:color w:val="000000"/>
        </w:rPr>
        <w:t xml:space="preserve">The silence surrounding their outside lives within the university, coupled with the emphasis on independent functioning, may result in identity shifts that do not facilitate learning” (2010: 277). This kind of nuanced and detailed discussion of the lived experiences of postgraduate students adds weight to the idea that transition is rarely a linear phenomenon, particularly for postgraduate students who are more likely to have </w:t>
      </w:r>
      <w:proofErr w:type="gramStart"/>
      <w:r w:rsidRPr="00341A37">
        <w:rPr>
          <w:rFonts w:ascii="Gill Sans MT" w:hAnsi="Gill Sans MT"/>
          <w:color w:val="000000"/>
        </w:rPr>
        <w:t>lead</w:t>
      </w:r>
      <w:proofErr w:type="gramEnd"/>
      <w:r w:rsidRPr="00341A37">
        <w:rPr>
          <w:rFonts w:ascii="Gill Sans MT" w:hAnsi="Gill Sans MT"/>
          <w:color w:val="000000"/>
        </w:rPr>
        <w:t xml:space="preserve"> complex lives, where study jostles against family, work, caring and other responsibilities.</w:t>
      </w:r>
    </w:p>
    <w:p w14:paraId="0E8FA15E" w14:textId="77777777" w:rsidR="00033529" w:rsidRPr="00341A37" w:rsidRDefault="00033529" w:rsidP="00033529">
      <w:pPr>
        <w:spacing w:line="276" w:lineRule="auto"/>
        <w:jc w:val="both"/>
        <w:rPr>
          <w:rFonts w:ascii="Gill Sans MT" w:hAnsi="Gill Sans MT" w:cstheme="minorHAnsi"/>
          <w:lang w:val="en-AU"/>
        </w:rPr>
      </w:pPr>
    </w:p>
    <w:p w14:paraId="372E4367" w14:textId="77777777" w:rsidR="00033529" w:rsidRPr="00341A37" w:rsidRDefault="00033529" w:rsidP="00033529">
      <w:pPr>
        <w:spacing w:line="276" w:lineRule="auto"/>
        <w:jc w:val="both"/>
        <w:rPr>
          <w:rFonts w:ascii="Gill Sans MT" w:hAnsi="Gill Sans MT" w:cstheme="minorHAnsi"/>
          <w:lang w:val="en-AU"/>
        </w:rPr>
      </w:pPr>
      <w:r w:rsidRPr="00341A37">
        <w:rPr>
          <w:rFonts w:ascii="Gill Sans MT" w:hAnsi="Gill Sans MT" w:cstheme="minorHAnsi"/>
          <w:lang w:val="en-AU"/>
        </w:rPr>
        <w:t xml:space="preserve"> In short, understandings of how equity policies, discourses and practices are relevant to and impact on postgraduate students, particularly in the Australian context are exceedingly limited. This makes equity and PGCW programs a key area that warrants further attention.</w:t>
      </w:r>
    </w:p>
    <w:p w14:paraId="04DC9F5D" w14:textId="77777777" w:rsidR="00033529" w:rsidRPr="00341A37" w:rsidRDefault="00033529" w:rsidP="00033529">
      <w:pPr>
        <w:spacing w:line="276" w:lineRule="auto"/>
        <w:jc w:val="both"/>
        <w:rPr>
          <w:rFonts w:ascii="Gill Sans MT" w:hAnsi="Gill Sans MT" w:cstheme="minorHAnsi"/>
          <w:lang w:val="en-AU"/>
        </w:rPr>
      </w:pPr>
    </w:p>
    <w:p w14:paraId="1EDA5734" w14:textId="77777777" w:rsidR="00033529" w:rsidRPr="00341A37" w:rsidRDefault="00033529" w:rsidP="00033529">
      <w:pPr>
        <w:jc w:val="both"/>
        <w:rPr>
          <w:rFonts w:ascii="Gill Sans MT" w:hAnsi="Gill Sans MT" w:cstheme="minorHAnsi"/>
          <w:b/>
        </w:rPr>
      </w:pPr>
      <w:r w:rsidRPr="00341A37">
        <w:rPr>
          <w:rFonts w:ascii="Gill Sans MT" w:hAnsi="Gill Sans MT" w:cstheme="minorHAnsi"/>
          <w:b/>
        </w:rPr>
        <w:t>References</w:t>
      </w:r>
    </w:p>
    <w:p w14:paraId="39502402" w14:textId="0AF56B24"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Boden, R. &amp; </w:t>
      </w:r>
      <w:proofErr w:type="spellStart"/>
      <w:r w:rsidRPr="00341A37">
        <w:rPr>
          <w:rFonts w:ascii="Gill Sans MT" w:hAnsi="Gill Sans MT" w:cstheme="minorHAnsi"/>
        </w:rPr>
        <w:t>Nedeva</w:t>
      </w:r>
      <w:proofErr w:type="spellEnd"/>
      <w:r w:rsidRPr="00341A37">
        <w:rPr>
          <w:rFonts w:ascii="Gill Sans MT" w:hAnsi="Gill Sans MT" w:cstheme="minorHAnsi"/>
        </w:rPr>
        <w:t xml:space="preserve">, M. (2010). Employing discourse: universities and graduate ‘employability’, </w:t>
      </w:r>
      <w:r w:rsidRPr="00341A37">
        <w:rPr>
          <w:rFonts w:ascii="Gill Sans MT" w:hAnsi="Gill Sans MT" w:cstheme="minorHAnsi"/>
          <w:i/>
        </w:rPr>
        <w:t>Journal of Educational Policy</w:t>
      </w:r>
      <w:r w:rsidRPr="00341A37">
        <w:rPr>
          <w:rFonts w:ascii="Gill Sans MT" w:hAnsi="Gill Sans MT" w:cstheme="minorHAnsi"/>
        </w:rPr>
        <w:t>, 25(1)</w:t>
      </w:r>
      <w:r w:rsidR="00EB5422">
        <w:rPr>
          <w:rFonts w:ascii="Gill Sans MT" w:hAnsi="Gill Sans MT" w:cstheme="minorHAnsi"/>
        </w:rPr>
        <w:t>,</w:t>
      </w:r>
      <w:r w:rsidRPr="00341A37">
        <w:rPr>
          <w:rFonts w:ascii="Gill Sans MT" w:hAnsi="Gill Sans MT" w:cstheme="minorHAnsi"/>
        </w:rPr>
        <w:t xml:space="preserve"> 37</w:t>
      </w:r>
      <w:r w:rsidR="00EB5422">
        <w:rPr>
          <w:rFonts w:ascii="Gill Sans MT" w:hAnsi="Gill Sans MT" w:cstheme="minorHAnsi"/>
        </w:rPr>
        <w:t>–</w:t>
      </w:r>
      <w:r w:rsidRPr="00341A37">
        <w:rPr>
          <w:rFonts w:ascii="Gill Sans MT" w:hAnsi="Gill Sans MT" w:cstheme="minorHAnsi"/>
        </w:rPr>
        <w:t>54.</w:t>
      </w:r>
      <w:r w:rsidRPr="00341A37">
        <w:rPr>
          <w:rFonts w:ascii="Gill Sans MT" w:hAnsi="Gill Sans MT" w:cstheme="minorHAnsi"/>
        </w:rPr>
        <w:tab/>
      </w:r>
    </w:p>
    <w:p w14:paraId="52822A75" w14:textId="1AAB862C" w:rsidR="00033529" w:rsidRPr="00341A37" w:rsidRDefault="00033529" w:rsidP="00033529">
      <w:pPr>
        <w:ind w:left="720" w:hanging="720"/>
        <w:jc w:val="both"/>
        <w:rPr>
          <w:rFonts w:ascii="Gill Sans MT" w:hAnsi="Gill Sans MT" w:cstheme="minorHAnsi"/>
        </w:rPr>
      </w:pPr>
      <w:proofErr w:type="spellStart"/>
      <w:r w:rsidRPr="00341A37">
        <w:rPr>
          <w:rFonts w:ascii="Gill Sans MT" w:hAnsi="Gill Sans MT" w:cstheme="minorHAnsi"/>
        </w:rPr>
        <w:t>Cervini</w:t>
      </w:r>
      <w:proofErr w:type="spellEnd"/>
      <w:r w:rsidRPr="00341A37">
        <w:rPr>
          <w:rFonts w:ascii="Gill Sans MT" w:hAnsi="Gill Sans MT" w:cstheme="minorHAnsi"/>
        </w:rPr>
        <w:t xml:space="preserve">, E. (2016). Postgraduate course fees are regularly topping $100,000 – and with little scrutiny, </w:t>
      </w:r>
      <w:r w:rsidRPr="00EB5422">
        <w:rPr>
          <w:rFonts w:ascii="Gill Sans MT" w:hAnsi="Gill Sans MT" w:cstheme="minorHAnsi"/>
          <w:i/>
          <w:iCs/>
        </w:rPr>
        <w:t>The Sydney Morning Herald</w:t>
      </w:r>
      <w:r w:rsidRPr="00341A37">
        <w:rPr>
          <w:rFonts w:ascii="Gill Sans MT" w:hAnsi="Gill Sans MT" w:cstheme="minorHAnsi"/>
        </w:rPr>
        <w:t xml:space="preserve"> [01 May 2016] </w:t>
      </w:r>
      <w:hyperlink r:id="rId6" w:history="1">
        <w:r w:rsidR="00EB5422" w:rsidRPr="007D358F">
          <w:rPr>
            <w:rStyle w:val="Hyperlink"/>
            <w:rFonts w:ascii="Gill Sans MT" w:hAnsi="Gill Sans MT" w:cstheme="minorHAnsi"/>
          </w:rPr>
          <w:t>https://www.smh.com.au/education/postgraduate-course-fees-are-regularly-topping-100000--and-with-little-scrutiny-20160425-goe577.html</w:t>
        </w:r>
      </w:hyperlink>
      <w:r w:rsidR="00EB5422">
        <w:rPr>
          <w:rFonts w:ascii="Gill Sans MT" w:hAnsi="Gill Sans MT" w:cstheme="minorHAnsi"/>
        </w:rPr>
        <w:t xml:space="preserve"> </w:t>
      </w:r>
    </w:p>
    <w:p w14:paraId="66A39A27" w14:textId="77777777" w:rsidR="00033529" w:rsidRPr="00341A37" w:rsidRDefault="00033529" w:rsidP="00033529">
      <w:pPr>
        <w:ind w:left="720" w:hanging="720"/>
        <w:jc w:val="both"/>
        <w:rPr>
          <w:rFonts w:ascii="Gill Sans MT" w:hAnsi="Gill Sans MT" w:cstheme="minorHAnsi"/>
          <w:lang w:val="en-AU"/>
        </w:rPr>
      </w:pPr>
      <w:proofErr w:type="spellStart"/>
      <w:r w:rsidRPr="00341A37">
        <w:rPr>
          <w:rFonts w:ascii="Gill Sans MT" w:hAnsi="Gill Sans MT" w:cstheme="minorHAnsi"/>
        </w:rPr>
        <w:t>d’Aguiar</w:t>
      </w:r>
      <w:proofErr w:type="spellEnd"/>
      <w:r w:rsidRPr="00341A37">
        <w:rPr>
          <w:rFonts w:ascii="Gill Sans MT" w:hAnsi="Gill Sans MT" w:cstheme="minorHAnsi"/>
        </w:rPr>
        <w:t xml:space="preserve">, S. &amp; Harrison, N. (2015). Returning from earning: UK graduates returning to postgraduate study, with particular respect to STEM subjects, gender and ethnicity, </w:t>
      </w:r>
      <w:r w:rsidRPr="00341A37">
        <w:rPr>
          <w:rFonts w:ascii="Gill Sans MT" w:hAnsi="Gill Sans MT" w:cstheme="minorHAnsi"/>
          <w:i/>
        </w:rPr>
        <w:t xml:space="preserve">Journal of Education and Work, </w:t>
      </w:r>
      <w:r w:rsidRPr="00341A37">
        <w:rPr>
          <w:rFonts w:ascii="Gill Sans MT" w:hAnsi="Gill Sans MT" w:cstheme="minorHAnsi"/>
          <w:lang w:val="en-AU"/>
        </w:rPr>
        <w:t>DOI: 10.1080/13639080.2014.1001332</w:t>
      </w:r>
    </w:p>
    <w:p w14:paraId="2D5DA73B" w14:textId="30473535"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Harvey, A. &amp; Andrewartha, L. (2013). Dr Who? Equity and diversity among university postgraduate and higher degree cohorts. </w:t>
      </w:r>
      <w:r w:rsidRPr="00341A37">
        <w:rPr>
          <w:rFonts w:ascii="Gill Sans MT" w:hAnsi="Gill Sans MT" w:cstheme="minorHAnsi"/>
          <w:i/>
        </w:rPr>
        <w:t>Journal of Higher Education Policy and Management</w:t>
      </w:r>
      <w:r w:rsidRPr="00341A37">
        <w:rPr>
          <w:rFonts w:ascii="Gill Sans MT" w:hAnsi="Gill Sans MT" w:cstheme="minorHAnsi"/>
        </w:rPr>
        <w:t>, 35(2)</w:t>
      </w:r>
      <w:r w:rsidR="00EB5422">
        <w:rPr>
          <w:rFonts w:ascii="Gill Sans MT" w:hAnsi="Gill Sans MT" w:cstheme="minorHAnsi"/>
        </w:rPr>
        <w:t>,</w:t>
      </w:r>
      <w:r w:rsidRPr="00341A37">
        <w:rPr>
          <w:rFonts w:ascii="Gill Sans MT" w:hAnsi="Gill Sans MT" w:cstheme="minorHAnsi"/>
        </w:rPr>
        <w:t xml:space="preserve"> 112</w:t>
      </w:r>
      <w:r w:rsidR="00EB5422">
        <w:rPr>
          <w:rFonts w:ascii="Gill Sans MT" w:hAnsi="Gill Sans MT" w:cstheme="minorHAnsi"/>
        </w:rPr>
        <w:t>–</w:t>
      </w:r>
      <w:r w:rsidRPr="00341A37">
        <w:rPr>
          <w:rFonts w:ascii="Gill Sans MT" w:hAnsi="Gill Sans MT" w:cstheme="minorHAnsi"/>
        </w:rPr>
        <w:t>123.</w:t>
      </w:r>
    </w:p>
    <w:p w14:paraId="7CE54CD6" w14:textId="77777777"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Gale, T.; Sellar, </w:t>
      </w:r>
      <w:proofErr w:type="gramStart"/>
      <w:r w:rsidRPr="00341A37">
        <w:rPr>
          <w:rFonts w:ascii="Gill Sans MT" w:hAnsi="Gill Sans MT" w:cstheme="minorHAnsi"/>
        </w:rPr>
        <w:t>S;.</w:t>
      </w:r>
      <w:proofErr w:type="gramEnd"/>
      <w:r w:rsidRPr="00341A37">
        <w:rPr>
          <w:rFonts w:ascii="Gill Sans MT" w:hAnsi="Gill Sans MT" w:cstheme="minorHAnsi"/>
        </w:rPr>
        <w:t xml:space="preserve"> Parker, S.; </w:t>
      </w:r>
      <w:proofErr w:type="spellStart"/>
      <w:r w:rsidRPr="00341A37">
        <w:rPr>
          <w:rFonts w:ascii="Gill Sans MT" w:hAnsi="Gill Sans MT" w:cstheme="minorHAnsi"/>
        </w:rPr>
        <w:t>Hattam</w:t>
      </w:r>
      <w:proofErr w:type="spellEnd"/>
      <w:r w:rsidRPr="00341A37">
        <w:rPr>
          <w:rFonts w:ascii="Gill Sans MT" w:hAnsi="Gill Sans MT" w:cstheme="minorHAnsi"/>
        </w:rPr>
        <w:t xml:space="preserve">, R.; Comber, B.; Tranter, D.; &amp; Bills, D. (2010). </w:t>
      </w:r>
      <w:r w:rsidRPr="00341A37">
        <w:rPr>
          <w:rFonts w:ascii="Gill Sans MT" w:hAnsi="Gill Sans MT" w:cstheme="minorHAnsi"/>
          <w:i/>
        </w:rPr>
        <w:t>Interventions early in school as a means to improve higher education outcomes for disadvantaged (particularly low SES) students</w:t>
      </w:r>
      <w:r w:rsidRPr="00341A37">
        <w:rPr>
          <w:rFonts w:ascii="Gill Sans MT" w:hAnsi="Gill Sans MT" w:cstheme="minorHAnsi"/>
        </w:rPr>
        <w:t xml:space="preserve">, National Centre Student Equity in Higher Education, </w:t>
      </w:r>
      <w:proofErr w:type="spellStart"/>
      <w:r w:rsidRPr="00341A37">
        <w:rPr>
          <w:rFonts w:ascii="Gill Sans MT" w:hAnsi="Gill Sans MT" w:cstheme="minorHAnsi"/>
        </w:rPr>
        <w:t>Underdale</w:t>
      </w:r>
      <w:proofErr w:type="spellEnd"/>
      <w:r w:rsidRPr="00341A37">
        <w:rPr>
          <w:rFonts w:ascii="Gill Sans MT" w:hAnsi="Gill Sans MT" w:cstheme="minorHAnsi"/>
        </w:rPr>
        <w:t>, S. Aust.</w:t>
      </w:r>
    </w:p>
    <w:p w14:paraId="03C195BF" w14:textId="77777777" w:rsidR="00033529" w:rsidRPr="00341A37" w:rsidRDefault="00033529" w:rsidP="00033529">
      <w:pPr>
        <w:ind w:left="720" w:hanging="720"/>
        <w:jc w:val="both"/>
        <w:rPr>
          <w:rFonts w:ascii="Gill Sans MT" w:hAnsi="Gill Sans MT"/>
        </w:rPr>
      </w:pPr>
      <w:r w:rsidRPr="00341A37">
        <w:rPr>
          <w:rFonts w:ascii="Gill Sans MT" w:hAnsi="Gill Sans MT"/>
        </w:rPr>
        <w:t xml:space="preserve">Gale, T., &amp; Parker, S. (2013). </w:t>
      </w:r>
      <w:r w:rsidRPr="00341A37">
        <w:rPr>
          <w:rFonts w:ascii="Gill Sans MT" w:hAnsi="Gill Sans MT"/>
          <w:i/>
        </w:rPr>
        <w:t>Widening participation in Australian higher education: Report to the Higher Education Funding Council of England (HEFCE) and the Office of Fair Access (OFFA), England</w:t>
      </w:r>
      <w:r w:rsidRPr="00341A37">
        <w:rPr>
          <w:rFonts w:ascii="Gill Sans MT" w:hAnsi="Gill Sans MT"/>
        </w:rPr>
        <w:t>. Leicester, UK: CFE Research.</w:t>
      </w:r>
    </w:p>
    <w:p w14:paraId="25082F33" w14:textId="3EF3C6AB" w:rsidR="00033529" w:rsidRPr="00EB5422" w:rsidRDefault="00033529" w:rsidP="00EB5422">
      <w:pPr>
        <w:ind w:left="720" w:hanging="720"/>
        <w:jc w:val="both"/>
        <w:rPr>
          <w:rFonts w:ascii="Gill Sans MT" w:hAnsi="Gill Sans MT" w:cstheme="minorHAnsi"/>
        </w:rPr>
      </w:pPr>
      <w:r w:rsidRPr="00341A37">
        <w:rPr>
          <w:rFonts w:ascii="Gill Sans MT" w:hAnsi="Gill Sans MT" w:cstheme="minorHAnsi"/>
        </w:rPr>
        <w:t xml:space="preserve">Gale, T. &amp; Parker, S. </w:t>
      </w:r>
      <w:r w:rsidRPr="00341A37">
        <w:rPr>
          <w:rFonts w:ascii="Gill Sans MT" w:hAnsi="Gill Sans MT" w:cstheme="minorHAnsi"/>
          <w:lang w:val="en-AU"/>
        </w:rPr>
        <w:t>(2014). Navigating change: a typology of student transition in higher education, </w:t>
      </w:r>
      <w:r w:rsidRPr="00341A37">
        <w:rPr>
          <w:rFonts w:ascii="Gill Sans MT" w:hAnsi="Gill Sans MT" w:cstheme="minorHAnsi"/>
          <w:i/>
          <w:iCs/>
          <w:lang w:val="en-AU"/>
        </w:rPr>
        <w:t>Studies in Higher Education</w:t>
      </w:r>
      <w:r w:rsidRPr="00341A37">
        <w:rPr>
          <w:rFonts w:ascii="Gill Sans MT" w:hAnsi="Gill Sans MT" w:cstheme="minorHAnsi"/>
          <w:lang w:val="en-AU"/>
        </w:rPr>
        <w:t>, 39(5)</w:t>
      </w:r>
      <w:r w:rsidR="00EB5422">
        <w:rPr>
          <w:rFonts w:ascii="Gill Sans MT" w:hAnsi="Gill Sans MT" w:cstheme="minorHAnsi"/>
          <w:lang w:val="en-AU"/>
        </w:rPr>
        <w:t>,</w:t>
      </w:r>
      <w:r w:rsidRPr="00341A37">
        <w:rPr>
          <w:rFonts w:ascii="Gill Sans MT" w:hAnsi="Gill Sans MT" w:cstheme="minorHAnsi"/>
          <w:lang w:val="en-AU"/>
        </w:rPr>
        <w:t xml:space="preserve"> 734</w:t>
      </w:r>
      <w:r w:rsidR="00EB5422">
        <w:rPr>
          <w:rFonts w:ascii="Gill Sans MT" w:hAnsi="Gill Sans MT" w:cstheme="minorHAnsi"/>
          <w:lang w:val="en-AU"/>
        </w:rPr>
        <w:t>–</w:t>
      </w:r>
      <w:r w:rsidRPr="00341A37">
        <w:rPr>
          <w:rFonts w:ascii="Gill Sans MT" w:hAnsi="Gill Sans MT" w:cstheme="minorHAnsi"/>
          <w:lang w:val="en-AU"/>
        </w:rPr>
        <w:t>753.</w:t>
      </w:r>
    </w:p>
    <w:p w14:paraId="46077FD5" w14:textId="77777777"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James, R. (2008). </w:t>
      </w:r>
      <w:r w:rsidRPr="00341A37">
        <w:rPr>
          <w:rFonts w:ascii="Gill Sans MT" w:hAnsi="Gill Sans MT" w:cstheme="minorHAnsi"/>
          <w:i/>
        </w:rPr>
        <w:t>PARTICIPATION AND EQUITY</w:t>
      </w:r>
      <w:r w:rsidRPr="00341A37">
        <w:rPr>
          <w:rFonts w:ascii="Gill Sans MT" w:hAnsi="Gill Sans MT" w:cstheme="minorHAnsi"/>
          <w:i/>
          <w:caps/>
        </w:rPr>
        <w:t xml:space="preserve">: </w:t>
      </w:r>
      <w:r w:rsidRPr="00341A37">
        <w:rPr>
          <w:rFonts w:ascii="Gill Sans MT" w:hAnsi="Gill Sans MT" w:cstheme="minorHAnsi"/>
          <w:i/>
        </w:rPr>
        <w:t>A review of the participation in higher education of people from low socioeconomic backgrounds and Indigenous people</w:t>
      </w:r>
      <w:r w:rsidRPr="00341A37">
        <w:rPr>
          <w:rFonts w:ascii="Gill Sans MT" w:hAnsi="Gill Sans MT" w:cstheme="minorHAnsi"/>
        </w:rPr>
        <w:t>, Centre for the Study of Higher Education, University of Melbourne</w:t>
      </w:r>
    </w:p>
    <w:p w14:paraId="28BFF316" w14:textId="1638FEA1"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McCulloch, A. &amp; Thomas, L. (2013). Widening participation to doctoral education and research degrees: a research agenda for an emerging policy issue, </w:t>
      </w:r>
      <w:r w:rsidRPr="00341A37">
        <w:rPr>
          <w:rFonts w:ascii="Gill Sans MT" w:hAnsi="Gill Sans MT" w:cstheme="minorHAnsi"/>
          <w:i/>
        </w:rPr>
        <w:t>Higher Education Research &amp; Development</w:t>
      </w:r>
      <w:r w:rsidRPr="00341A37">
        <w:rPr>
          <w:rFonts w:ascii="Gill Sans MT" w:hAnsi="Gill Sans MT" w:cstheme="minorHAnsi"/>
        </w:rPr>
        <w:t>, 32(2)</w:t>
      </w:r>
      <w:r w:rsidR="00EB5422">
        <w:rPr>
          <w:rFonts w:ascii="Gill Sans MT" w:hAnsi="Gill Sans MT" w:cstheme="minorHAnsi"/>
        </w:rPr>
        <w:t>,</w:t>
      </w:r>
      <w:r w:rsidRPr="00341A37">
        <w:rPr>
          <w:rFonts w:ascii="Gill Sans MT" w:hAnsi="Gill Sans MT" w:cstheme="minorHAnsi"/>
        </w:rPr>
        <w:t xml:space="preserve"> 214</w:t>
      </w:r>
      <w:r w:rsidR="00EB5422">
        <w:rPr>
          <w:rFonts w:ascii="Gill Sans MT" w:hAnsi="Gill Sans MT" w:cstheme="minorHAnsi"/>
        </w:rPr>
        <w:t>–</w:t>
      </w:r>
      <w:r w:rsidRPr="00341A37">
        <w:rPr>
          <w:rFonts w:ascii="Gill Sans MT" w:hAnsi="Gill Sans MT" w:cstheme="minorHAnsi"/>
        </w:rPr>
        <w:t>227.</w:t>
      </w:r>
    </w:p>
    <w:p w14:paraId="66DD4B43" w14:textId="77777777"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O’Donnell, V.; </w:t>
      </w:r>
      <w:proofErr w:type="spellStart"/>
      <w:r w:rsidRPr="00341A37">
        <w:rPr>
          <w:rFonts w:ascii="Gill Sans MT" w:hAnsi="Gill Sans MT" w:cstheme="minorHAnsi"/>
        </w:rPr>
        <w:t>Tobbell</w:t>
      </w:r>
      <w:proofErr w:type="spellEnd"/>
      <w:r w:rsidRPr="00341A37">
        <w:rPr>
          <w:rFonts w:ascii="Gill Sans MT" w:hAnsi="Gill Sans MT" w:cstheme="minorHAnsi"/>
        </w:rPr>
        <w:t xml:space="preserve">, J.; </w:t>
      </w:r>
      <w:proofErr w:type="spellStart"/>
      <w:r w:rsidRPr="00341A37">
        <w:rPr>
          <w:rFonts w:ascii="Gill Sans MT" w:hAnsi="Gill Sans MT" w:cstheme="minorHAnsi"/>
        </w:rPr>
        <w:t>Lawthom</w:t>
      </w:r>
      <w:proofErr w:type="spellEnd"/>
      <w:r w:rsidRPr="00341A37">
        <w:rPr>
          <w:rFonts w:ascii="Gill Sans MT" w:hAnsi="Gill Sans MT" w:cstheme="minorHAnsi"/>
        </w:rPr>
        <w:t xml:space="preserve">, R., &amp; Zammit, M. (2009). Transition to postgraduate study: Practice, participation and the widening participation agenda, </w:t>
      </w:r>
      <w:r w:rsidRPr="00341A37">
        <w:rPr>
          <w:rFonts w:ascii="Gill Sans MT" w:hAnsi="Gill Sans MT" w:cstheme="minorHAnsi"/>
          <w:i/>
        </w:rPr>
        <w:t xml:space="preserve">Active Learning in Higher Education, </w:t>
      </w:r>
      <w:r w:rsidRPr="00341A37">
        <w:rPr>
          <w:rFonts w:ascii="Gill Sans MT" w:hAnsi="Gill Sans MT" w:cstheme="minorHAnsi"/>
        </w:rPr>
        <w:t>10(1): 26-40.</w:t>
      </w:r>
    </w:p>
    <w:p w14:paraId="529D32FD" w14:textId="77777777"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Palmer, N., </w:t>
      </w:r>
      <w:proofErr w:type="spellStart"/>
      <w:r w:rsidRPr="00341A37">
        <w:rPr>
          <w:rFonts w:ascii="Gill Sans MT" w:hAnsi="Gill Sans MT" w:cstheme="minorHAnsi"/>
        </w:rPr>
        <w:t>Bexley</w:t>
      </w:r>
      <w:proofErr w:type="spellEnd"/>
      <w:r w:rsidRPr="00341A37">
        <w:rPr>
          <w:rFonts w:ascii="Gill Sans MT" w:hAnsi="Gill Sans MT" w:cstheme="minorHAnsi"/>
        </w:rPr>
        <w:t xml:space="preserve">, E., &amp; James, R. (2011). </w:t>
      </w:r>
      <w:r w:rsidRPr="00341A37">
        <w:rPr>
          <w:rFonts w:ascii="Gill Sans MT" w:hAnsi="Gill Sans MT" w:cstheme="minorHAnsi"/>
          <w:i/>
        </w:rPr>
        <w:t>Selection and Participation in Higher Education: University selection in support of student success and diversity of participation. Prepared for the Group of Eight</w:t>
      </w:r>
      <w:r w:rsidRPr="00341A37">
        <w:rPr>
          <w:rFonts w:ascii="Gill Sans MT" w:hAnsi="Gill Sans MT" w:cstheme="minorHAnsi"/>
        </w:rPr>
        <w:t>. Centre for the Study of Higher Education: The University of Melbourne.</w:t>
      </w:r>
    </w:p>
    <w:p w14:paraId="73B9F218" w14:textId="5213F59A" w:rsidR="00033529" w:rsidRPr="00341A37" w:rsidRDefault="00033529" w:rsidP="00033529">
      <w:pPr>
        <w:ind w:left="720" w:hanging="720"/>
        <w:jc w:val="both"/>
        <w:rPr>
          <w:rFonts w:ascii="Gill Sans MT" w:hAnsi="Gill Sans MT" w:cstheme="minorHAnsi"/>
          <w:u w:val="single"/>
        </w:rPr>
      </w:pPr>
      <w:r w:rsidRPr="00341A37">
        <w:rPr>
          <w:rFonts w:ascii="Gill Sans MT" w:hAnsi="Gill Sans MT" w:cstheme="minorHAnsi"/>
        </w:rPr>
        <w:t xml:space="preserve">Stagg, A. &amp; </w:t>
      </w:r>
      <w:proofErr w:type="spellStart"/>
      <w:r w:rsidRPr="00341A37">
        <w:rPr>
          <w:rFonts w:ascii="Gill Sans MT" w:hAnsi="Gill Sans MT" w:cstheme="minorHAnsi"/>
        </w:rPr>
        <w:t>Kimmins</w:t>
      </w:r>
      <w:proofErr w:type="spellEnd"/>
      <w:r w:rsidRPr="00341A37">
        <w:rPr>
          <w:rFonts w:ascii="Gill Sans MT" w:hAnsi="Gill Sans MT" w:cstheme="minorHAnsi"/>
        </w:rPr>
        <w:t>, L. (2014). First Year in Higher Education (FYHE) and the Coursework Post-Graduate Student</w:t>
      </w:r>
      <w:r w:rsidRPr="00341A37">
        <w:rPr>
          <w:rFonts w:ascii="Gill Sans MT" w:hAnsi="Gill Sans MT" w:cstheme="minorHAnsi"/>
          <w:i/>
        </w:rPr>
        <w:t>, The Journal of Academic Librarianship</w:t>
      </w:r>
      <w:r w:rsidRPr="00341A37">
        <w:rPr>
          <w:rFonts w:ascii="Gill Sans MT" w:hAnsi="Gill Sans MT" w:cstheme="minorHAnsi"/>
        </w:rPr>
        <w:t>, 40</w:t>
      </w:r>
      <w:r w:rsidR="00EB5422">
        <w:rPr>
          <w:rFonts w:ascii="Gill Sans MT" w:hAnsi="Gill Sans MT" w:cstheme="minorHAnsi"/>
        </w:rPr>
        <w:t>,</w:t>
      </w:r>
      <w:r w:rsidRPr="00341A37">
        <w:rPr>
          <w:rFonts w:ascii="Gill Sans MT" w:hAnsi="Gill Sans MT" w:cstheme="minorHAnsi"/>
        </w:rPr>
        <w:t xml:space="preserve"> 142</w:t>
      </w:r>
      <w:r w:rsidR="00EB5422">
        <w:rPr>
          <w:rFonts w:ascii="Gill Sans MT" w:hAnsi="Gill Sans MT" w:cstheme="minorHAnsi"/>
        </w:rPr>
        <w:t>–</w:t>
      </w:r>
      <w:r w:rsidRPr="00341A37">
        <w:rPr>
          <w:rFonts w:ascii="Gill Sans MT" w:hAnsi="Gill Sans MT" w:cstheme="minorHAnsi"/>
        </w:rPr>
        <w:t xml:space="preserve">151. </w:t>
      </w:r>
    </w:p>
    <w:p w14:paraId="3F8968EC" w14:textId="77777777"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Strike, T., &amp; </w:t>
      </w:r>
      <w:proofErr w:type="spellStart"/>
      <w:r w:rsidRPr="00341A37">
        <w:rPr>
          <w:rFonts w:ascii="Gill Sans MT" w:hAnsi="Gill Sans MT" w:cstheme="minorHAnsi"/>
        </w:rPr>
        <w:t>Toyne</w:t>
      </w:r>
      <w:proofErr w:type="spellEnd"/>
      <w:r w:rsidRPr="00341A37">
        <w:rPr>
          <w:rFonts w:ascii="Gill Sans MT" w:hAnsi="Gill Sans MT" w:cstheme="minorHAnsi"/>
        </w:rPr>
        <w:t xml:space="preserve">, J. (Eds.) (2015). </w:t>
      </w:r>
      <w:r w:rsidRPr="00341A37">
        <w:rPr>
          <w:rFonts w:ascii="Gill Sans MT" w:hAnsi="Gill Sans MT" w:cstheme="minorHAnsi"/>
          <w:i/>
        </w:rPr>
        <w:t>Widening Access to Postgraduate Study and Fair Access to the Professions</w:t>
      </w:r>
      <w:r w:rsidRPr="00341A37">
        <w:rPr>
          <w:rFonts w:ascii="Gill Sans MT" w:hAnsi="Gill Sans MT" w:cstheme="minorHAnsi"/>
        </w:rPr>
        <w:t>. The University of Sheffield: Sheffield.</w:t>
      </w:r>
    </w:p>
    <w:p w14:paraId="158AF649" w14:textId="5B102A56" w:rsidR="00033529" w:rsidRPr="00341A37" w:rsidRDefault="00033529" w:rsidP="00033529">
      <w:pPr>
        <w:ind w:left="720" w:hanging="720"/>
        <w:jc w:val="both"/>
        <w:rPr>
          <w:rFonts w:ascii="Gill Sans MT" w:hAnsi="Gill Sans MT" w:cstheme="minorHAnsi"/>
        </w:rPr>
      </w:pPr>
      <w:proofErr w:type="spellStart"/>
      <w:r w:rsidRPr="00341A37">
        <w:rPr>
          <w:rFonts w:ascii="Gill Sans MT" w:hAnsi="Gill Sans MT" w:cstheme="minorHAnsi"/>
        </w:rPr>
        <w:t>Tobbell</w:t>
      </w:r>
      <w:proofErr w:type="spellEnd"/>
      <w:r w:rsidRPr="00341A37">
        <w:rPr>
          <w:rFonts w:ascii="Gill Sans MT" w:hAnsi="Gill Sans MT" w:cstheme="minorHAnsi"/>
        </w:rPr>
        <w:t xml:space="preserve">, J.; O’Donnell, V., &amp; Zammit, M. (2010). Exploring transition to postgraduate study: shifting identities in interaction with communities, practice and participation, </w:t>
      </w:r>
      <w:r w:rsidRPr="00341A37">
        <w:rPr>
          <w:rFonts w:ascii="Gill Sans MT" w:hAnsi="Gill Sans MT" w:cstheme="minorHAnsi"/>
          <w:i/>
        </w:rPr>
        <w:t xml:space="preserve">British Educational Research Journal, </w:t>
      </w:r>
      <w:r w:rsidRPr="00341A37">
        <w:rPr>
          <w:rFonts w:ascii="Gill Sans MT" w:hAnsi="Gill Sans MT" w:cstheme="minorHAnsi"/>
        </w:rPr>
        <w:t>36(2)</w:t>
      </w:r>
      <w:r w:rsidR="00EB5422">
        <w:rPr>
          <w:rFonts w:ascii="Gill Sans MT" w:hAnsi="Gill Sans MT" w:cstheme="minorHAnsi"/>
        </w:rPr>
        <w:t>,</w:t>
      </w:r>
      <w:r w:rsidRPr="00341A37">
        <w:rPr>
          <w:rFonts w:ascii="Gill Sans MT" w:hAnsi="Gill Sans MT" w:cstheme="minorHAnsi"/>
        </w:rPr>
        <w:t xml:space="preserve"> 261</w:t>
      </w:r>
      <w:r w:rsidR="00EB5422">
        <w:rPr>
          <w:rFonts w:ascii="Gill Sans MT" w:hAnsi="Gill Sans MT" w:cstheme="minorHAnsi"/>
        </w:rPr>
        <w:t>–</w:t>
      </w:r>
      <w:r w:rsidRPr="00341A37">
        <w:rPr>
          <w:rFonts w:ascii="Gill Sans MT" w:hAnsi="Gill Sans MT" w:cstheme="minorHAnsi"/>
        </w:rPr>
        <w:t>278.</w:t>
      </w:r>
    </w:p>
    <w:p w14:paraId="0F170C1D" w14:textId="77777777" w:rsidR="00033529" w:rsidRPr="00341A37" w:rsidRDefault="00033529" w:rsidP="00033529">
      <w:pPr>
        <w:ind w:left="720" w:hanging="720"/>
        <w:jc w:val="both"/>
        <w:rPr>
          <w:rFonts w:ascii="Gill Sans MT" w:hAnsi="Gill Sans MT" w:cstheme="minorHAnsi"/>
        </w:rPr>
      </w:pPr>
      <w:proofErr w:type="spellStart"/>
      <w:r w:rsidRPr="00341A37">
        <w:rPr>
          <w:rFonts w:ascii="Gill Sans MT" w:hAnsi="Gill Sans MT" w:cstheme="minorHAnsi"/>
        </w:rPr>
        <w:t>Wakeling</w:t>
      </w:r>
      <w:proofErr w:type="spellEnd"/>
      <w:r w:rsidRPr="00341A37">
        <w:rPr>
          <w:rFonts w:ascii="Gill Sans MT" w:hAnsi="Gill Sans MT" w:cstheme="minorHAnsi"/>
        </w:rPr>
        <w:t xml:space="preserve">, P., &amp; </w:t>
      </w:r>
      <w:proofErr w:type="spellStart"/>
      <w:r w:rsidRPr="00341A37">
        <w:rPr>
          <w:rFonts w:ascii="Gill Sans MT" w:hAnsi="Gill Sans MT" w:cstheme="minorHAnsi"/>
        </w:rPr>
        <w:t>Kyriacou</w:t>
      </w:r>
      <w:proofErr w:type="spellEnd"/>
      <w:r w:rsidRPr="00341A37">
        <w:rPr>
          <w:rFonts w:ascii="Gill Sans MT" w:hAnsi="Gill Sans MT" w:cstheme="minorHAnsi"/>
        </w:rPr>
        <w:t>, C. (2010). Widening participation from undergraduate to postgraduate research degrees. Swindon, UK: NCCPE and ESRC.</w:t>
      </w:r>
    </w:p>
    <w:p w14:paraId="023873DB" w14:textId="0C27636A"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t xml:space="preserve">Whitty, G (2011) 'Securing the future of postgraduate education.' In: </w:t>
      </w:r>
      <w:proofErr w:type="spellStart"/>
      <w:r w:rsidRPr="00341A37">
        <w:rPr>
          <w:rFonts w:ascii="Gill Sans MT" w:hAnsi="Gill Sans MT" w:cstheme="minorHAnsi"/>
        </w:rPr>
        <w:t>Coiffait</w:t>
      </w:r>
      <w:proofErr w:type="spellEnd"/>
      <w:r w:rsidRPr="00341A37">
        <w:rPr>
          <w:rFonts w:ascii="Gill Sans MT" w:hAnsi="Gill Sans MT" w:cstheme="minorHAnsi"/>
        </w:rPr>
        <w:t xml:space="preserve">, L. (ed). </w:t>
      </w:r>
      <w:r w:rsidRPr="00341A37">
        <w:rPr>
          <w:rFonts w:ascii="Gill Sans MT" w:hAnsi="Gill Sans MT" w:cstheme="minorHAnsi"/>
          <w:i/>
        </w:rPr>
        <w:t>Blue skies: new thinking about the future of higher education - a collection of short articles by leading commentators</w:t>
      </w:r>
      <w:r w:rsidRPr="00341A37">
        <w:rPr>
          <w:rFonts w:ascii="Gill Sans MT" w:hAnsi="Gill Sans MT" w:cstheme="minorHAnsi"/>
        </w:rPr>
        <w:t>. Pearson: London, pp. 99</w:t>
      </w:r>
      <w:r w:rsidR="00EB5422">
        <w:rPr>
          <w:rFonts w:ascii="Gill Sans MT" w:hAnsi="Gill Sans MT" w:cstheme="minorHAnsi"/>
        </w:rPr>
        <w:t>–</w:t>
      </w:r>
      <w:r w:rsidRPr="00341A37">
        <w:rPr>
          <w:rFonts w:ascii="Gill Sans MT" w:hAnsi="Gill Sans MT" w:cstheme="minorHAnsi"/>
        </w:rPr>
        <w:t>102.</w:t>
      </w:r>
    </w:p>
    <w:p w14:paraId="4AC13854" w14:textId="2E9112E7" w:rsidR="00033529" w:rsidRPr="00341A37" w:rsidRDefault="00033529" w:rsidP="00033529">
      <w:pPr>
        <w:ind w:left="720" w:hanging="720"/>
        <w:jc w:val="both"/>
        <w:rPr>
          <w:rFonts w:ascii="Gill Sans MT" w:hAnsi="Gill Sans MT" w:cstheme="minorHAnsi"/>
        </w:rPr>
      </w:pPr>
      <w:r w:rsidRPr="00341A37">
        <w:rPr>
          <w:rFonts w:ascii="Gill Sans MT" w:hAnsi="Gill Sans MT" w:cstheme="minorHAnsi"/>
        </w:rPr>
        <w:lastRenderedPageBreak/>
        <w:t xml:space="preserve">Whitty, G. and Mullan, J. (2013). 'Postgraduate education: overlooked and forgotten?' In: </w:t>
      </w:r>
      <w:proofErr w:type="spellStart"/>
      <w:r w:rsidRPr="00341A37">
        <w:rPr>
          <w:rFonts w:ascii="Gill Sans MT" w:hAnsi="Gill Sans MT" w:cstheme="minorHAnsi"/>
        </w:rPr>
        <w:t>Callender</w:t>
      </w:r>
      <w:proofErr w:type="spellEnd"/>
      <w:r w:rsidRPr="00341A37">
        <w:rPr>
          <w:rFonts w:ascii="Gill Sans MT" w:hAnsi="Gill Sans MT" w:cstheme="minorHAnsi"/>
        </w:rPr>
        <w:t xml:space="preserve">, C and Scott, P, eds. </w:t>
      </w:r>
      <w:r w:rsidRPr="00341A37">
        <w:rPr>
          <w:rFonts w:ascii="Gill Sans MT" w:hAnsi="Gill Sans MT" w:cstheme="minorHAnsi"/>
          <w:i/>
          <w:iCs/>
        </w:rPr>
        <w:t>Browne and beyond: modernizing English higher education.</w:t>
      </w:r>
      <w:r w:rsidRPr="00341A37">
        <w:rPr>
          <w:rFonts w:ascii="Gill Sans MT" w:hAnsi="Gill Sans MT" w:cstheme="minorHAnsi"/>
        </w:rPr>
        <w:t xml:space="preserve"> Bedford Way papers (42). IOE Press, London, pp. 173</w:t>
      </w:r>
      <w:r w:rsidR="00EB5422">
        <w:rPr>
          <w:rFonts w:ascii="Gill Sans MT" w:hAnsi="Gill Sans MT" w:cstheme="minorHAnsi"/>
        </w:rPr>
        <w:t>–</w:t>
      </w:r>
      <w:r w:rsidRPr="00341A37">
        <w:rPr>
          <w:rFonts w:ascii="Gill Sans MT" w:hAnsi="Gill Sans MT" w:cstheme="minorHAnsi"/>
        </w:rPr>
        <w:t>194.</w:t>
      </w:r>
    </w:p>
    <w:p w14:paraId="52D0BFD0" w14:textId="77777777" w:rsidR="00033529" w:rsidRPr="00341A37" w:rsidRDefault="00033529" w:rsidP="00D852E2">
      <w:pPr>
        <w:jc w:val="center"/>
        <w:rPr>
          <w:rFonts w:ascii="Gill Sans MT" w:hAnsi="Gill Sans MT"/>
          <w:b/>
          <w:sz w:val="28"/>
          <w:szCs w:val="28"/>
        </w:rPr>
        <w:sectPr w:rsidR="00033529" w:rsidRPr="00341A37" w:rsidSect="00033529">
          <w:footerReference w:type="default" r:id="rId7"/>
          <w:pgSz w:w="11900" w:h="16840"/>
          <w:pgMar w:top="1440" w:right="1800" w:bottom="1440" w:left="1800" w:header="708" w:footer="708" w:gutter="0"/>
          <w:cols w:space="708"/>
          <w:docGrid w:linePitch="360"/>
        </w:sectPr>
      </w:pPr>
    </w:p>
    <w:p w14:paraId="67D75B47" w14:textId="102ABE3C" w:rsidR="003F05A1" w:rsidRPr="00341A37" w:rsidRDefault="00D852E2" w:rsidP="00D852E2">
      <w:pPr>
        <w:jc w:val="center"/>
        <w:rPr>
          <w:rFonts w:ascii="Gill Sans MT" w:hAnsi="Gill Sans MT"/>
          <w:b/>
          <w:sz w:val="28"/>
          <w:szCs w:val="28"/>
        </w:rPr>
      </w:pPr>
      <w:r w:rsidRPr="00341A37">
        <w:rPr>
          <w:rFonts w:ascii="Gill Sans MT" w:hAnsi="Gill Sans MT"/>
          <w:b/>
          <w:sz w:val="28"/>
          <w:szCs w:val="28"/>
        </w:rPr>
        <w:lastRenderedPageBreak/>
        <w:t>Equity and Higher Education Annotated Bibliography Series</w:t>
      </w:r>
    </w:p>
    <w:p w14:paraId="4812B6B9" w14:textId="30A9DFA7" w:rsidR="00D852E2" w:rsidRPr="00341A37" w:rsidRDefault="00D852E2" w:rsidP="00D852E2">
      <w:pPr>
        <w:jc w:val="center"/>
        <w:rPr>
          <w:rFonts w:ascii="Gill Sans MT" w:hAnsi="Gill Sans MT"/>
          <w:b/>
          <w:sz w:val="28"/>
          <w:szCs w:val="28"/>
        </w:rPr>
      </w:pPr>
      <w:r w:rsidRPr="00341A37">
        <w:rPr>
          <w:rFonts w:ascii="Gill Sans MT" w:hAnsi="Gill Sans MT"/>
          <w:b/>
          <w:sz w:val="28"/>
          <w:szCs w:val="28"/>
        </w:rPr>
        <w:t>Postgraduate Study and Equity</w:t>
      </w:r>
    </w:p>
    <w:p w14:paraId="7FF5D1AC" w14:textId="77777777" w:rsidR="00D852E2" w:rsidRPr="00341A37" w:rsidRDefault="00D852E2" w:rsidP="00D852E2">
      <w:pPr>
        <w:jc w:val="center"/>
        <w:rPr>
          <w:rFonts w:ascii="Gill Sans MT" w:hAnsi="Gill Sans MT"/>
          <w:b/>
          <w:sz w:val="28"/>
          <w:szCs w:val="28"/>
        </w:rPr>
      </w:pPr>
    </w:p>
    <w:tbl>
      <w:tblPr>
        <w:tblStyle w:val="TableGrid"/>
        <w:tblW w:w="15593" w:type="dxa"/>
        <w:tblInd w:w="-743" w:type="dxa"/>
        <w:tblLook w:val="04A0" w:firstRow="1" w:lastRow="0" w:firstColumn="1" w:lastColumn="0" w:noHBand="0" w:noVBand="1"/>
      </w:tblPr>
      <w:tblGrid>
        <w:gridCol w:w="5529"/>
        <w:gridCol w:w="10064"/>
      </w:tblGrid>
      <w:tr w:rsidR="00D852E2" w:rsidRPr="00341A37" w14:paraId="50F21B0D" w14:textId="77777777" w:rsidTr="00A16039">
        <w:tc>
          <w:tcPr>
            <w:tcW w:w="5529" w:type="dxa"/>
          </w:tcPr>
          <w:p w14:paraId="1962B5F8" w14:textId="77777777" w:rsidR="00D852E2" w:rsidRPr="00341A37" w:rsidRDefault="00D852E2" w:rsidP="00A16039">
            <w:pPr>
              <w:jc w:val="center"/>
              <w:rPr>
                <w:rFonts w:ascii="Gill Sans MT" w:eastAsia="Times New Roman" w:hAnsi="Gill Sans MT" w:cs="Times New Roman"/>
                <w:b/>
                <w:bCs/>
                <w:color w:val="000000"/>
                <w:szCs w:val="22"/>
                <w:lang w:val="en-AU"/>
              </w:rPr>
            </w:pPr>
            <w:r w:rsidRPr="00341A37">
              <w:rPr>
                <w:rFonts w:ascii="Gill Sans MT" w:eastAsia="Times New Roman" w:hAnsi="Gill Sans MT" w:cs="Times New Roman"/>
                <w:b/>
                <w:bCs/>
                <w:color w:val="000000"/>
                <w:szCs w:val="22"/>
                <w:lang w:val="en-AU"/>
              </w:rPr>
              <w:t>Citation</w:t>
            </w:r>
          </w:p>
          <w:p w14:paraId="7AEBACE1" w14:textId="77777777" w:rsidR="00D852E2" w:rsidRPr="00341A37" w:rsidRDefault="00D852E2" w:rsidP="00A16039">
            <w:pPr>
              <w:jc w:val="center"/>
              <w:rPr>
                <w:rFonts w:ascii="Gill Sans MT" w:hAnsi="Gill Sans MT"/>
                <w:szCs w:val="22"/>
              </w:rPr>
            </w:pPr>
          </w:p>
        </w:tc>
        <w:tc>
          <w:tcPr>
            <w:tcW w:w="10064" w:type="dxa"/>
          </w:tcPr>
          <w:p w14:paraId="3E542003" w14:textId="77777777" w:rsidR="00D852E2" w:rsidRPr="00341A37" w:rsidRDefault="00D852E2" w:rsidP="00A16039">
            <w:pPr>
              <w:jc w:val="center"/>
              <w:rPr>
                <w:rFonts w:ascii="Gill Sans MT" w:eastAsia="Times New Roman" w:hAnsi="Gill Sans MT" w:cs="Times New Roman"/>
                <w:b/>
                <w:bCs/>
                <w:color w:val="000000"/>
                <w:szCs w:val="22"/>
                <w:lang w:val="en-AU"/>
              </w:rPr>
            </w:pPr>
            <w:r w:rsidRPr="00341A37">
              <w:rPr>
                <w:rFonts w:ascii="Gill Sans MT" w:eastAsia="Times New Roman" w:hAnsi="Gill Sans MT" w:cs="Times New Roman"/>
                <w:b/>
                <w:bCs/>
                <w:color w:val="000000"/>
                <w:szCs w:val="22"/>
                <w:lang w:val="en-AU"/>
              </w:rPr>
              <w:t>Annotation</w:t>
            </w:r>
          </w:p>
          <w:p w14:paraId="3C5CD8B3" w14:textId="77777777" w:rsidR="00D852E2" w:rsidRPr="00341A37" w:rsidRDefault="00D852E2" w:rsidP="00A16039">
            <w:pPr>
              <w:jc w:val="center"/>
              <w:rPr>
                <w:rFonts w:ascii="Gill Sans MT" w:hAnsi="Gill Sans MT"/>
                <w:szCs w:val="22"/>
              </w:rPr>
            </w:pPr>
          </w:p>
        </w:tc>
      </w:tr>
      <w:tr w:rsidR="00D852E2" w:rsidRPr="00341A37" w14:paraId="30E76FFC" w14:textId="77777777" w:rsidTr="00A16039">
        <w:tc>
          <w:tcPr>
            <w:tcW w:w="5529" w:type="dxa"/>
          </w:tcPr>
          <w:p w14:paraId="4DEF406A" w14:textId="29747C33" w:rsidR="00D852E2" w:rsidRPr="00341A37" w:rsidRDefault="00D852E2" w:rsidP="00A16039">
            <w:pPr>
              <w:rPr>
                <w:rFonts w:ascii="Gill Sans MT" w:hAnsi="Gill Sans MT"/>
              </w:rPr>
            </w:pPr>
            <w:r w:rsidRPr="00341A37">
              <w:rPr>
                <w:rFonts w:ascii="Gill Sans MT" w:eastAsia="Calibri" w:hAnsi="Gill Sans MT" w:cs="Calibri"/>
                <w:szCs w:val="22"/>
              </w:rPr>
              <w:t xml:space="preserve">Boden, R., &amp; </w:t>
            </w:r>
            <w:proofErr w:type="spellStart"/>
            <w:r w:rsidRPr="00341A37">
              <w:rPr>
                <w:rFonts w:ascii="Gill Sans MT" w:eastAsia="Calibri" w:hAnsi="Gill Sans MT" w:cs="Calibri"/>
                <w:szCs w:val="22"/>
              </w:rPr>
              <w:t>Nedeva</w:t>
            </w:r>
            <w:proofErr w:type="spellEnd"/>
            <w:r w:rsidRPr="00341A37">
              <w:rPr>
                <w:rFonts w:ascii="Gill Sans MT" w:eastAsia="Calibri" w:hAnsi="Gill Sans MT" w:cs="Calibri"/>
                <w:szCs w:val="22"/>
              </w:rPr>
              <w:t xml:space="preserve">, M. (2010). </w:t>
            </w:r>
            <w:hyperlink r:id="rId8" w:history="1">
              <w:r w:rsidRPr="00341A37">
                <w:rPr>
                  <w:rStyle w:val="Hyperlink"/>
                  <w:rFonts w:ascii="Gill Sans MT" w:eastAsia="Calibri" w:hAnsi="Gill Sans MT" w:cs="Calibri"/>
                  <w:szCs w:val="22"/>
                </w:rPr>
                <w:t>Employing discourse: universities and graduate ‘employability</w:t>
              </w:r>
            </w:hyperlink>
            <w:r w:rsidRPr="00341A37">
              <w:rPr>
                <w:rFonts w:ascii="Gill Sans MT" w:eastAsia="Calibri" w:hAnsi="Gill Sans MT" w:cs="Calibri"/>
                <w:szCs w:val="22"/>
              </w:rPr>
              <w:t xml:space="preserve">, </w:t>
            </w:r>
            <w:r w:rsidRPr="00341A37">
              <w:rPr>
                <w:rFonts w:ascii="Gill Sans MT" w:eastAsia="Calibri" w:hAnsi="Gill Sans MT" w:cs="Calibri"/>
                <w:i/>
                <w:iCs/>
                <w:szCs w:val="22"/>
              </w:rPr>
              <w:t>Journal of Education Policy</w:t>
            </w:r>
            <w:r w:rsidRPr="00341A37">
              <w:rPr>
                <w:rFonts w:ascii="Gill Sans MT" w:eastAsia="Calibri" w:hAnsi="Gill Sans MT" w:cs="Calibri"/>
                <w:szCs w:val="22"/>
              </w:rPr>
              <w:t>, 25(1)</w:t>
            </w:r>
            <w:r w:rsidR="00341A37">
              <w:rPr>
                <w:rFonts w:ascii="Gill Sans MT" w:eastAsia="Calibri" w:hAnsi="Gill Sans MT" w:cs="Calibri"/>
                <w:szCs w:val="22"/>
              </w:rPr>
              <w:t>,</w:t>
            </w:r>
            <w:r w:rsidRPr="00341A37">
              <w:rPr>
                <w:rFonts w:ascii="Gill Sans MT" w:eastAsia="Calibri" w:hAnsi="Gill Sans MT" w:cs="Calibri"/>
                <w:szCs w:val="22"/>
              </w:rPr>
              <w:t xml:space="preserve"> 37</w:t>
            </w:r>
            <w:r w:rsidR="00341A37">
              <w:rPr>
                <w:rFonts w:ascii="Gill Sans MT" w:eastAsia="Calibri" w:hAnsi="Gill Sans MT" w:cs="Calibri"/>
                <w:szCs w:val="22"/>
              </w:rPr>
              <w:t>–</w:t>
            </w:r>
            <w:r w:rsidRPr="00341A37">
              <w:rPr>
                <w:rFonts w:ascii="Gill Sans MT" w:eastAsia="Calibri" w:hAnsi="Gill Sans MT" w:cs="Calibri"/>
                <w:szCs w:val="22"/>
              </w:rPr>
              <w:t xml:space="preserve">54. </w:t>
            </w:r>
          </w:p>
          <w:p w14:paraId="4BD0B0E6" w14:textId="77777777" w:rsidR="00D852E2" w:rsidRPr="00341A37" w:rsidRDefault="00D852E2" w:rsidP="00A16039">
            <w:pPr>
              <w:rPr>
                <w:rFonts w:ascii="Gill Sans MT" w:hAnsi="Gill Sans MT"/>
                <w:szCs w:val="22"/>
              </w:rPr>
            </w:pPr>
          </w:p>
          <w:p w14:paraId="201F5148" w14:textId="77777777" w:rsidR="00D852E2" w:rsidRPr="00341A37" w:rsidRDefault="00D852E2" w:rsidP="00A16039">
            <w:pPr>
              <w:rPr>
                <w:rFonts w:ascii="Gill Sans MT" w:hAnsi="Gill Sans MT"/>
                <w:szCs w:val="22"/>
              </w:rPr>
            </w:pPr>
            <w:r w:rsidRPr="00341A37">
              <w:rPr>
                <w:rFonts w:ascii="Gill Sans MT" w:hAnsi="Gill Sans MT"/>
                <w:szCs w:val="22"/>
              </w:rPr>
              <w:t>Annotated by Sally Baker</w:t>
            </w:r>
          </w:p>
          <w:p w14:paraId="6C7DF5F2" w14:textId="77777777" w:rsidR="00D852E2" w:rsidRPr="00341A37" w:rsidRDefault="00D852E2" w:rsidP="00A16039">
            <w:pPr>
              <w:rPr>
                <w:rFonts w:ascii="Gill Sans MT" w:hAnsi="Gill Sans MT"/>
                <w:szCs w:val="22"/>
              </w:rPr>
            </w:pPr>
          </w:p>
        </w:tc>
        <w:tc>
          <w:tcPr>
            <w:tcW w:w="10064" w:type="dxa"/>
          </w:tcPr>
          <w:p w14:paraId="375126FF"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Context: </w:t>
            </w:r>
            <w:r w:rsidRPr="00341A37">
              <w:rPr>
                <w:rFonts w:ascii="Gill Sans MT" w:eastAsia="Calibri" w:hAnsi="Gill Sans MT" w:cs="Calibri"/>
                <w:szCs w:val="22"/>
              </w:rPr>
              <w:t>Massification in Higher Education systems has led to new conceptions of what university education is and what it perhaps should be. In the UK, changes in the relationship between HE institutions and the state that (mostly) funds them have led to questions about university qualifications and the constructed notion of ‘employability’.</w:t>
            </w:r>
          </w:p>
          <w:p w14:paraId="3F51D5A2"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Aim: </w:t>
            </w:r>
            <w:r w:rsidRPr="00341A37">
              <w:rPr>
                <w:rFonts w:ascii="Gill Sans MT" w:eastAsia="Calibri" w:hAnsi="Gill Sans MT" w:cs="Calibri"/>
                <w:szCs w:val="22"/>
              </w:rPr>
              <w:t xml:space="preserve">To interrogate discourses relating to the concept of ‘employability’ in relation to the role of Higher Education and the shifting power of the state to influence labour markets to privilege existing forms of capital. One discourse sustaining and justifying massification has been that of a Social Justice imperative. The authors challenge this as a truly </w:t>
            </w:r>
            <w:proofErr w:type="spellStart"/>
            <w:r w:rsidRPr="00341A37">
              <w:rPr>
                <w:rFonts w:ascii="Gill Sans MT" w:eastAsia="Calibri" w:hAnsi="Gill Sans MT" w:cs="Calibri"/>
                <w:szCs w:val="22"/>
              </w:rPr>
              <w:t>legitimising</w:t>
            </w:r>
            <w:proofErr w:type="spellEnd"/>
            <w:r w:rsidRPr="00341A37">
              <w:rPr>
                <w:rFonts w:ascii="Gill Sans MT" w:eastAsia="Calibri" w:hAnsi="Gill Sans MT" w:cs="Calibri"/>
                <w:szCs w:val="22"/>
              </w:rPr>
              <w:t xml:space="preserve"> discourse, suggesting that massification could be simply the newest way of producing workers so that the UK can compete in the global knowledge economy.</w:t>
            </w:r>
          </w:p>
          <w:p w14:paraId="417D8F41"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Findings: </w:t>
            </w:r>
          </w:p>
          <w:p w14:paraId="08ED7D91" w14:textId="77777777" w:rsidR="00D852E2" w:rsidRPr="00341A37" w:rsidRDefault="00D852E2" w:rsidP="00A16039">
            <w:pPr>
              <w:rPr>
                <w:rFonts w:ascii="Gill Sans MT" w:hAnsi="Gill Sans MT"/>
              </w:rPr>
            </w:pPr>
            <w:r w:rsidRPr="00341A37">
              <w:rPr>
                <w:rFonts w:ascii="Gill Sans MT" w:eastAsia="Calibri" w:hAnsi="Gill Sans MT" w:cs="Calibri"/>
                <w:szCs w:val="22"/>
              </w:rPr>
              <w:t>Employability is increasingly a function of universities that is shaped by governments seeking to replace labour markets. The authors argue this has three implications:</w:t>
            </w:r>
          </w:p>
          <w:p w14:paraId="19F6EC0F" w14:textId="77777777" w:rsidR="00D852E2" w:rsidRPr="00341A37" w:rsidRDefault="00D852E2" w:rsidP="00A16039">
            <w:pPr>
              <w:rPr>
                <w:rFonts w:ascii="Gill Sans MT" w:hAnsi="Gill Sans MT"/>
              </w:rPr>
            </w:pPr>
            <w:r w:rsidRPr="00341A37">
              <w:rPr>
                <w:rFonts w:ascii="Gill Sans MT" w:eastAsia="Calibri" w:hAnsi="Gill Sans MT" w:cs="Calibri"/>
                <w:szCs w:val="22"/>
              </w:rPr>
              <w:t>1). increasing power for employers and employer groups;</w:t>
            </w:r>
          </w:p>
          <w:p w14:paraId="30CAC0C2" w14:textId="77777777" w:rsidR="00D852E2" w:rsidRPr="00341A37" w:rsidRDefault="00D852E2" w:rsidP="00A16039">
            <w:pPr>
              <w:rPr>
                <w:rFonts w:ascii="Gill Sans MT" w:hAnsi="Gill Sans MT"/>
              </w:rPr>
            </w:pPr>
            <w:r w:rsidRPr="00341A37">
              <w:rPr>
                <w:rFonts w:ascii="Gill Sans MT" w:eastAsia="Calibri" w:hAnsi="Gill Sans MT" w:cs="Calibri"/>
                <w:szCs w:val="22"/>
              </w:rPr>
              <w:t>2). two tiers of universities (those that produce employees and those that produce employers);</w:t>
            </w:r>
          </w:p>
          <w:p w14:paraId="6D51ACFD" w14:textId="77777777" w:rsidR="00D852E2" w:rsidRPr="00341A37" w:rsidRDefault="00D852E2" w:rsidP="00A16039">
            <w:pPr>
              <w:rPr>
                <w:rFonts w:ascii="Gill Sans MT" w:hAnsi="Gill Sans MT"/>
              </w:rPr>
            </w:pPr>
            <w:r w:rsidRPr="00341A37">
              <w:rPr>
                <w:rFonts w:ascii="Gill Sans MT" w:eastAsia="Calibri" w:hAnsi="Gill Sans MT" w:cs="Calibri"/>
                <w:szCs w:val="22"/>
              </w:rPr>
              <w:t>3). adverse impact on pedagogy and curricula.</w:t>
            </w:r>
          </w:p>
          <w:p w14:paraId="71664FEE"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Relevance to PGCW/ equity: </w:t>
            </w:r>
            <w:r w:rsidRPr="00341A37">
              <w:rPr>
                <w:rFonts w:ascii="Gill Sans MT" w:eastAsia="Calibri" w:hAnsi="Gill Sans MT" w:cs="Calibri"/>
                <w:szCs w:val="22"/>
              </w:rPr>
              <w:t>As the modern massification in undergraduate higher education continues, and the so called ‘</w:t>
            </w:r>
            <w:proofErr w:type="spellStart"/>
            <w:r w:rsidRPr="00341A37">
              <w:rPr>
                <w:rFonts w:ascii="Gill Sans MT" w:eastAsia="Calibri" w:hAnsi="Gill Sans MT" w:cs="Calibri"/>
                <w:szCs w:val="22"/>
              </w:rPr>
              <w:t>neoliberalisation</w:t>
            </w:r>
            <w:proofErr w:type="spellEnd"/>
            <w:r w:rsidRPr="00341A37">
              <w:rPr>
                <w:rFonts w:ascii="Gill Sans MT" w:eastAsia="Calibri" w:hAnsi="Gill Sans MT" w:cs="Calibri"/>
                <w:szCs w:val="22"/>
              </w:rPr>
              <w:t xml:space="preserve">’ of universities continues, how possible will it be for students from differently privileged backgrounds to maintain footing in the </w:t>
            </w:r>
            <w:proofErr w:type="gramStart"/>
            <w:r w:rsidRPr="00341A37">
              <w:rPr>
                <w:rFonts w:ascii="Gill Sans MT" w:eastAsia="Calibri" w:hAnsi="Gill Sans MT" w:cs="Calibri"/>
                <w:szCs w:val="22"/>
              </w:rPr>
              <w:t>qualifications</w:t>
            </w:r>
            <w:proofErr w:type="gramEnd"/>
            <w:r w:rsidRPr="00341A37">
              <w:rPr>
                <w:rFonts w:ascii="Gill Sans MT" w:eastAsia="Calibri" w:hAnsi="Gill Sans MT" w:cs="Calibri"/>
                <w:szCs w:val="22"/>
              </w:rPr>
              <w:t xml:space="preserve"> arms race?</w:t>
            </w:r>
          </w:p>
          <w:p w14:paraId="7D155E8F"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Pedagogical intervention suggested? </w:t>
            </w:r>
            <w:r w:rsidRPr="00341A37">
              <w:rPr>
                <w:rFonts w:ascii="Gill Sans MT" w:eastAsia="Calibri" w:hAnsi="Gill Sans MT" w:cs="Calibri"/>
                <w:szCs w:val="22"/>
              </w:rPr>
              <w:t>Clear reference to the importance of capacity building education and, for example, Freirean approaches in terms of opposing the ‘banking’ pedagogical model the authors suggest the discourses being critiqued encourage in the ‘neoliberal university’.</w:t>
            </w:r>
          </w:p>
          <w:p w14:paraId="37D992F4" w14:textId="77777777" w:rsidR="00D852E2" w:rsidRPr="00341A37" w:rsidRDefault="00D852E2" w:rsidP="00A16039">
            <w:pPr>
              <w:rPr>
                <w:rFonts w:ascii="Gill Sans MT" w:hAnsi="Gill Sans MT"/>
                <w:b/>
                <w:color w:val="000000"/>
                <w:szCs w:val="22"/>
                <w:lang w:val="en-AU"/>
              </w:rPr>
            </w:pPr>
            <w:r w:rsidRPr="00341A37">
              <w:rPr>
                <w:rFonts w:ascii="Gill Sans MT" w:eastAsia="Calibri" w:hAnsi="Gill Sans MT" w:cs="Calibri"/>
                <w:b/>
                <w:bCs/>
                <w:szCs w:val="22"/>
              </w:rPr>
              <w:t xml:space="preserve">Points to future research agenda? </w:t>
            </w:r>
            <w:r w:rsidRPr="00341A37">
              <w:rPr>
                <w:rFonts w:ascii="Gill Sans MT" w:eastAsia="Calibri" w:hAnsi="Gill Sans MT" w:cs="Calibri"/>
                <w:szCs w:val="22"/>
              </w:rPr>
              <w:t>Exploring the ‘prospect of the reward’ from PGCW study among certain groups of students to understand whether they will be reluctant to self-invest in their education when they might not have ready cash or available credit to do so.</w:t>
            </w:r>
          </w:p>
        </w:tc>
      </w:tr>
      <w:tr w:rsidR="00D852E2" w:rsidRPr="00341A37" w14:paraId="12CF3F7D" w14:textId="77777777" w:rsidTr="00A16039">
        <w:tc>
          <w:tcPr>
            <w:tcW w:w="5529" w:type="dxa"/>
          </w:tcPr>
          <w:p w14:paraId="39BFEC1E" w14:textId="0E62712A" w:rsidR="00D852E2" w:rsidRPr="00341A37" w:rsidRDefault="00D852E2" w:rsidP="00A16039">
            <w:pPr>
              <w:rPr>
                <w:rFonts w:ascii="Gill Sans MT" w:hAnsi="Gill Sans MT"/>
              </w:rPr>
            </w:pPr>
            <w:proofErr w:type="spellStart"/>
            <w:r w:rsidRPr="00341A37">
              <w:rPr>
                <w:rFonts w:ascii="Gill Sans MT" w:eastAsia="Calibri" w:hAnsi="Gill Sans MT" w:cs="Calibri"/>
                <w:szCs w:val="22"/>
              </w:rPr>
              <w:t>d’Aguiar</w:t>
            </w:r>
            <w:proofErr w:type="spellEnd"/>
            <w:r w:rsidRPr="00341A37">
              <w:rPr>
                <w:rFonts w:ascii="Gill Sans MT" w:eastAsia="Calibri" w:hAnsi="Gill Sans MT" w:cs="Calibri"/>
                <w:szCs w:val="22"/>
              </w:rPr>
              <w:t xml:space="preserve">, S., &amp; Harrison, N. (2015). </w:t>
            </w:r>
            <w:hyperlink r:id="rId9" w:history="1">
              <w:r w:rsidRPr="00341A37">
                <w:rPr>
                  <w:rStyle w:val="Hyperlink"/>
                  <w:rFonts w:ascii="Gill Sans MT" w:eastAsia="Calibri" w:hAnsi="Gill Sans MT" w:cs="Calibri"/>
                  <w:szCs w:val="22"/>
                </w:rPr>
                <w:t xml:space="preserve">Returning from earning: UK graduates returning to postgraduate study, with </w:t>
              </w:r>
              <w:r w:rsidRPr="00341A37">
                <w:rPr>
                  <w:rStyle w:val="Hyperlink"/>
                  <w:rFonts w:ascii="Gill Sans MT" w:eastAsia="Calibri" w:hAnsi="Gill Sans MT" w:cs="Calibri"/>
                  <w:szCs w:val="22"/>
                </w:rPr>
                <w:lastRenderedPageBreak/>
                <w:t>particular respect to STEM subjects, gender and ethnicity</w:t>
              </w:r>
            </w:hyperlink>
            <w:r w:rsidR="00313BB4">
              <w:rPr>
                <w:rStyle w:val="Hyperlink"/>
              </w:rPr>
              <w:t>,</w:t>
            </w:r>
            <w:r w:rsidRPr="00341A37">
              <w:rPr>
                <w:rFonts w:ascii="Gill Sans MT" w:eastAsia="Calibri" w:hAnsi="Gill Sans MT" w:cs="Calibri"/>
                <w:szCs w:val="22"/>
              </w:rPr>
              <w:t xml:space="preserve"> </w:t>
            </w:r>
            <w:r w:rsidRPr="00341A37">
              <w:rPr>
                <w:rFonts w:ascii="Gill Sans MT" w:eastAsia="Calibri" w:hAnsi="Gill Sans MT" w:cs="Calibri"/>
                <w:i/>
                <w:iCs/>
                <w:szCs w:val="22"/>
              </w:rPr>
              <w:t>Journal of Education and Work</w:t>
            </w:r>
            <w:r w:rsidRPr="00341A37">
              <w:rPr>
                <w:rFonts w:ascii="Gill Sans MT" w:eastAsia="Calibri" w:hAnsi="Gill Sans MT" w:cs="Calibri"/>
                <w:szCs w:val="22"/>
              </w:rPr>
              <w:t xml:space="preserve">, </w:t>
            </w:r>
          </w:p>
          <w:p w14:paraId="1D30CDD7" w14:textId="77777777" w:rsidR="00D852E2" w:rsidRPr="00341A37" w:rsidRDefault="00D852E2" w:rsidP="00A16039">
            <w:pPr>
              <w:rPr>
                <w:rFonts w:ascii="Gill Sans MT" w:eastAsia="Calibri" w:hAnsi="Gill Sans MT" w:cs="Calibri"/>
                <w:color w:val="0000FF"/>
                <w:szCs w:val="22"/>
              </w:rPr>
            </w:pPr>
          </w:p>
          <w:p w14:paraId="745569F9" w14:textId="77777777" w:rsidR="00D852E2" w:rsidRPr="00341A37" w:rsidRDefault="00D852E2" w:rsidP="00A16039">
            <w:pPr>
              <w:rPr>
                <w:rFonts w:ascii="Gill Sans MT" w:hAnsi="Gill Sans MT"/>
                <w:szCs w:val="22"/>
              </w:rPr>
            </w:pPr>
            <w:r w:rsidRPr="00341A37">
              <w:rPr>
                <w:rFonts w:ascii="Gill Sans MT" w:hAnsi="Gill Sans MT"/>
                <w:szCs w:val="22"/>
              </w:rPr>
              <w:t>Annotated by Sally Baker</w:t>
            </w:r>
          </w:p>
          <w:p w14:paraId="0BCF707E" w14:textId="77777777" w:rsidR="00D852E2" w:rsidRPr="00341A37" w:rsidRDefault="00D852E2" w:rsidP="00A16039">
            <w:pPr>
              <w:rPr>
                <w:rFonts w:ascii="Gill Sans MT" w:hAnsi="Gill Sans MT"/>
                <w:szCs w:val="22"/>
              </w:rPr>
            </w:pPr>
          </w:p>
        </w:tc>
        <w:tc>
          <w:tcPr>
            <w:tcW w:w="10064" w:type="dxa"/>
          </w:tcPr>
          <w:p w14:paraId="301B4F24"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lastRenderedPageBreak/>
              <w:t xml:space="preserve">Context: </w:t>
            </w:r>
            <w:r w:rsidRPr="00341A37">
              <w:rPr>
                <w:rFonts w:ascii="Gill Sans MT" w:eastAsia="Calibri" w:hAnsi="Gill Sans MT" w:cs="Calibri"/>
                <w:szCs w:val="22"/>
              </w:rPr>
              <w:t xml:space="preserve">In the UK, it has been argued that students graduate from higher education lacking skills necessary for employment. Graduates of STEM disciplines in particular (Science, Technology, Engineering and </w:t>
            </w:r>
            <w:r w:rsidRPr="00341A37">
              <w:rPr>
                <w:rFonts w:ascii="Gill Sans MT" w:eastAsia="Calibri" w:hAnsi="Gill Sans MT" w:cs="Calibri"/>
                <w:szCs w:val="22"/>
              </w:rPr>
              <w:lastRenderedPageBreak/>
              <w:t>Mathematics) have been described in public commentary as being unready for the world of work.</w:t>
            </w:r>
          </w:p>
          <w:p w14:paraId="22B7E8DA"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Aim: </w:t>
            </w:r>
            <w:r w:rsidRPr="00341A37">
              <w:rPr>
                <w:rFonts w:ascii="Gill Sans MT" w:eastAsia="Calibri" w:hAnsi="Gill Sans MT" w:cs="Calibri"/>
                <w:szCs w:val="22"/>
              </w:rPr>
              <w:t>To fill a perceived gap in the literature where the authors report little empirical work has been done to analyse national quantitative data, with particular reference to the asserted hypothesis that “STEM graduates are, on average, less prepared for graduate employment than their peers who studied non-STEM subjects.”</w:t>
            </w:r>
          </w:p>
          <w:p w14:paraId="046CC5B2"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Hypothesis:</w:t>
            </w:r>
            <w:r w:rsidRPr="00341A37">
              <w:rPr>
                <w:rFonts w:ascii="Gill Sans MT" w:eastAsia="Calibri" w:hAnsi="Gill Sans MT" w:cs="Calibri"/>
                <w:szCs w:val="22"/>
              </w:rPr>
              <w:t xml:space="preserve"> Author’s own hypothesis to be explored through examining publicly available data is in opposition to the public commentary; “Those entering the workforce and then returning for taught postgraduate study are primarily doing so due to underemployment in the period following graduation.”</w:t>
            </w:r>
          </w:p>
          <w:p w14:paraId="5BE8F09D"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Methodology:  </w:t>
            </w:r>
            <w:r w:rsidRPr="00341A37">
              <w:rPr>
                <w:rFonts w:ascii="Gill Sans MT" w:eastAsia="Calibri" w:hAnsi="Gill Sans MT" w:cs="Calibri"/>
                <w:szCs w:val="22"/>
              </w:rPr>
              <w:t>Binary logistic regression of three large-scale national datasets from the UK including the results of the Destinations of Leavers from Higher Education surveys.</w:t>
            </w:r>
          </w:p>
          <w:p w14:paraId="1263A4A9"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Findings: </w:t>
            </w:r>
          </w:p>
          <w:p w14:paraId="13B090E8" w14:textId="77777777" w:rsidR="00D852E2" w:rsidRPr="00341A37" w:rsidRDefault="00D852E2" w:rsidP="00A16039">
            <w:pPr>
              <w:rPr>
                <w:rFonts w:ascii="Gill Sans MT" w:hAnsi="Gill Sans MT"/>
              </w:rPr>
            </w:pPr>
            <w:r w:rsidRPr="00341A37">
              <w:rPr>
                <w:rFonts w:ascii="Gill Sans MT" w:eastAsia="Calibri" w:hAnsi="Gill Sans MT" w:cs="Calibri"/>
                <w:szCs w:val="22"/>
              </w:rPr>
              <w:t>1).</w:t>
            </w:r>
            <w:r w:rsidRPr="00341A37">
              <w:rPr>
                <w:rFonts w:ascii="Gill Sans MT" w:eastAsia="Calibri" w:hAnsi="Gill Sans MT" w:cs="Calibri"/>
                <w:b/>
                <w:bCs/>
                <w:szCs w:val="22"/>
              </w:rPr>
              <w:t xml:space="preserve"> </w:t>
            </w:r>
            <w:r w:rsidRPr="00341A37">
              <w:rPr>
                <w:rFonts w:ascii="Gill Sans MT" w:eastAsia="Calibri" w:hAnsi="Gill Sans MT" w:cs="Calibri"/>
                <w:szCs w:val="22"/>
              </w:rPr>
              <w:t>a range of educational, demographic and employment-based variables have a significant relationship with the propensity to return for taught postgraduate study;</w:t>
            </w:r>
          </w:p>
          <w:p w14:paraId="77B3DFE1" w14:textId="77777777" w:rsidR="00D852E2" w:rsidRPr="00341A37" w:rsidRDefault="00D852E2" w:rsidP="00A16039">
            <w:pPr>
              <w:rPr>
                <w:rFonts w:ascii="Gill Sans MT" w:hAnsi="Gill Sans MT"/>
              </w:rPr>
            </w:pPr>
            <w:r w:rsidRPr="00341A37">
              <w:rPr>
                <w:rFonts w:ascii="Gill Sans MT" w:eastAsia="Calibri" w:hAnsi="Gill Sans MT" w:cs="Calibri"/>
                <w:szCs w:val="22"/>
              </w:rPr>
              <w:t>2). returners tend to be high achievers from elite universities in low skill work after graduation, as well as women and those from minority ethnic communities, suggesting a mix of individual and structural factors;</w:t>
            </w:r>
          </w:p>
          <w:p w14:paraId="4AA0C581" w14:textId="77777777" w:rsidR="00D852E2" w:rsidRPr="00341A37" w:rsidRDefault="00D852E2" w:rsidP="00A16039">
            <w:pPr>
              <w:rPr>
                <w:rFonts w:ascii="Gill Sans MT" w:hAnsi="Gill Sans MT"/>
              </w:rPr>
            </w:pPr>
            <w:r w:rsidRPr="00341A37">
              <w:rPr>
                <w:rFonts w:ascii="Gill Sans MT" w:eastAsia="Calibri" w:hAnsi="Gill Sans MT" w:cs="Calibri"/>
                <w:szCs w:val="22"/>
              </w:rPr>
              <w:t>3). STEM graduates were significantly less likely to return, challenging the argument advanced by some in the UK community that “STEM graduates are, on average, less prepared for graduate employment than their peers who studied non-STEM subjects.”</w:t>
            </w:r>
          </w:p>
          <w:p w14:paraId="14C5CEFE"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Relevance to PGCW/ equity: </w:t>
            </w:r>
          </w:p>
          <w:p w14:paraId="03A293AF" w14:textId="77777777" w:rsidR="00D852E2" w:rsidRPr="00341A37" w:rsidRDefault="00D852E2" w:rsidP="00A16039">
            <w:pPr>
              <w:rPr>
                <w:rFonts w:ascii="Gill Sans MT" w:hAnsi="Gill Sans MT"/>
              </w:rPr>
            </w:pPr>
            <w:r w:rsidRPr="00341A37">
              <w:rPr>
                <w:rFonts w:ascii="Gill Sans MT" w:eastAsia="Calibri" w:hAnsi="Gill Sans MT" w:cs="Calibri"/>
                <w:szCs w:val="22"/>
              </w:rPr>
              <w:t>“…findings add weight to the contention that women and those from ethnic minority communities are finding and/or perceiving it difficult to compete on a level playing field; this feature appears particularly strong within STEM subjects.”</w:t>
            </w:r>
          </w:p>
          <w:p w14:paraId="4DFA837B"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Points to future research agenda? </w:t>
            </w:r>
          </w:p>
          <w:p w14:paraId="1E92DBEE" w14:textId="77777777" w:rsidR="00D852E2" w:rsidRPr="00341A37" w:rsidRDefault="00D852E2" w:rsidP="00A16039">
            <w:pPr>
              <w:rPr>
                <w:rFonts w:ascii="Gill Sans MT" w:hAnsi="Gill Sans MT"/>
              </w:rPr>
            </w:pPr>
            <w:r w:rsidRPr="00341A37">
              <w:rPr>
                <w:rFonts w:ascii="Gill Sans MT" w:eastAsia="Calibri" w:hAnsi="Gill Sans MT" w:cs="Calibri"/>
                <w:szCs w:val="22"/>
              </w:rPr>
              <w:t>1). Replicating study with access to SES data as it is noted as a potential factor that could not be included in the analysis</w:t>
            </w:r>
          </w:p>
          <w:p w14:paraId="030BEF90" w14:textId="77777777" w:rsidR="00D852E2" w:rsidRPr="00341A37" w:rsidRDefault="00D852E2" w:rsidP="00A16039">
            <w:pPr>
              <w:rPr>
                <w:rFonts w:ascii="Gill Sans MT" w:hAnsi="Gill Sans MT"/>
              </w:rPr>
            </w:pPr>
            <w:r w:rsidRPr="00341A37">
              <w:rPr>
                <w:rFonts w:ascii="Gill Sans MT" w:eastAsia="Calibri" w:hAnsi="Gill Sans MT" w:cs="Calibri"/>
                <w:szCs w:val="22"/>
              </w:rPr>
              <w:t>1). Better understanding why pre-1992 university graduates are nearly twice as likely to return than post-1992 university graduates given that these are historically institutions accepting more privileged students.</w:t>
            </w:r>
          </w:p>
          <w:p w14:paraId="7BF22054" w14:textId="1BB9C9E3" w:rsidR="00D852E2" w:rsidRPr="00341A37" w:rsidRDefault="00D852E2" w:rsidP="00A16039">
            <w:pPr>
              <w:rPr>
                <w:rFonts w:ascii="Gill Sans MT" w:hAnsi="Gill Sans MT"/>
                <w:b/>
                <w:color w:val="000000"/>
                <w:szCs w:val="22"/>
                <w:lang w:val="en-AU"/>
              </w:rPr>
            </w:pPr>
            <w:r w:rsidRPr="00341A37">
              <w:rPr>
                <w:rFonts w:ascii="Gill Sans MT" w:eastAsia="Calibri" w:hAnsi="Gill Sans MT" w:cs="Calibri"/>
                <w:szCs w:val="22"/>
              </w:rPr>
              <w:t>2)</w:t>
            </w:r>
            <w:r w:rsidR="00EB5422">
              <w:rPr>
                <w:rFonts w:ascii="Gill Sans MT" w:eastAsia="Calibri" w:hAnsi="Gill Sans MT" w:cs="Calibri"/>
                <w:szCs w:val="22"/>
              </w:rPr>
              <w:t xml:space="preserve"> </w:t>
            </w:r>
            <w:r w:rsidRPr="00341A37">
              <w:rPr>
                <w:rFonts w:ascii="Gill Sans MT" w:eastAsia="Calibri" w:hAnsi="Gill Sans MT" w:cs="Calibri"/>
                <w:szCs w:val="22"/>
              </w:rPr>
              <w:t>The samples reference also includes a large number of returners that do not fit the ‘typical’ profile. A more qualitative effort to understand the full range of factors and unpick the quantitative patterns would be a contribution to the field.</w:t>
            </w:r>
          </w:p>
        </w:tc>
      </w:tr>
      <w:tr w:rsidR="00D852E2" w:rsidRPr="00341A37" w14:paraId="68B316CE" w14:textId="77777777" w:rsidTr="00A16039">
        <w:tc>
          <w:tcPr>
            <w:tcW w:w="5529" w:type="dxa"/>
          </w:tcPr>
          <w:p w14:paraId="33C36A77" w14:textId="09C5E51F" w:rsidR="00D852E2" w:rsidRPr="00341A37" w:rsidRDefault="00D852E2" w:rsidP="00A16039">
            <w:pPr>
              <w:rPr>
                <w:rFonts w:ascii="Gill Sans MT" w:eastAsia="Calibri" w:hAnsi="Gill Sans MT" w:cs="Calibri"/>
                <w:szCs w:val="22"/>
              </w:rPr>
            </w:pPr>
            <w:r w:rsidRPr="00341A37">
              <w:rPr>
                <w:rFonts w:ascii="Gill Sans MT" w:eastAsia="Calibri" w:hAnsi="Gill Sans MT" w:cs="Calibri"/>
                <w:szCs w:val="22"/>
              </w:rPr>
              <w:lastRenderedPageBreak/>
              <w:t xml:space="preserve">Gale, T. &amp; Parker, S. (2014). </w:t>
            </w:r>
            <w:hyperlink r:id="rId10" w:history="1">
              <w:r w:rsidRPr="00341A37">
                <w:rPr>
                  <w:rStyle w:val="Hyperlink"/>
                  <w:rFonts w:ascii="Gill Sans MT" w:eastAsia="Calibri" w:hAnsi="Gill Sans MT" w:cs="Calibri"/>
                  <w:szCs w:val="22"/>
                </w:rPr>
                <w:t>Navigating student transition in higher education: induction, development, becoming</w:t>
              </w:r>
            </w:hyperlink>
            <w:r w:rsidRPr="00341A37">
              <w:rPr>
                <w:rFonts w:ascii="Gill Sans MT" w:eastAsia="Calibri" w:hAnsi="Gill Sans MT" w:cs="Calibri"/>
                <w:szCs w:val="22"/>
              </w:rPr>
              <w:t xml:space="preserve">, </w:t>
            </w:r>
            <w:r w:rsidRPr="00341A37">
              <w:rPr>
                <w:rFonts w:ascii="Gill Sans MT" w:eastAsia="Calibri" w:hAnsi="Gill Sans MT" w:cs="Calibri"/>
                <w:i/>
                <w:iCs/>
                <w:szCs w:val="22"/>
              </w:rPr>
              <w:t xml:space="preserve">Universities in transition: foregrounding social contexts of </w:t>
            </w:r>
            <w:r w:rsidRPr="00341A37">
              <w:rPr>
                <w:rFonts w:ascii="Gill Sans MT" w:eastAsia="Calibri" w:hAnsi="Gill Sans MT" w:cs="Calibri"/>
                <w:i/>
                <w:iCs/>
                <w:szCs w:val="22"/>
              </w:rPr>
              <w:lastRenderedPageBreak/>
              <w:t>knowledge in the first year experience</w:t>
            </w:r>
            <w:r w:rsidRPr="00341A37">
              <w:rPr>
                <w:rFonts w:ascii="Gill Sans MT" w:eastAsia="Calibri" w:hAnsi="Gill Sans MT" w:cs="Calibri"/>
                <w:szCs w:val="22"/>
              </w:rPr>
              <w:t>, University of Adelaide Press, Adelaide, S. A., pp.13</w:t>
            </w:r>
            <w:r w:rsidR="00313BB4">
              <w:rPr>
                <w:rFonts w:ascii="Gill Sans MT" w:eastAsia="Calibri" w:hAnsi="Gill Sans MT" w:cs="Calibri"/>
                <w:szCs w:val="22"/>
              </w:rPr>
              <w:t>–</w:t>
            </w:r>
            <w:r w:rsidRPr="00341A37">
              <w:rPr>
                <w:rFonts w:ascii="Gill Sans MT" w:eastAsia="Calibri" w:hAnsi="Gill Sans MT" w:cs="Calibri"/>
                <w:szCs w:val="22"/>
              </w:rPr>
              <w:t>39.</w:t>
            </w:r>
          </w:p>
          <w:p w14:paraId="6AD818B7" w14:textId="77777777" w:rsidR="00D852E2" w:rsidRPr="00341A37" w:rsidRDefault="00D852E2" w:rsidP="00A16039">
            <w:pPr>
              <w:rPr>
                <w:rFonts w:ascii="Gill Sans MT" w:eastAsia="Calibri" w:hAnsi="Gill Sans MT" w:cs="Calibri"/>
                <w:szCs w:val="22"/>
              </w:rPr>
            </w:pPr>
          </w:p>
          <w:p w14:paraId="7F391B3D" w14:textId="77777777" w:rsidR="00D852E2" w:rsidRPr="00341A37" w:rsidRDefault="00D852E2" w:rsidP="00A16039">
            <w:pPr>
              <w:rPr>
                <w:rFonts w:ascii="Gill Sans MT" w:eastAsia="Calibri" w:hAnsi="Gill Sans MT" w:cs="Calibri"/>
                <w:szCs w:val="22"/>
              </w:rPr>
            </w:pPr>
            <w:r w:rsidRPr="00341A37">
              <w:rPr>
                <w:rFonts w:ascii="Gill Sans MT" w:eastAsia="Calibri" w:hAnsi="Gill Sans MT" w:cs="Calibri"/>
                <w:szCs w:val="22"/>
              </w:rPr>
              <w:t>AUS</w:t>
            </w:r>
          </w:p>
          <w:p w14:paraId="4CD6EF9E" w14:textId="77777777" w:rsidR="00D852E2" w:rsidRPr="00341A37" w:rsidRDefault="00D852E2" w:rsidP="00A16039">
            <w:pPr>
              <w:rPr>
                <w:rFonts w:ascii="Gill Sans MT" w:hAnsi="Gill Sans MT"/>
                <w:szCs w:val="22"/>
              </w:rPr>
            </w:pPr>
            <w:r w:rsidRPr="00341A37">
              <w:rPr>
                <w:rFonts w:ascii="Gill Sans MT" w:hAnsi="Gill Sans MT"/>
                <w:szCs w:val="22"/>
              </w:rPr>
              <w:t>Annotated by Sally Baker</w:t>
            </w:r>
          </w:p>
          <w:p w14:paraId="6CB34EFF" w14:textId="77777777" w:rsidR="00D852E2" w:rsidRPr="00341A37" w:rsidRDefault="00D852E2" w:rsidP="00A16039">
            <w:pPr>
              <w:rPr>
                <w:rFonts w:ascii="Gill Sans MT" w:hAnsi="Gill Sans MT"/>
                <w:szCs w:val="22"/>
              </w:rPr>
            </w:pPr>
          </w:p>
        </w:tc>
        <w:tc>
          <w:tcPr>
            <w:tcW w:w="10064" w:type="dxa"/>
          </w:tcPr>
          <w:p w14:paraId="35EA7B3B"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lastRenderedPageBreak/>
              <w:t>Context:</w:t>
            </w:r>
            <w:r w:rsidRPr="00341A37">
              <w:rPr>
                <w:rFonts w:ascii="Gill Sans MT" w:eastAsia="Calibri" w:hAnsi="Gill Sans MT" w:cs="Calibri"/>
                <w:szCs w:val="22"/>
              </w:rPr>
              <w:t xml:space="preserve"> The growing OECD trend to massification in higher education has led to an increased interest in methods and modes of student transition. During this time, ‘transition’ as a concept has mostly remained uncontested and one-dimensional.</w:t>
            </w:r>
          </w:p>
          <w:p w14:paraId="7F86642A"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lastRenderedPageBreak/>
              <w:t xml:space="preserve">Aim: </w:t>
            </w:r>
            <w:r w:rsidRPr="00341A37">
              <w:rPr>
                <w:rFonts w:ascii="Gill Sans MT" w:eastAsia="Calibri" w:hAnsi="Gill Sans MT" w:cs="Calibri"/>
                <w:szCs w:val="22"/>
              </w:rPr>
              <w:t xml:space="preserve">The authors aim to problematise the notion of transition in higher education. They aim to better </w:t>
            </w:r>
            <w:proofErr w:type="spellStart"/>
            <w:r w:rsidRPr="00341A37">
              <w:rPr>
                <w:rFonts w:ascii="Gill Sans MT" w:eastAsia="Calibri" w:hAnsi="Gill Sans MT" w:cs="Calibri"/>
                <w:szCs w:val="22"/>
              </w:rPr>
              <w:t>theorise</w:t>
            </w:r>
            <w:proofErr w:type="spellEnd"/>
            <w:r w:rsidRPr="00341A37">
              <w:rPr>
                <w:rFonts w:ascii="Gill Sans MT" w:eastAsia="Calibri" w:hAnsi="Gill Sans MT" w:cs="Calibri"/>
                <w:szCs w:val="22"/>
              </w:rPr>
              <w:t xml:space="preserve"> the concept of transition, in ways that are sympathetic to the lived experiences of students. </w:t>
            </w:r>
          </w:p>
          <w:p w14:paraId="61BDA860"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Findings: </w:t>
            </w:r>
          </w:p>
          <w:p w14:paraId="43F1544D" w14:textId="77777777" w:rsidR="00D852E2" w:rsidRPr="00341A37" w:rsidRDefault="00D852E2" w:rsidP="00A16039">
            <w:pPr>
              <w:rPr>
                <w:rFonts w:ascii="Gill Sans MT" w:hAnsi="Gill Sans MT"/>
              </w:rPr>
            </w:pPr>
            <w:r w:rsidRPr="00341A37">
              <w:rPr>
                <w:rFonts w:ascii="Gill Sans MT" w:eastAsia="Calibri" w:hAnsi="Gill Sans MT" w:cs="Calibri"/>
                <w:szCs w:val="22"/>
              </w:rPr>
              <w:t>1). transition tends to be conceived of in three ways — as induction, transformation and becoming — each of which lead to different transition policies, programs and research endeavours.</w:t>
            </w:r>
          </w:p>
          <w:p w14:paraId="1C3BD741" w14:textId="77777777" w:rsidR="00D852E2" w:rsidRPr="00341A37" w:rsidRDefault="00D852E2" w:rsidP="00A16039">
            <w:pPr>
              <w:rPr>
                <w:rFonts w:ascii="Gill Sans MT" w:hAnsi="Gill Sans MT"/>
              </w:rPr>
            </w:pPr>
            <w:r w:rsidRPr="00341A37">
              <w:rPr>
                <w:rFonts w:ascii="Gill Sans MT" w:eastAsia="Calibri" w:hAnsi="Gill Sans MT" w:cs="Calibri"/>
                <w:szCs w:val="22"/>
              </w:rPr>
              <w:t>2). much policy, research and practice in relation to student transition into HE is disconnected from the extensive research literature on youth and life transitions and from education and social theory.</w:t>
            </w:r>
          </w:p>
          <w:p w14:paraId="3EBDA4D1" w14:textId="77777777" w:rsidR="00D852E2" w:rsidRPr="00341A37" w:rsidRDefault="00D852E2" w:rsidP="00A16039">
            <w:pPr>
              <w:rPr>
                <w:rFonts w:ascii="Gill Sans MT" w:hAnsi="Gill Sans MT"/>
              </w:rPr>
            </w:pPr>
            <w:r w:rsidRPr="00341A37">
              <w:rPr>
                <w:rFonts w:ascii="Gill Sans MT" w:eastAsia="Calibri" w:hAnsi="Gill Sans MT" w:cs="Calibri"/>
                <w:szCs w:val="22"/>
              </w:rPr>
              <w:t>3). the current dominant conception of student transition into HE tends to lead to policy, research and practice that are largely system-driven and system-serving.</w:t>
            </w:r>
          </w:p>
          <w:p w14:paraId="0C68B55A" w14:textId="77777777" w:rsidR="00D852E2" w:rsidRPr="00341A37" w:rsidRDefault="00D852E2" w:rsidP="00A16039">
            <w:pPr>
              <w:rPr>
                <w:rFonts w:ascii="Gill Sans MT" w:hAnsi="Gill Sans MT"/>
              </w:rPr>
            </w:pPr>
            <w:r w:rsidRPr="00341A37">
              <w:rPr>
                <w:rFonts w:ascii="Gill Sans MT" w:eastAsia="Calibri" w:hAnsi="Gill Sans MT" w:cs="Calibri"/>
                <w:szCs w:val="22"/>
              </w:rPr>
              <w:t>4). interest in student transition into HE has focused narrowly on undergraduate students, particularly those in their first year, who are undertaking courses in a select cluster of disciplines.</w:t>
            </w:r>
          </w:p>
          <w:p w14:paraId="280205DA"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Relevance to PGCW/ equity:</w:t>
            </w:r>
          </w:p>
          <w:p w14:paraId="70A752F6"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Pedagogical intervention suggested? </w:t>
            </w:r>
          </w:p>
          <w:p w14:paraId="5E268E3E" w14:textId="77777777" w:rsidR="00D852E2" w:rsidRPr="00341A37" w:rsidRDefault="00D852E2" w:rsidP="00A16039">
            <w:pPr>
              <w:rPr>
                <w:rFonts w:ascii="Gill Sans MT" w:hAnsi="Gill Sans MT"/>
              </w:rPr>
            </w:pPr>
            <w:r w:rsidRPr="00341A37">
              <w:rPr>
                <w:rFonts w:ascii="Gill Sans MT" w:eastAsia="Calibri" w:hAnsi="Gill Sans MT" w:cs="Calibri"/>
                <w:szCs w:val="22"/>
              </w:rPr>
              <w:t>Reference to a 'transition pedagogy' approach rather than actual pedagogical interventions themselves. This approach would be to designing higher education that is “</w:t>
            </w:r>
            <w:r w:rsidRPr="00341A37">
              <w:rPr>
                <w:rFonts w:ascii="Gill Sans MT" w:eastAsia="Calibri" w:hAnsi="Gill Sans MT" w:cs="Calibri"/>
                <w:i/>
                <w:iCs/>
                <w:szCs w:val="22"/>
              </w:rPr>
              <w:t xml:space="preserve">coherent </w:t>
            </w:r>
            <w:r w:rsidRPr="00341A37">
              <w:rPr>
                <w:rFonts w:ascii="Gill Sans MT" w:eastAsia="Calibri" w:hAnsi="Gill Sans MT" w:cs="Calibri"/>
                <w:szCs w:val="22"/>
              </w:rPr>
              <w:t xml:space="preserve">(institution-wide policy, practice and governance structures), </w:t>
            </w:r>
            <w:r w:rsidRPr="00341A37">
              <w:rPr>
                <w:rFonts w:ascii="Gill Sans MT" w:eastAsia="Calibri" w:hAnsi="Gill Sans MT" w:cs="Calibri"/>
                <w:i/>
                <w:iCs/>
                <w:szCs w:val="22"/>
              </w:rPr>
              <w:t>integrated</w:t>
            </w:r>
            <w:r w:rsidRPr="00341A37">
              <w:rPr>
                <w:rFonts w:ascii="Gill Sans MT" w:eastAsia="Calibri" w:hAnsi="Gill Sans MT" w:cs="Calibri"/>
                <w:szCs w:val="22"/>
              </w:rPr>
              <w:t xml:space="preserve"> (embedded across an entire institution and all of its disciplines, programs, and services), </w:t>
            </w:r>
            <w:proofErr w:type="spellStart"/>
            <w:r w:rsidRPr="00341A37">
              <w:rPr>
                <w:rFonts w:ascii="Gill Sans MT" w:eastAsia="Calibri" w:hAnsi="Gill Sans MT" w:cs="Calibri"/>
                <w:i/>
                <w:iCs/>
                <w:szCs w:val="22"/>
              </w:rPr>
              <w:t>co-ordinated</w:t>
            </w:r>
            <w:proofErr w:type="spellEnd"/>
            <w:r w:rsidRPr="00341A37">
              <w:rPr>
                <w:rFonts w:ascii="Gill Sans MT" w:eastAsia="Calibri" w:hAnsi="Gill Sans MT" w:cs="Calibri"/>
                <w:szCs w:val="22"/>
              </w:rPr>
              <w:t xml:space="preserve"> (a seamless FYE that is institution-wide, rather than separate, 'siloed' initiatives) and </w:t>
            </w:r>
            <w:r w:rsidRPr="00341A37">
              <w:rPr>
                <w:rFonts w:ascii="Gill Sans MT" w:eastAsia="Calibri" w:hAnsi="Gill Sans MT" w:cs="Calibri"/>
                <w:i/>
                <w:iCs/>
                <w:szCs w:val="22"/>
              </w:rPr>
              <w:t>intentional</w:t>
            </w:r>
            <w:r w:rsidRPr="00341A37">
              <w:rPr>
                <w:rFonts w:ascii="Gill Sans MT" w:eastAsia="Calibri" w:hAnsi="Gill Sans MT" w:cs="Calibri"/>
                <w:szCs w:val="22"/>
              </w:rPr>
              <w:t xml:space="preserve"> (an awareness that curriculum is what students have in common and using curriculum to influence the experience of all students).” p.20</w:t>
            </w:r>
          </w:p>
          <w:p w14:paraId="082BC980"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Points to future research agenda?</w:t>
            </w:r>
          </w:p>
          <w:p w14:paraId="12DDF956" w14:textId="77777777" w:rsidR="00D852E2" w:rsidRPr="00341A37" w:rsidRDefault="00D852E2" w:rsidP="00A16039">
            <w:pPr>
              <w:rPr>
                <w:rFonts w:ascii="Gill Sans MT" w:hAnsi="Gill Sans MT"/>
                <w:b/>
                <w:color w:val="000000"/>
                <w:szCs w:val="22"/>
                <w:lang w:val="en-AU"/>
              </w:rPr>
            </w:pPr>
            <w:r w:rsidRPr="00341A37">
              <w:rPr>
                <w:rFonts w:ascii="Gill Sans MT" w:eastAsia="Calibri" w:hAnsi="Gill Sans MT" w:cs="Calibri"/>
                <w:b/>
                <w:bCs/>
                <w:szCs w:val="22"/>
              </w:rPr>
              <w:t>“…</w:t>
            </w:r>
            <w:r w:rsidRPr="00341A37">
              <w:rPr>
                <w:rFonts w:ascii="Gill Sans MT" w:eastAsia="Calibri" w:hAnsi="Gill Sans MT" w:cs="Calibri"/>
                <w:szCs w:val="22"/>
              </w:rPr>
              <w:t>future research in the field needs to foreground students' lived realities and to broaden its theoretical and empirical base if students' capacities to navigate change are to be fully understood and resourced.”</w:t>
            </w:r>
          </w:p>
        </w:tc>
      </w:tr>
      <w:tr w:rsidR="00D852E2" w:rsidRPr="00341A37" w14:paraId="7526A219" w14:textId="77777777" w:rsidTr="00A16039">
        <w:tc>
          <w:tcPr>
            <w:tcW w:w="5529" w:type="dxa"/>
          </w:tcPr>
          <w:p w14:paraId="397ED060" w14:textId="1938C316" w:rsidR="00D852E2" w:rsidRPr="00341A37" w:rsidRDefault="00D852E2" w:rsidP="00A16039">
            <w:pPr>
              <w:rPr>
                <w:rFonts w:ascii="Gill Sans MT" w:hAnsi="Gill Sans MT"/>
                <w:szCs w:val="22"/>
              </w:rPr>
            </w:pPr>
            <w:r w:rsidRPr="00341A37">
              <w:rPr>
                <w:rFonts w:ascii="Gill Sans MT" w:hAnsi="Gill Sans MT"/>
                <w:szCs w:val="22"/>
              </w:rPr>
              <w:lastRenderedPageBreak/>
              <w:t xml:space="preserve">Harvey, A. &amp; Andrewartha, L. (2013). </w:t>
            </w:r>
            <w:hyperlink r:id="rId11" w:history="1">
              <w:r w:rsidRPr="00341A37">
                <w:rPr>
                  <w:rStyle w:val="Hyperlink"/>
                  <w:rFonts w:ascii="Gill Sans MT" w:hAnsi="Gill Sans MT"/>
                  <w:szCs w:val="22"/>
                </w:rPr>
                <w:t>Dr Who? Equity and diversity among university postgraduate and higher degree cohorts</w:t>
              </w:r>
            </w:hyperlink>
            <w:r w:rsidR="00313BB4">
              <w:rPr>
                <w:rStyle w:val="Hyperlink"/>
                <w:rFonts w:ascii="Gill Sans MT" w:hAnsi="Gill Sans MT"/>
                <w:szCs w:val="22"/>
              </w:rPr>
              <w:t>,</w:t>
            </w:r>
            <w:r w:rsidRPr="00341A37">
              <w:rPr>
                <w:rFonts w:ascii="Gill Sans MT" w:hAnsi="Gill Sans MT"/>
                <w:szCs w:val="22"/>
              </w:rPr>
              <w:t xml:space="preserve"> </w:t>
            </w:r>
            <w:r w:rsidRPr="00341A37">
              <w:rPr>
                <w:rFonts w:ascii="Gill Sans MT" w:hAnsi="Gill Sans MT"/>
                <w:i/>
                <w:szCs w:val="22"/>
              </w:rPr>
              <w:t>Journal of Higher Education Policy and Management</w:t>
            </w:r>
            <w:r w:rsidRPr="00341A37">
              <w:rPr>
                <w:rFonts w:ascii="Gill Sans MT" w:hAnsi="Gill Sans MT"/>
                <w:szCs w:val="22"/>
              </w:rPr>
              <w:t>, 35(2)</w:t>
            </w:r>
            <w:r w:rsidR="00313BB4">
              <w:rPr>
                <w:rFonts w:ascii="Gill Sans MT" w:hAnsi="Gill Sans MT"/>
                <w:szCs w:val="22"/>
              </w:rPr>
              <w:t>,</w:t>
            </w:r>
            <w:r w:rsidRPr="00341A37">
              <w:rPr>
                <w:rFonts w:ascii="Gill Sans MT" w:hAnsi="Gill Sans MT"/>
                <w:szCs w:val="22"/>
              </w:rPr>
              <w:t xml:space="preserve"> 112</w:t>
            </w:r>
            <w:r w:rsidR="00313BB4">
              <w:rPr>
                <w:rFonts w:ascii="Gill Sans MT" w:hAnsi="Gill Sans MT"/>
                <w:szCs w:val="22"/>
              </w:rPr>
              <w:t>–</w:t>
            </w:r>
            <w:r w:rsidRPr="00341A37">
              <w:rPr>
                <w:rFonts w:ascii="Gill Sans MT" w:hAnsi="Gill Sans MT"/>
                <w:szCs w:val="22"/>
              </w:rPr>
              <w:t>123.</w:t>
            </w:r>
          </w:p>
          <w:p w14:paraId="510CD029" w14:textId="77777777" w:rsidR="00D852E2" w:rsidRPr="00341A37" w:rsidRDefault="00D852E2" w:rsidP="00A16039">
            <w:pPr>
              <w:rPr>
                <w:rFonts w:ascii="Gill Sans MT" w:hAnsi="Gill Sans MT"/>
                <w:szCs w:val="22"/>
              </w:rPr>
            </w:pPr>
          </w:p>
          <w:p w14:paraId="739A9433" w14:textId="77777777" w:rsidR="00D852E2" w:rsidRPr="00341A37" w:rsidRDefault="00D852E2" w:rsidP="00A16039">
            <w:pPr>
              <w:rPr>
                <w:rFonts w:ascii="Gill Sans MT" w:hAnsi="Gill Sans MT"/>
                <w:szCs w:val="22"/>
              </w:rPr>
            </w:pPr>
            <w:r w:rsidRPr="00341A37">
              <w:rPr>
                <w:rFonts w:ascii="Gill Sans MT" w:hAnsi="Gill Sans MT"/>
                <w:szCs w:val="22"/>
              </w:rPr>
              <w:t>AUS</w:t>
            </w:r>
          </w:p>
          <w:p w14:paraId="0C346A88" w14:textId="77777777" w:rsidR="00D852E2" w:rsidRPr="00341A37" w:rsidRDefault="00D852E2" w:rsidP="00A16039">
            <w:pPr>
              <w:rPr>
                <w:rFonts w:ascii="Gill Sans MT" w:hAnsi="Gill Sans MT"/>
                <w:szCs w:val="22"/>
              </w:rPr>
            </w:pPr>
            <w:r w:rsidRPr="00341A37">
              <w:rPr>
                <w:rFonts w:ascii="Gill Sans MT" w:hAnsi="Gill Sans MT"/>
                <w:szCs w:val="22"/>
              </w:rPr>
              <w:t>Annotated by Sally Baker</w:t>
            </w:r>
          </w:p>
          <w:p w14:paraId="51E79C93" w14:textId="77777777" w:rsidR="00D852E2" w:rsidRPr="00341A37" w:rsidRDefault="00D852E2" w:rsidP="00A16039">
            <w:pPr>
              <w:rPr>
                <w:rFonts w:ascii="Gill Sans MT" w:hAnsi="Gill Sans MT"/>
                <w:szCs w:val="22"/>
              </w:rPr>
            </w:pPr>
          </w:p>
          <w:p w14:paraId="3D6EA3F2" w14:textId="2A885012" w:rsidR="00D852E2" w:rsidRPr="00341A37" w:rsidRDefault="00D852E2" w:rsidP="00A16039">
            <w:pPr>
              <w:rPr>
                <w:rFonts w:ascii="Gill Sans MT" w:hAnsi="Gill Sans MT"/>
                <w:szCs w:val="22"/>
              </w:rPr>
            </w:pPr>
          </w:p>
        </w:tc>
        <w:tc>
          <w:tcPr>
            <w:tcW w:w="10064" w:type="dxa"/>
          </w:tcPr>
          <w:p w14:paraId="58944E02"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Aim: </w:t>
            </w:r>
            <w:r w:rsidRPr="00341A37">
              <w:rPr>
                <w:rFonts w:ascii="Gill Sans MT" w:hAnsi="Gill Sans MT"/>
                <w:color w:val="000000"/>
                <w:szCs w:val="22"/>
                <w:lang w:val="en-AU"/>
              </w:rPr>
              <w:t>Paper considers nature and extent of under-representation in PG and proposes institutional/policy responses.</w:t>
            </w:r>
          </w:p>
          <w:p w14:paraId="4C818D6D"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 xml:space="preserve">Set in post-Bradley context, reviews international literature/policy/statistics; focuses attention on Australian HE. Low SES/rural &amp; remote students are least likely to proceed to PG study (cites </w:t>
            </w:r>
            <w:proofErr w:type="spellStart"/>
            <w:r w:rsidRPr="00341A37">
              <w:rPr>
                <w:rFonts w:ascii="Gill Sans MT" w:hAnsi="Gill Sans MT"/>
                <w:color w:val="000000"/>
                <w:szCs w:val="22"/>
                <w:lang w:val="en-AU"/>
              </w:rPr>
              <w:t>Heageney</w:t>
            </w:r>
            <w:proofErr w:type="spellEnd"/>
            <w:r w:rsidRPr="00341A37">
              <w:rPr>
                <w:rFonts w:ascii="Gill Sans MT" w:hAnsi="Gill Sans MT"/>
                <w:color w:val="000000"/>
                <w:szCs w:val="22"/>
                <w:lang w:val="en-AU"/>
              </w:rPr>
              <w:t xml:space="preserve">, 2010 statistic: only 10.5% of Aus PG cohort = low SES; in 2008, only 11% of PhD students in Aus were r&amp;r. Sets out argument for focusing on PG level: PG students earn more, more likely to hold professional/ managerial positions, more likely to enjoy their work (p.114-5). Discusses issue of elite universities/ higher loading of PG/ PhD students – mentions that Australians are more likely to remain at same institution for UG &amp; PG study – thus diversification of student body at UG level in elite unis = significant to PG context. Discusses financial barriers for students, especially low SES students (p.117), including issues with Centrelink </w:t>
            </w:r>
            <w:r w:rsidRPr="00341A37">
              <w:rPr>
                <w:rFonts w:ascii="Gill Sans MT" w:hAnsi="Gill Sans MT"/>
                <w:color w:val="000000"/>
                <w:szCs w:val="22"/>
                <w:lang w:val="en-AU"/>
              </w:rPr>
              <w:lastRenderedPageBreak/>
              <w:t xml:space="preserve">support/ income support for PG (noting that PGCW applicants receive significantly less $$ than UG students) </w:t>
            </w:r>
          </w:p>
          <w:p w14:paraId="211B5B40"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 xml:space="preserve">Discusses ‘pipeline’ effect of PG (example of University of Melbourne, p.119) – could extend a system already working for high performing school students that guarantees PG place to low SES students: “Guaranteeing postgraduate entry for a specified group of low socio-economic students could be a useful strategy to raise awareness of, and enthusiasm for, postgraduate options among disadvantaged Year 12 cohorts” (p.119). Also cites UNE/ Uni Sydney partnership. Mentions McNair Program in </w:t>
            </w:r>
            <w:proofErr w:type="gramStart"/>
            <w:r w:rsidRPr="00341A37">
              <w:rPr>
                <w:rFonts w:ascii="Gill Sans MT" w:hAnsi="Gill Sans MT"/>
                <w:color w:val="000000"/>
                <w:szCs w:val="22"/>
                <w:lang w:val="en-AU"/>
              </w:rPr>
              <w:t>US  (</w:t>
            </w:r>
            <w:proofErr w:type="gramEnd"/>
            <w:r w:rsidRPr="00341A37">
              <w:rPr>
                <w:rFonts w:ascii="Gill Sans MT" w:hAnsi="Gill Sans MT"/>
                <w:color w:val="000000"/>
                <w:szCs w:val="22"/>
                <w:lang w:val="en-AU"/>
              </w:rPr>
              <w:t>prepares selected UG students for doctoral studies, targeting academically capable first generation students in financial need/ students from under-represented groups). Also suggests appropriating Entry Access Schemes for PG applications, revised supervisory arrangements, increase in peer mentoring networks and academic advice and information about advantages of PG studies. Aus gov’t could extend participation targets and funding to PG courses and deregulate CSP for PG places. Notes the proposal by IRU to implement fee remission for PG studies (partial/complete), whereby a completed PhD student could get up to 100% fee remission on UG studies.</w:t>
            </w:r>
          </w:p>
          <w:p w14:paraId="3188791F"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Pedagogical intervention suggested? </w:t>
            </w:r>
            <w:r w:rsidRPr="00341A37">
              <w:rPr>
                <w:rFonts w:ascii="Gill Sans MT" w:hAnsi="Gill Sans MT"/>
                <w:color w:val="000000"/>
                <w:szCs w:val="22"/>
                <w:lang w:val="en-AU"/>
              </w:rPr>
              <w:t>None</w:t>
            </w:r>
          </w:p>
          <w:p w14:paraId="5B9B700E"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Not really</w:t>
            </w:r>
          </w:p>
        </w:tc>
      </w:tr>
      <w:tr w:rsidR="00D852E2" w:rsidRPr="00341A37" w14:paraId="07A740AD" w14:textId="77777777" w:rsidTr="00A16039">
        <w:tc>
          <w:tcPr>
            <w:tcW w:w="5529" w:type="dxa"/>
          </w:tcPr>
          <w:p w14:paraId="48F67E3E" w14:textId="0D186DD4" w:rsidR="00D852E2" w:rsidRPr="00341A37" w:rsidRDefault="00D852E2" w:rsidP="00A16039">
            <w:pPr>
              <w:rPr>
                <w:rFonts w:ascii="Gill Sans MT" w:eastAsia="Calibri" w:hAnsi="Gill Sans MT" w:cs="Calibri"/>
                <w:szCs w:val="22"/>
              </w:rPr>
            </w:pPr>
            <w:r w:rsidRPr="00341A37">
              <w:rPr>
                <w:rFonts w:ascii="Gill Sans MT" w:eastAsia="Calibri" w:hAnsi="Gill Sans MT" w:cs="Calibri"/>
                <w:szCs w:val="22"/>
              </w:rPr>
              <w:lastRenderedPageBreak/>
              <w:t xml:space="preserve">James, R. (2008). </w:t>
            </w:r>
            <w:hyperlink r:id="rId12" w:history="1">
              <w:r w:rsidRPr="00341A37">
                <w:rPr>
                  <w:rStyle w:val="Hyperlink"/>
                  <w:rFonts w:ascii="Gill Sans MT" w:eastAsia="Calibri" w:hAnsi="Gill Sans MT" w:cs="Calibri"/>
                  <w:i/>
                  <w:szCs w:val="22"/>
                </w:rPr>
                <w:t>PARTICIPATION AND EQUITY: A review of the participation in higher education of people from low socioeconomic backgrounds and Indigenous people</w:t>
              </w:r>
            </w:hyperlink>
            <w:r w:rsidRPr="00341A37">
              <w:rPr>
                <w:rFonts w:ascii="Gill Sans MT" w:eastAsia="Calibri" w:hAnsi="Gill Sans MT" w:cs="Calibri"/>
                <w:szCs w:val="22"/>
              </w:rPr>
              <w:t>, Centre for the Study of Higher Education, University of Melbourne</w:t>
            </w:r>
          </w:p>
          <w:p w14:paraId="3355FA40" w14:textId="77777777" w:rsidR="00D852E2" w:rsidRPr="00341A37" w:rsidRDefault="00D852E2" w:rsidP="00A16039">
            <w:pPr>
              <w:rPr>
                <w:rFonts w:ascii="Gill Sans MT" w:eastAsia="Calibri" w:hAnsi="Gill Sans MT" w:cs="Calibri"/>
                <w:szCs w:val="22"/>
              </w:rPr>
            </w:pPr>
          </w:p>
          <w:p w14:paraId="1102E9B8" w14:textId="31A0F377" w:rsidR="00D852E2" w:rsidRPr="00341A37" w:rsidRDefault="00D852E2" w:rsidP="00A16039">
            <w:pPr>
              <w:rPr>
                <w:rFonts w:ascii="Gill Sans MT" w:eastAsia="Calibri" w:hAnsi="Gill Sans MT" w:cs="Calibri"/>
                <w:szCs w:val="22"/>
              </w:rPr>
            </w:pPr>
            <w:r w:rsidRPr="00341A37">
              <w:rPr>
                <w:rFonts w:ascii="Gill Sans MT" w:eastAsia="Calibri" w:hAnsi="Gill Sans MT" w:cs="Calibri"/>
                <w:szCs w:val="22"/>
              </w:rPr>
              <w:t>AUS</w:t>
            </w:r>
          </w:p>
          <w:p w14:paraId="37CCE267" w14:textId="77777777" w:rsidR="00D852E2" w:rsidRPr="00341A37" w:rsidRDefault="00D852E2" w:rsidP="00A16039">
            <w:pPr>
              <w:rPr>
                <w:rFonts w:ascii="Gill Sans MT" w:hAnsi="Gill Sans MT"/>
              </w:rPr>
            </w:pPr>
            <w:r w:rsidRPr="00341A37">
              <w:rPr>
                <w:rFonts w:ascii="Gill Sans MT" w:hAnsi="Gill Sans MT"/>
              </w:rPr>
              <w:t>Annotated by Sally Baker</w:t>
            </w:r>
          </w:p>
        </w:tc>
        <w:tc>
          <w:tcPr>
            <w:tcW w:w="10064" w:type="dxa"/>
          </w:tcPr>
          <w:p w14:paraId="4A1669DA"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Context: </w:t>
            </w:r>
            <w:r w:rsidRPr="00341A37">
              <w:rPr>
                <w:rFonts w:ascii="Gill Sans MT" w:eastAsia="Calibri" w:hAnsi="Gill Sans MT" w:cs="Calibri"/>
                <w:szCs w:val="22"/>
              </w:rPr>
              <w:t xml:space="preserve">The Australian Higher Education sector has experienced persistent underrepresentation in HE for various ‘equity target </w:t>
            </w:r>
            <w:proofErr w:type="gramStart"/>
            <w:r w:rsidRPr="00341A37">
              <w:rPr>
                <w:rFonts w:ascii="Gill Sans MT" w:eastAsia="Calibri" w:hAnsi="Gill Sans MT" w:cs="Calibri"/>
                <w:szCs w:val="22"/>
              </w:rPr>
              <w:t>groups’</w:t>
            </w:r>
            <w:proofErr w:type="gramEnd"/>
            <w:r w:rsidRPr="00341A37">
              <w:rPr>
                <w:rFonts w:ascii="Gill Sans MT" w:eastAsia="Calibri" w:hAnsi="Gill Sans MT" w:cs="Calibri"/>
                <w:szCs w:val="22"/>
              </w:rPr>
              <w:t>. At the time this report was being prepared, the proportion of  low SES students of all Australian students had showed no progress since the statistics started being collected in 1991.This report was prepared in 2008 for Universities Australia (peak body established in 2007 representing the university sector in Australia) by the Centre for the Study of Higher Education at the University of Melbourne, an institution without a longstanding record in supporting students from underrepresented backgrounds. This study followed a Universities Australia funded report by the same Centre at Melbourne title Australian University Student Finances 2006 (Universities Australia 2007) which found that HE students were worse off in 2006 in financial terms than in 2000 when the previous study was undertaken.</w:t>
            </w:r>
          </w:p>
          <w:p w14:paraId="58E7A144"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Aim: </w:t>
            </w:r>
            <w:r w:rsidRPr="00341A37">
              <w:rPr>
                <w:rFonts w:ascii="Gill Sans MT" w:eastAsia="Calibri" w:hAnsi="Gill Sans MT" w:cs="Calibri"/>
                <w:szCs w:val="22"/>
              </w:rPr>
              <w:t>Report reviewed available literature relating to “participation and success of people from low socioeconomic status (SES) backgrounds and Indigenous people in Australian higher education” (p.1). The authors explain that they are attempting to provide a clearer picture of participation in HE in Australia and an understanding of the factors that have led to areas of persistent underrepresentation for different groups in Australian society. The authors raise yet recoil from the question of “whether equity matters” (p.1) leaving the notion of ‘representation’ untested in terms of considering notions of parity of participation.</w:t>
            </w:r>
          </w:p>
          <w:p w14:paraId="49229C12"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Findings: </w:t>
            </w:r>
          </w:p>
          <w:p w14:paraId="4FCA4DBB" w14:textId="77777777" w:rsidR="00D852E2" w:rsidRPr="00341A37" w:rsidRDefault="00D852E2" w:rsidP="00A16039">
            <w:pPr>
              <w:rPr>
                <w:rFonts w:ascii="Gill Sans MT" w:hAnsi="Gill Sans MT"/>
              </w:rPr>
            </w:pPr>
            <w:r w:rsidRPr="00341A37">
              <w:rPr>
                <w:rFonts w:ascii="Gill Sans MT" w:eastAsia="Calibri" w:hAnsi="Gill Sans MT" w:cs="Calibri"/>
                <w:szCs w:val="22"/>
              </w:rPr>
              <w:t xml:space="preserve">1). There are major limitations in terms of using indices based on the postcode of students’ home address to </w:t>
            </w:r>
            <w:r w:rsidRPr="00341A37">
              <w:rPr>
                <w:rFonts w:ascii="Gill Sans MT" w:eastAsia="Calibri" w:hAnsi="Gill Sans MT" w:cs="Calibri"/>
                <w:szCs w:val="22"/>
              </w:rPr>
              <w:lastRenderedPageBreak/>
              <w:t>monitor participation in HE of people from low SES backgrounds and from rural and isolated areas;</w:t>
            </w:r>
          </w:p>
          <w:p w14:paraId="1F14EE0E" w14:textId="77777777" w:rsidR="00D852E2" w:rsidRPr="00341A37" w:rsidRDefault="00D852E2" w:rsidP="00A16039">
            <w:pPr>
              <w:rPr>
                <w:rFonts w:ascii="Gill Sans MT" w:hAnsi="Gill Sans MT"/>
              </w:rPr>
            </w:pPr>
            <w:r w:rsidRPr="00341A37">
              <w:rPr>
                <w:rFonts w:ascii="Gill Sans MT" w:eastAsia="Calibri" w:hAnsi="Gill Sans MT" w:cs="Calibri"/>
                <w:szCs w:val="22"/>
              </w:rPr>
              <w:t>2). PGCW and areas of competitive entry are where you tend to find areas of underrepresentation for students from low SES backgrounds;</w:t>
            </w:r>
          </w:p>
          <w:p w14:paraId="00FD50E1" w14:textId="2E20CAD9" w:rsidR="00D852E2" w:rsidRPr="00341A37" w:rsidRDefault="00D852E2" w:rsidP="00A16039">
            <w:pPr>
              <w:rPr>
                <w:rFonts w:ascii="Gill Sans MT" w:hAnsi="Gill Sans MT"/>
              </w:rPr>
            </w:pPr>
            <w:r w:rsidRPr="00341A37">
              <w:rPr>
                <w:rFonts w:ascii="Gill Sans MT" w:eastAsia="Calibri" w:hAnsi="Gill Sans MT" w:cs="Calibri"/>
                <w:szCs w:val="22"/>
              </w:rPr>
              <w:t xml:space="preserve">3). “Social imbalances” in Australian higher education might not be as large as those in some developed nations, though direct comparison is </w:t>
            </w:r>
            <w:r w:rsidR="00EB5422" w:rsidRPr="00341A37">
              <w:rPr>
                <w:rFonts w:ascii="Gill Sans MT" w:eastAsia="Calibri" w:hAnsi="Gill Sans MT" w:cs="Calibri"/>
                <w:szCs w:val="22"/>
              </w:rPr>
              <w:t>difficult,</w:t>
            </w:r>
            <w:r w:rsidRPr="00341A37">
              <w:rPr>
                <w:rFonts w:ascii="Gill Sans MT" w:eastAsia="Calibri" w:hAnsi="Gill Sans MT" w:cs="Calibri"/>
                <w:szCs w:val="22"/>
              </w:rPr>
              <w:t xml:space="preserve"> and the reasons are not well understood;</w:t>
            </w:r>
          </w:p>
          <w:p w14:paraId="11146749" w14:textId="77777777" w:rsidR="00D852E2" w:rsidRPr="00341A37" w:rsidRDefault="00D852E2" w:rsidP="00A16039">
            <w:pPr>
              <w:rPr>
                <w:rFonts w:ascii="Gill Sans MT" w:hAnsi="Gill Sans MT"/>
              </w:rPr>
            </w:pPr>
            <w:r w:rsidRPr="00341A37">
              <w:rPr>
                <w:rFonts w:ascii="Gill Sans MT" w:eastAsia="Calibri" w:hAnsi="Gill Sans MT" w:cs="Calibri"/>
                <w:szCs w:val="22"/>
              </w:rPr>
              <w:t>4). Australian universities vary considerably in the proportion of students from low SES backgrounds due partly to geography and the effects of competitive selection based on school achievement;</w:t>
            </w:r>
          </w:p>
          <w:p w14:paraId="56CB210E" w14:textId="77777777" w:rsidR="00D852E2" w:rsidRPr="00341A37" w:rsidRDefault="00D852E2" w:rsidP="00A16039">
            <w:pPr>
              <w:rPr>
                <w:rFonts w:ascii="Gill Sans MT" w:hAnsi="Gill Sans MT"/>
              </w:rPr>
            </w:pPr>
            <w:r w:rsidRPr="00341A37">
              <w:rPr>
                <w:rFonts w:ascii="Gill Sans MT" w:eastAsia="Calibri" w:hAnsi="Gill Sans MT" w:cs="Calibri"/>
                <w:szCs w:val="22"/>
              </w:rPr>
              <w:t>5). Low SES rural more underrepresented than low SES urban.</w:t>
            </w:r>
          </w:p>
          <w:p w14:paraId="49BFEAA4"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Relevance to PGCW/ equity: </w:t>
            </w:r>
          </w:p>
          <w:p w14:paraId="629981EC" w14:textId="77777777" w:rsidR="00D852E2" w:rsidRPr="00341A37" w:rsidRDefault="00D852E2" w:rsidP="00A16039">
            <w:pPr>
              <w:rPr>
                <w:rFonts w:ascii="Gill Sans MT" w:hAnsi="Gill Sans MT"/>
              </w:rPr>
            </w:pPr>
            <w:r w:rsidRPr="00341A37">
              <w:rPr>
                <w:rFonts w:ascii="Gill Sans MT" w:eastAsia="Calibri" w:hAnsi="Gill Sans MT" w:cs="Calibri"/>
                <w:szCs w:val="22"/>
              </w:rPr>
              <w:t>The report finds the following that is in direct relation to PGCW:</w:t>
            </w:r>
          </w:p>
          <w:p w14:paraId="361A2D9A" w14:textId="77777777" w:rsidR="00D852E2" w:rsidRPr="00341A37" w:rsidRDefault="00D852E2" w:rsidP="00A16039">
            <w:pPr>
              <w:ind w:left="360" w:hanging="360"/>
              <w:rPr>
                <w:rFonts w:ascii="Gill Sans MT" w:hAnsi="Gill Sans MT"/>
              </w:rPr>
            </w:pPr>
            <w:r w:rsidRPr="00341A37">
              <w:rPr>
                <w:rFonts w:ascii="Gill Sans MT" w:eastAsia="Symbol" w:hAnsi="Gill Sans MT" w:cs="Symbol"/>
                <w:szCs w:val="22"/>
              </w:rPr>
              <w:t></w:t>
            </w:r>
            <w:r w:rsidRPr="00341A37">
              <w:rPr>
                <w:rFonts w:ascii="Gill Sans MT" w:eastAsia="Times New Roman" w:hAnsi="Gill Sans MT" w:cs="Times New Roman"/>
                <w:szCs w:val="22"/>
              </w:rPr>
              <w:t xml:space="preserve">         </w:t>
            </w:r>
            <w:r w:rsidRPr="00341A37">
              <w:rPr>
                <w:rFonts w:ascii="Gill Sans MT" w:eastAsia="Calibri" w:hAnsi="Gill Sans MT" w:cs="Calibri"/>
                <w:szCs w:val="22"/>
              </w:rPr>
              <w:t>Students from low SES backgrounds comprise less than 10 per cent of postgraduate students</w:t>
            </w:r>
          </w:p>
          <w:p w14:paraId="255431E2" w14:textId="77777777" w:rsidR="00D852E2" w:rsidRPr="00341A37" w:rsidRDefault="00D852E2" w:rsidP="00A16039">
            <w:pPr>
              <w:ind w:left="360" w:hanging="360"/>
              <w:rPr>
                <w:rFonts w:ascii="Gill Sans MT" w:hAnsi="Gill Sans MT"/>
              </w:rPr>
            </w:pPr>
            <w:r w:rsidRPr="00341A37">
              <w:rPr>
                <w:rFonts w:ascii="Gill Sans MT" w:eastAsia="Symbol" w:hAnsi="Gill Sans MT" w:cs="Symbol"/>
                <w:szCs w:val="22"/>
              </w:rPr>
              <w:t></w:t>
            </w:r>
            <w:r w:rsidRPr="00341A37">
              <w:rPr>
                <w:rFonts w:ascii="Gill Sans MT" w:eastAsia="Times New Roman" w:hAnsi="Gill Sans MT" w:cs="Times New Roman"/>
                <w:szCs w:val="22"/>
              </w:rPr>
              <w:t xml:space="preserve">         </w:t>
            </w:r>
            <w:r w:rsidRPr="00341A37">
              <w:rPr>
                <w:rFonts w:ascii="Gill Sans MT" w:eastAsia="Calibri" w:hAnsi="Gill Sans MT" w:cs="Calibri"/>
                <w:szCs w:val="22"/>
              </w:rPr>
              <w:t>Geographical measures of SES are even less appropriate for mature-age students and postgraduates</w:t>
            </w:r>
          </w:p>
          <w:p w14:paraId="2A0A62C6" w14:textId="77777777" w:rsidR="00D852E2" w:rsidRPr="00341A37" w:rsidRDefault="00D852E2" w:rsidP="00A16039">
            <w:pPr>
              <w:ind w:left="360" w:hanging="360"/>
              <w:rPr>
                <w:rFonts w:ascii="Gill Sans MT" w:hAnsi="Gill Sans MT"/>
              </w:rPr>
            </w:pPr>
            <w:r w:rsidRPr="00341A37">
              <w:rPr>
                <w:rFonts w:ascii="Gill Sans MT" w:eastAsia="Symbol" w:hAnsi="Gill Sans MT" w:cs="Symbol"/>
                <w:szCs w:val="22"/>
              </w:rPr>
              <w:t></w:t>
            </w:r>
            <w:r w:rsidRPr="00341A37">
              <w:rPr>
                <w:rFonts w:ascii="Gill Sans MT" w:eastAsia="Times New Roman" w:hAnsi="Gill Sans MT" w:cs="Times New Roman"/>
                <w:szCs w:val="22"/>
              </w:rPr>
              <w:t xml:space="preserve">         </w:t>
            </w:r>
            <w:r w:rsidRPr="00341A37">
              <w:rPr>
                <w:rFonts w:ascii="Gill Sans MT" w:eastAsia="Calibri" w:hAnsi="Gill Sans MT" w:cs="Calibri"/>
                <w:szCs w:val="22"/>
              </w:rPr>
              <w:t>Without an individual measure of SES that is sensitive to the circumstances of mature-age students it is not possible to draw confident conclusions about equity and access in postgraduate education</w:t>
            </w:r>
          </w:p>
          <w:p w14:paraId="6B7C1E31"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Pedagogical intervention suggested? </w:t>
            </w:r>
            <w:r w:rsidRPr="00341A37">
              <w:rPr>
                <w:rFonts w:ascii="Gill Sans MT" w:eastAsia="Calibri" w:hAnsi="Gill Sans MT" w:cs="Calibri"/>
                <w:szCs w:val="22"/>
              </w:rPr>
              <w:t>None</w:t>
            </w:r>
          </w:p>
          <w:p w14:paraId="139F3CF5" w14:textId="77777777" w:rsidR="00D852E2" w:rsidRPr="00341A37" w:rsidRDefault="00D852E2" w:rsidP="00A16039">
            <w:pPr>
              <w:rPr>
                <w:rFonts w:ascii="Gill Sans MT" w:hAnsi="Gill Sans MT"/>
              </w:rPr>
            </w:pPr>
            <w:r w:rsidRPr="00341A37">
              <w:rPr>
                <w:rFonts w:ascii="Gill Sans MT" w:eastAsia="Calibri" w:hAnsi="Gill Sans MT" w:cs="Calibri"/>
                <w:b/>
                <w:bCs/>
                <w:szCs w:val="22"/>
              </w:rPr>
              <w:t xml:space="preserve">Points to future research agenda? </w:t>
            </w:r>
          </w:p>
          <w:p w14:paraId="5EF23FEB" w14:textId="77777777" w:rsidR="00D852E2" w:rsidRPr="00341A37" w:rsidRDefault="00D852E2" w:rsidP="00A16039">
            <w:pPr>
              <w:ind w:left="360" w:hanging="360"/>
              <w:rPr>
                <w:rFonts w:ascii="Gill Sans MT" w:hAnsi="Gill Sans MT"/>
              </w:rPr>
            </w:pPr>
            <w:r w:rsidRPr="00341A37">
              <w:rPr>
                <w:rFonts w:ascii="Gill Sans MT" w:eastAsia="Symbol" w:hAnsi="Gill Sans MT" w:cs="Symbol"/>
                <w:szCs w:val="22"/>
              </w:rPr>
              <w:t></w:t>
            </w:r>
            <w:r w:rsidRPr="00341A37">
              <w:rPr>
                <w:rFonts w:ascii="Gill Sans MT" w:eastAsia="Times New Roman" w:hAnsi="Gill Sans MT" w:cs="Times New Roman"/>
                <w:szCs w:val="22"/>
              </w:rPr>
              <w:t xml:space="preserve">         </w:t>
            </w:r>
            <w:r w:rsidRPr="00341A37">
              <w:rPr>
                <w:rFonts w:ascii="Gill Sans MT" w:eastAsia="Calibri" w:hAnsi="Gill Sans MT" w:cs="Calibri"/>
                <w:szCs w:val="22"/>
              </w:rPr>
              <w:t>The report makes it clear that study of the impact of low SES backgrounds and circumstances upon the educational achievements of mature-age students would be valuable.</w:t>
            </w:r>
          </w:p>
          <w:p w14:paraId="0E8B0E10" w14:textId="77777777" w:rsidR="00D852E2" w:rsidRPr="00341A37" w:rsidRDefault="00D852E2" w:rsidP="00A16039">
            <w:pPr>
              <w:rPr>
                <w:rFonts w:ascii="Gill Sans MT" w:hAnsi="Gill Sans MT"/>
                <w:b/>
                <w:color w:val="000000"/>
                <w:szCs w:val="22"/>
                <w:lang w:val="en-AU"/>
              </w:rPr>
            </w:pPr>
            <w:r w:rsidRPr="00341A37">
              <w:rPr>
                <w:rFonts w:ascii="Gill Sans MT" w:eastAsia="Calibri" w:hAnsi="Gill Sans MT" w:cs="Calibri"/>
                <w:szCs w:val="22"/>
              </w:rPr>
              <w:t xml:space="preserve">Report makes the following recommendation on page 9 - “Priority 3: Improve the level of Indigenous postgraduate enrolment, enhance Indigenous research and increase the number of Indigenous researchers.” - </w:t>
            </w:r>
          </w:p>
        </w:tc>
      </w:tr>
      <w:tr w:rsidR="00D852E2" w:rsidRPr="00341A37" w14:paraId="38AA23B5" w14:textId="77777777" w:rsidTr="00A16039">
        <w:tc>
          <w:tcPr>
            <w:tcW w:w="5529" w:type="dxa"/>
          </w:tcPr>
          <w:p w14:paraId="3668DD8D" w14:textId="2CA679D8" w:rsidR="00D852E2" w:rsidRPr="00341A37" w:rsidRDefault="00D852E2" w:rsidP="00A16039">
            <w:pPr>
              <w:rPr>
                <w:rFonts w:ascii="Gill Sans MT" w:hAnsi="Gill Sans MT"/>
                <w:szCs w:val="22"/>
              </w:rPr>
            </w:pPr>
            <w:r w:rsidRPr="00341A37">
              <w:rPr>
                <w:rFonts w:ascii="Gill Sans MT" w:hAnsi="Gill Sans MT"/>
                <w:szCs w:val="22"/>
              </w:rPr>
              <w:lastRenderedPageBreak/>
              <w:t xml:space="preserve">Kiley, M. &amp; Cumming, J. (2014). </w:t>
            </w:r>
            <w:hyperlink r:id="rId13" w:history="1">
              <w:r w:rsidRPr="00341A37">
                <w:rPr>
                  <w:rStyle w:val="Hyperlink"/>
                  <w:rFonts w:ascii="Gill Sans MT" w:hAnsi="Gill Sans MT"/>
                  <w:szCs w:val="22"/>
                </w:rPr>
                <w:t>The impact of changing government policies and institutional practices on master’s by coursework students in Australia: a viable pathway to the PhD?</w:t>
              </w:r>
            </w:hyperlink>
            <w:r w:rsidRPr="00341A37">
              <w:rPr>
                <w:rFonts w:ascii="Gill Sans MT" w:hAnsi="Gill Sans MT"/>
                <w:szCs w:val="22"/>
              </w:rPr>
              <w:t xml:space="preserve"> </w:t>
            </w:r>
            <w:r w:rsidRPr="00341A37">
              <w:rPr>
                <w:rFonts w:ascii="Gill Sans MT" w:hAnsi="Gill Sans MT"/>
                <w:i/>
                <w:szCs w:val="22"/>
              </w:rPr>
              <w:t>Journal of Higher Education Policy and Management</w:t>
            </w:r>
            <w:r w:rsidRPr="00341A37">
              <w:rPr>
                <w:rFonts w:ascii="Gill Sans MT" w:hAnsi="Gill Sans MT"/>
                <w:szCs w:val="22"/>
              </w:rPr>
              <w:t>, 36</w:t>
            </w:r>
            <w:r w:rsidR="00313BB4">
              <w:rPr>
                <w:rFonts w:ascii="Gill Sans MT" w:hAnsi="Gill Sans MT"/>
                <w:szCs w:val="22"/>
              </w:rPr>
              <w:t>(</w:t>
            </w:r>
            <w:r w:rsidRPr="00341A37">
              <w:rPr>
                <w:rFonts w:ascii="Gill Sans MT" w:hAnsi="Gill Sans MT"/>
                <w:szCs w:val="22"/>
              </w:rPr>
              <w:t>1</w:t>
            </w:r>
            <w:r w:rsidR="00313BB4">
              <w:rPr>
                <w:rFonts w:ascii="Gill Sans MT" w:hAnsi="Gill Sans MT"/>
                <w:szCs w:val="22"/>
              </w:rPr>
              <w:t>)</w:t>
            </w:r>
            <w:r w:rsidRPr="00341A37">
              <w:rPr>
                <w:rFonts w:ascii="Gill Sans MT" w:hAnsi="Gill Sans MT"/>
                <w:szCs w:val="22"/>
              </w:rPr>
              <w:t xml:space="preserve">, 99–111, </w:t>
            </w:r>
          </w:p>
          <w:p w14:paraId="7008469B" w14:textId="77777777" w:rsidR="00D852E2" w:rsidRPr="00341A37" w:rsidRDefault="00D852E2" w:rsidP="00A16039">
            <w:pPr>
              <w:rPr>
                <w:rFonts w:ascii="Gill Sans MT" w:hAnsi="Gill Sans MT"/>
                <w:szCs w:val="22"/>
              </w:rPr>
            </w:pPr>
          </w:p>
          <w:p w14:paraId="0889A717" w14:textId="77777777" w:rsidR="00D852E2" w:rsidRPr="00341A37" w:rsidRDefault="00D852E2" w:rsidP="00A16039">
            <w:pPr>
              <w:rPr>
                <w:rFonts w:ascii="Gill Sans MT" w:hAnsi="Gill Sans MT"/>
                <w:szCs w:val="22"/>
              </w:rPr>
            </w:pPr>
            <w:r w:rsidRPr="00341A37">
              <w:rPr>
                <w:rFonts w:ascii="Gill Sans MT" w:hAnsi="Gill Sans MT"/>
                <w:szCs w:val="22"/>
              </w:rPr>
              <w:t>AUS</w:t>
            </w:r>
          </w:p>
          <w:p w14:paraId="23DBDDB9" w14:textId="77777777" w:rsidR="00D852E2" w:rsidRPr="00341A37" w:rsidRDefault="00D852E2" w:rsidP="00A16039">
            <w:pPr>
              <w:rPr>
                <w:rFonts w:ascii="Gill Sans MT" w:hAnsi="Gill Sans MT"/>
              </w:rPr>
            </w:pPr>
            <w:r w:rsidRPr="00341A37">
              <w:rPr>
                <w:rFonts w:ascii="Gill Sans MT" w:hAnsi="Gill Sans MT"/>
              </w:rPr>
              <w:t>Annotated by Liam Phelan</w:t>
            </w:r>
          </w:p>
          <w:p w14:paraId="44D5B6CF" w14:textId="77777777" w:rsidR="00D852E2" w:rsidRPr="00341A37" w:rsidRDefault="00D852E2" w:rsidP="00A16039">
            <w:pPr>
              <w:rPr>
                <w:rFonts w:ascii="Gill Sans MT" w:hAnsi="Gill Sans MT"/>
                <w:szCs w:val="22"/>
              </w:rPr>
            </w:pPr>
          </w:p>
          <w:p w14:paraId="55D2EA4E" w14:textId="2A3881EE" w:rsidR="00D852E2" w:rsidRPr="00341A37" w:rsidRDefault="00D852E2" w:rsidP="00A16039">
            <w:pPr>
              <w:rPr>
                <w:rFonts w:ascii="Gill Sans MT" w:hAnsi="Gill Sans MT"/>
                <w:szCs w:val="22"/>
              </w:rPr>
            </w:pPr>
          </w:p>
        </w:tc>
        <w:tc>
          <w:tcPr>
            <w:tcW w:w="10064" w:type="dxa"/>
          </w:tcPr>
          <w:p w14:paraId="17739AA4"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masters by coursework students as a cohort in Australia</w:t>
            </w:r>
          </w:p>
          <w:p w14:paraId="4900330F"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Aim: </w:t>
            </w:r>
            <w:r w:rsidRPr="00341A37">
              <w:rPr>
                <w:rFonts w:ascii="Gill Sans MT" w:hAnsi="Gill Sans MT"/>
                <w:color w:val="000000"/>
                <w:szCs w:val="22"/>
                <w:lang w:val="en-AU"/>
              </w:rPr>
              <w:t>identify impact of govt policies and institutional practices on masters by CW students in Aust, especially with reference to masters by CW as a PhD pathway/preparation</w:t>
            </w:r>
          </w:p>
          <w:p w14:paraId="27B3AA1B"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Theoretical frame:</w:t>
            </w:r>
            <w:r w:rsidRPr="00341A37">
              <w:rPr>
                <w:rFonts w:ascii="Gill Sans MT" w:hAnsi="Gill Sans MT"/>
                <w:color w:val="000000"/>
                <w:szCs w:val="22"/>
                <w:lang w:val="en-AU"/>
              </w:rPr>
              <w:t>?</w:t>
            </w:r>
          </w:p>
          <w:p w14:paraId="3291979D"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Methodology: </w:t>
            </w:r>
            <w:r w:rsidRPr="00341A37">
              <w:rPr>
                <w:rFonts w:ascii="Gill Sans MT" w:hAnsi="Gill Sans MT"/>
                <w:color w:val="000000"/>
                <w:szCs w:val="22"/>
                <w:lang w:val="en-AU"/>
              </w:rPr>
              <w:t>document analysis for stats; semi-structured interviews with students, supervisors, deans, etc</w:t>
            </w:r>
          </w:p>
          <w:p w14:paraId="167238A8"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Findings: </w:t>
            </w:r>
            <w:r w:rsidRPr="00341A37">
              <w:rPr>
                <w:rFonts w:ascii="Gill Sans MT" w:hAnsi="Gill Sans MT"/>
                <w:color w:val="000000"/>
                <w:szCs w:val="22"/>
                <w:lang w:val="en-AU"/>
              </w:rPr>
              <w:t>the cohort is diverse, growing; some cross-over from PGCW to RHD</w:t>
            </w:r>
          </w:p>
          <w:p w14:paraId="36F4379C"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useful quant description of the cohort; the cohort is very diverse compared to other PG cohorts (e.g., ½ female, varied ages but getting younger)</w:t>
            </w:r>
          </w:p>
          <w:p w14:paraId="50FDEE41"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only the idea that there’s a potential linkage between PGCW and RHD and equity, given that PGCW can be a pathway to RHD (new, ‘non-traditional’?)</w:t>
            </w:r>
          </w:p>
        </w:tc>
      </w:tr>
      <w:tr w:rsidR="00D852E2" w:rsidRPr="00341A37" w14:paraId="6EDC1016" w14:textId="77777777" w:rsidTr="00A16039">
        <w:tc>
          <w:tcPr>
            <w:tcW w:w="5529" w:type="dxa"/>
          </w:tcPr>
          <w:p w14:paraId="7228A666" w14:textId="25104ADD" w:rsidR="00D852E2" w:rsidRPr="00341A37" w:rsidRDefault="00D852E2" w:rsidP="00A16039">
            <w:pPr>
              <w:rPr>
                <w:rFonts w:ascii="Gill Sans MT" w:hAnsi="Gill Sans MT"/>
                <w:szCs w:val="22"/>
                <w:lang w:val="en-AU"/>
              </w:rPr>
            </w:pPr>
            <w:r w:rsidRPr="00341A37">
              <w:rPr>
                <w:rFonts w:ascii="Gill Sans MT" w:hAnsi="Gill Sans MT"/>
                <w:szCs w:val="22"/>
              </w:rPr>
              <w:t xml:space="preserve">Kiley, M. &amp; Cumming, J. (2015). </w:t>
            </w:r>
            <w:hyperlink r:id="rId14" w:history="1">
              <w:r w:rsidRPr="00341A37">
                <w:rPr>
                  <w:rStyle w:val="Hyperlink"/>
                  <w:rFonts w:ascii="Gill Sans MT" w:hAnsi="Gill Sans MT"/>
                  <w:szCs w:val="22"/>
                  <w:lang w:val="en-AU"/>
                </w:rPr>
                <w:t xml:space="preserve">Enhanced learning pathways and support for coursework master's students: </w:t>
              </w:r>
              <w:r w:rsidRPr="00341A37">
                <w:rPr>
                  <w:rStyle w:val="Hyperlink"/>
                  <w:rFonts w:ascii="Gill Sans MT" w:hAnsi="Gill Sans MT"/>
                  <w:szCs w:val="22"/>
                  <w:lang w:val="en-AU"/>
                </w:rPr>
                <w:lastRenderedPageBreak/>
                <w:t>challenges and opportunities,</w:t>
              </w:r>
            </w:hyperlink>
            <w:r w:rsidRPr="00341A37">
              <w:rPr>
                <w:rFonts w:ascii="Gill Sans MT" w:hAnsi="Gill Sans MT"/>
                <w:szCs w:val="22"/>
                <w:lang w:val="en-AU"/>
              </w:rPr>
              <w:t xml:space="preserve"> </w:t>
            </w:r>
            <w:r w:rsidRPr="00341A37">
              <w:rPr>
                <w:rFonts w:ascii="Gill Sans MT" w:hAnsi="Gill Sans MT"/>
                <w:i/>
                <w:szCs w:val="22"/>
                <w:lang w:val="en-AU"/>
              </w:rPr>
              <w:t>Higher Education Research &amp; Development</w:t>
            </w:r>
            <w:r w:rsidRPr="00341A37">
              <w:rPr>
                <w:rFonts w:ascii="Gill Sans MT" w:hAnsi="Gill Sans MT"/>
                <w:szCs w:val="22"/>
                <w:lang w:val="en-AU"/>
              </w:rPr>
              <w:t>, 34(1)</w:t>
            </w:r>
            <w:r w:rsidR="00313BB4">
              <w:rPr>
                <w:rFonts w:ascii="Gill Sans MT" w:hAnsi="Gill Sans MT"/>
                <w:szCs w:val="22"/>
                <w:lang w:val="en-AU"/>
              </w:rPr>
              <w:t>,</w:t>
            </w:r>
            <w:r w:rsidRPr="00341A37">
              <w:rPr>
                <w:rFonts w:ascii="Gill Sans MT" w:hAnsi="Gill Sans MT"/>
                <w:szCs w:val="22"/>
                <w:lang w:val="en-AU"/>
              </w:rPr>
              <w:t xml:space="preserve"> 105</w:t>
            </w:r>
            <w:r w:rsidR="00313BB4">
              <w:rPr>
                <w:rFonts w:ascii="Gill Sans MT" w:hAnsi="Gill Sans MT"/>
                <w:szCs w:val="22"/>
                <w:lang w:val="en-AU"/>
              </w:rPr>
              <w:t>–</w:t>
            </w:r>
            <w:r w:rsidRPr="00341A37">
              <w:rPr>
                <w:rFonts w:ascii="Gill Sans MT" w:hAnsi="Gill Sans MT"/>
                <w:szCs w:val="22"/>
                <w:lang w:val="en-AU"/>
              </w:rPr>
              <w:t>116.</w:t>
            </w:r>
          </w:p>
          <w:p w14:paraId="26272B3D" w14:textId="77777777" w:rsidR="00D852E2" w:rsidRPr="00341A37" w:rsidRDefault="00D852E2" w:rsidP="00A16039">
            <w:pPr>
              <w:rPr>
                <w:rFonts w:ascii="Gill Sans MT" w:hAnsi="Gill Sans MT"/>
                <w:szCs w:val="22"/>
                <w:lang w:val="en-AU"/>
              </w:rPr>
            </w:pPr>
          </w:p>
          <w:p w14:paraId="47B292BC" w14:textId="77777777" w:rsidR="00D852E2" w:rsidRPr="00341A37" w:rsidRDefault="00D852E2" w:rsidP="00A16039">
            <w:pPr>
              <w:rPr>
                <w:rFonts w:ascii="Gill Sans MT" w:hAnsi="Gill Sans MT"/>
                <w:szCs w:val="22"/>
                <w:lang w:val="en-AU"/>
              </w:rPr>
            </w:pPr>
            <w:r w:rsidRPr="00341A37">
              <w:rPr>
                <w:rFonts w:ascii="Gill Sans MT" w:hAnsi="Gill Sans MT"/>
                <w:szCs w:val="22"/>
                <w:lang w:val="en-AU"/>
              </w:rPr>
              <w:t>AUS</w:t>
            </w:r>
          </w:p>
          <w:p w14:paraId="28B40C64" w14:textId="77777777" w:rsidR="00D852E2" w:rsidRPr="00341A37" w:rsidRDefault="00D852E2" w:rsidP="00A16039">
            <w:pPr>
              <w:rPr>
                <w:rFonts w:ascii="Gill Sans MT" w:hAnsi="Gill Sans MT"/>
              </w:rPr>
            </w:pPr>
            <w:r w:rsidRPr="00341A37">
              <w:rPr>
                <w:rFonts w:ascii="Gill Sans MT" w:hAnsi="Gill Sans MT"/>
              </w:rPr>
              <w:t>Annotated by Liam Phelan</w:t>
            </w:r>
          </w:p>
          <w:p w14:paraId="1E4C26DB" w14:textId="54DD5622" w:rsidR="00D852E2" w:rsidRPr="00341A37" w:rsidRDefault="00D852E2" w:rsidP="00A16039">
            <w:pPr>
              <w:rPr>
                <w:rFonts w:ascii="Gill Sans MT" w:hAnsi="Gill Sans MT"/>
                <w:szCs w:val="22"/>
              </w:rPr>
            </w:pPr>
          </w:p>
        </w:tc>
        <w:tc>
          <w:tcPr>
            <w:tcW w:w="10064" w:type="dxa"/>
          </w:tcPr>
          <w:p w14:paraId="6A7B60D2"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lastRenderedPageBreak/>
              <w:t xml:space="preserve">Context: </w:t>
            </w:r>
            <w:r w:rsidRPr="00341A37">
              <w:rPr>
                <w:rFonts w:ascii="Gill Sans MT" w:hAnsi="Gill Sans MT"/>
                <w:color w:val="000000"/>
                <w:szCs w:val="22"/>
                <w:lang w:val="en-AU"/>
              </w:rPr>
              <w:t>masters by CW programs as transitions to RHD (not ‘terminal’ degrees)</w:t>
            </w:r>
          </w:p>
          <w:p w14:paraId="1A3E3A26"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Aim: </w:t>
            </w:r>
            <w:r w:rsidRPr="00341A37">
              <w:rPr>
                <w:rFonts w:ascii="Gill Sans MT" w:hAnsi="Gill Sans MT"/>
                <w:color w:val="000000"/>
                <w:szCs w:val="22"/>
                <w:lang w:val="en-AU"/>
              </w:rPr>
              <w:t>to argue for more flexible PhD pathways (i.e., not just honours)</w:t>
            </w:r>
          </w:p>
          <w:p w14:paraId="7EB98815"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lastRenderedPageBreak/>
              <w:t xml:space="preserve">Methodology: </w:t>
            </w:r>
            <w:r w:rsidRPr="00341A37">
              <w:rPr>
                <w:rFonts w:ascii="Gill Sans MT" w:hAnsi="Gill Sans MT"/>
                <w:color w:val="000000"/>
                <w:szCs w:val="22"/>
                <w:lang w:val="en-AU"/>
              </w:rPr>
              <w:t>document analysis for the description of the cohort of Aust masters by CW students; semi-structured interviews with students, supervisors, deans, etc</w:t>
            </w:r>
          </w:p>
          <w:p w14:paraId="2EA683F1"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Findings: </w:t>
            </w:r>
            <w:r w:rsidRPr="00341A37">
              <w:rPr>
                <w:rFonts w:ascii="Gill Sans MT" w:hAnsi="Gill Sans MT"/>
                <w:color w:val="000000"/>
                <w:szCs w:val="22"/>
                <w:lang w:val="en-AU"/>
              </w:rPr>
              <w:t>masters by CW can be a PhD pathway</w:t>
            </w:r>
          </w:p>
          <w:p w14:paraId="45208732"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Q: can additional support for CW students to encourage them to transition to RHD programs be aligned with equity support goals and strategies?</w:t>
            </w:r>
          </w:p>
          <w:p w14:paraId="0BEF706B" w14:textId="3B12BA14"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Pedagogical intervention suggested?: </w:t>
            </w:r>
            <w:r w:rsidRPr="00341A37">
              <w:rPr>
                <w:rFonts w:ascii="Gill Sans MT" w:hAnsi="Gill Sans MT"/>
                <w:color w:val="000000"/>
                <w:szCs w:val="22"/>
                <w:lang w:val="en-AU"/>
              </w:rPr>
              <w:t>more support, etc</w:t>
            </w:r>
            <w:r w:rsidR="00EB5422">
              <w:rPr>
                <w:rFonts w:ascii="Gill Sans MT" w:hAnsi="Gill Sans MT"/>
                <w:color w:val="000000"/>
                <w:szCs w:val="22"/>
                <w:lang w:val="en-AU"/>
              </w:rPr>
              <w:t>.</w:t>
            </w:r>
          </w:p>
          <w:p w14:paraId="7BB877E2"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see response to relevance question above</w:t>
            </w:r>
          </w:p>
        </w:tc>
      </w:tr>
      <w:tr w:rsidR="00D852E2" w:rsidRPr="00341A37" w14:paraId="7F87DCF1" w14:textId="77777777" w:rsidTr="00A16039">
        <w:tc>
          <w:tcPr>
            <w:tcW w:w="5529" w:type="dxa"/>
          </w:tcPr>
          <w:p w14:paraId="4B396026" w14:textId="45F3ABB5" w:rsidR="00D852E2" w:rsidRPr="00341A37" w:rsidRDefault="00D852E2" w:rsidP="00A16039">
            <w:pPr>
              <w:rPr>
                <w:rFonts w:ascii="Gill Sans MT" w:hAnsi="Gill Sans MT"/>
                <w:szCs w:val="22"/>
                <w:lang w:val="en-AU"/>
              </w:rPr>
            </w:pPr>
            <w:r w:rsidRPr="00341A37">
              <w:rPr>
                <w:rFonts w:ascii="Gill Sans MT" w:hAnsi="Gill Sans MT"/>
                <w:szCs w:val="22"/>
                <w:lang w:val="en-AU"/>
              </w:rPr>
              <w:lastRenderedPageBreak/>
              <w:t xml:space="preserve">McCulloch, A. &amp; Thomas, L. (2013). </w:t>
            </w:r>
            <w:hyperlink r:id="rId15" w:history="1">
              <w:r w:rsidRPr="00341A37">
                <w:rPr>
                  <w:rStyle w:val="Hyperlink"/>
                  <w:rFonts w:ascii="Gill Sans MT" w:hAnsi="Gill Sans MT"/>
                  <w:szCs w:val="22"/>
                  <w:lang w:val="en-AU"/>
                </w:rPr>
                <w:t>Widening participation to doctoral education and research degrees: a research agenda for an emerging policy issue</w:t>
              </w:r>
            </w:hyperlink>
            <w:r w:rsidRPr="00341A37">
              <w:rPr>
                <w:rFonts w:ascii="Gill Sans MT" w:hAnsi="Gill Sans MT"/>
                <w:szCs w:val="22"/>
                <w:lang w:val="en-AU"/>
              </w:rPr>
              <w:t xml:space="preserve">, </w:t>
            </w:r>
            <w:r w:rsidRPr="00341A37">
              <w:rPr>
                <w:rFonts w:ascii="Gill Sans MT" w:hAnsi="Gill Sans MT"/>
                <w:i/>
                <w:szCs w:val="22"/>
                <w:lang w:val="en-AU"/>
              </w:rPr>
              <w:t>Higher Education Research &amp; Development</w:t>
            </w:r>
            <w:r w:rsidRPr="00341A37">
              <w:rPr>
                <w:rFonts w:ascii="Gill Sans MT" w:hAnsi="Gill Sans MT"/>
                <w:szCs w:val="22"/>
                <w:lang w:val="en-AU"/>
              </w:rPr>
              <w:t>, 32(2)</w:t>
            </w:r>
            <w:r w:rsidR="00313BB4">
              <w:rPr>
                <w:rFonts w:ascii="Gill Sans MT" w:hAnsi="Gill Sans MT"/>
                <w:szCs w:val="22"/>
                <w:lang w:val="en-AU"/>
              </w:rPr>
              <w:t>,</w:t>
            </w:r>
            <w:r w:rsidRPr="00341A37">
              <w:rPr>
                <w:rFonts w:ascii="Gill Sans MT" w:hAnsi="Gill Sans MT"/>
                <w:szCs w:val="22"/>
                <w:lang w:val="en-AU"/>
              </w:rPr>
              <w:t xml:space="preserve"> 214</w:t>
            </w:r>
            <w:r w:rsidR="00313BB4">
              <w:rPr>
                <w:rFonts w:ascii="Gill Sans MT" w:hAnsi="Gill Sans MT"/>
                <w:szCs w:val="22"/>
                <w:lang w:val="en-AU"/>
              </w:rPr>
              <w:t>–</w:t>
            </w:r>
            <w:r w:rsidRPr="00341A37">
              <w:rPr>
                <w:rFonts w:ascii="Gill Sans MT" w:hAnsi="Gill Sans MT"/>
                <w:szCs w:val="22"/>
                <w:lang w:val="en-AU"/>
              </w:rPr>
              <w:t>227.</w:t>
            </w:r>
          </w:p>
          <w:p w14:paraId="4064689A" w14:textId="77777777" w:rsidR="00D852E2" w:rsidRPr="00341A37" w:rsidRDefault="00D852E2" w:rsidP="00A16039">
            <w:pPr>
              <w:rPr>
                <w:rFonts w:ascii="Gill Sans MT" w:hAnsi="Gill Sans MT"/>
                <w:szCs w:val="22"/>
                <w:lang w:val="en-AU"/>
              </w:rPr>
            </w:pPr>
          </w:p>
          <w:p w14:paraId="670DABBE" w14:textId="77777777" w:rsidR="00D852E2" w:rsidRPr="00341A37" w:rsidRDefault="00D852E2" w:rsidP="00A16039">
            <w:pPr>
              <w:rPr>
                <w:rFonts w:ascii="Gill Sans MT" w:hAnsi="Gill Sans MT"/>
                <w:szCs w:val="22"/>
                <w:lang w:val="en-AU"/>
              </w:rPr>
            </w:pPr>
            <w:r w:rsidRPr="00341A37">
              <w:rPr>
                <w:rFonts w:ascii="Gill Sans MT" w:hAnsi="Gill Sans MT"/>
                <w:szCs w:val="22"/>
                <w:lang w:val="en-AU"/>
              </w:rPr>
              <w:t>UK</w:t>
            </w:r>
          </w:p>
          <w:p w14:paraId="33E93F58" w14:textId="77777777" w:rsidR="00D852E2" w:rsidRPr="00341A37" w:rsidRDefault="00D852E2" w:rsidP="00A16039">
            <w:pPr>
              <w:rPr>
                <w:rFonts w:ascii="Gill Sans MT" w:hAnsi="Gill Sans MT"/>
              </w:rPr>
            </w:pPr>
            <w:r w:rsidRPr="00341A37">
              <w:rPr>
                <w:rFonts w:ascii="Gill Sans MT" w:hAnsi="Gill Sans MT"/>
              </w:rPr>
              <w:t>Annotated by Liam Phelan</w:t>
            </w:r>
          </w:p>
          <w:p w14:paraId="162FD55C" w14:textId="4A3E4BEA" w:rsidR="00D852E2" w:rsidRPr="00341A37" w:rsidRDefault="00D852E2" w:rsidP="00A16039">
            <w:pPr>
              <w:rPr>
                <w:rFonts w:ascii="Gill Sans MT" w:hAnsi="Gill Sans MT"/>
                <w:szCs w:val="22"/>
              </w:rPr>
            </w:pPr>
          </w:p>
        </w:tc>
        <w:tc>
          <w:tcPr>
            <w:tcW w:w="10064" w:type="dxa"/>
          </w:tcPr>
          <w:p w14:paraId="4418DB5A"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Doctoral study and the widening participation (WP) agenda in the UK, with limited reference to Australia</w:t>
            </w:r>
          </w:p>
          <w:p w14:paraId="08A3D6A1"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Aim: </w:t>
            </w:r>
            <w:r w:rsidRPr="00341A37">
              <w:rPr>
                <w:rFonts w:ascii="Gill Sans MT" w:hAnsi="Gill Sans MT"/>
                <w:color w:val="000000"/>
                <w:szCs w:val="22"/>
                <w:lang w:val="en-AU"/>
              </w:rPr>
              <w:t>review the scant literature, claim there’s emergent institutional interest, set out a research agenda</w:t>
            </w:r>
          </w:p>
          <w:p w14:paraId="106D842E"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Theoretical frame:</w:t>
            </w:r>
            <w:r w:rsidRPr="00341A37">
              <w:rPr>
                <w:rFonts w:ascii="Gill Sans MT" w:hAnsi="Gill Sans MT"/>
                <w:color w:val="000000"/>
                <w:szCs w:val="22"/>
                <w:lang w:val="en-AU"/>
              </w:rPr>
              <w:t>?</w:t>
            </w:r>
          </w:p>
          <w:p w14:paraId="54749A33"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Methodology: </w:t>
            </w:r>
            <w:r w:rsidRPr="00341A37">
              <w:rPr>
                <w:rFonts w:ascii="Gill Sans MT" w:hAnsi="Gill Sans MT"/>
                <w:color w:val="000000"/>
                <w:szCs w:val="22"/>
                <w:lang w:val="en-AU"/>
              </w:rPr>
              <w:t>document analysis</w:t>
            </w:r>
          </w:p>
          <w:p w14:paraId="184C66EE"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Findings: </w:t>
            </w:r>
            <w:r w:rsidRPr="00341A37">
              <w:rPr>
                <w:rFonts w:ascii="Gill Sans MT" w:hAnsi="Gill Sans MT"/>
                <w:color w:val="000000"/>
                <w:szCs w:val="22"/>
                <w:lang w:val="en-AU"/>
              </w:rPr>
              <w:t>scant literature, no govt policy interest, emergent but still little institutional interest</w:t>
            </w:r>
          </w:p>
          <w:p w14:paraId="4615681E"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u w:val="single"/>
                <w:lang w:val="en-AU"/>
              </w:rPr>
              <w:t>it’s one model for how our project paper could be set out</w:t>
            </w:r>
          </w:p>
          <w:p w14:paraId="6D5F63E3"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big time! on (</w:t>
            </w:r>
            <w:proofErr w:type="spellStart"/>
            <w:r w:rsidRPr="00341A37">
              <w:rPr>
                <w:rFonts w:ascii="Gill Sans MT" w:hAnsi="Gill Sans MT"/>
                <w:color w:val="000000"/>
                <w:szCs w:val="22"/>
                <w:lang w:val="en-AU"/>
              </w:rPr>
              <w:t>i</w:t>
            </w:r>
            <w:proofErr w:type="spellEnd"/>
            <w:r w:rsidRPr="00341A37">
              <w:rPr>
                <w:rFonts w:ascii="Gill Sans MT" w:hAnsi="Gill Sans MT"/>
                <w:color w:val="000000"/>
                <w:szCs w:val="22"/>
                <w:lang w:val="en-AU"/>
              </w:rPr>
              <w:t>) access, (ii) transition, and (iii) students’ experiences</w:t>
            </w:r>
          </w:p>
        </w:tc>
      </w:tr>
      <w:tr w:rsidR="00D852E2" w:rsidRPr="00341A37" w14:paraId="7D713ADE" w14:textId="77777777" w:rsidTr="00A16039">
        <w:tc>
          <w:tcPr>
            <w:tcW w:w="5529" w:type="dxa"/>
          </w:tcPr>
          <w:p w14:paraId="1A3415E5" w14:textId="08407828" w:rsidR="00D852E2" w:rsidRPr="00341A37" w:rsidRDefault="00D852E2" w:rsidP="00A16039">
            <w:pPr>
              <w:rPr>
                <w:rFonts w:ascii="Gill Sans MT" w:hAnsi="Gill Sans MT"/>
                <w:szCs w:val="22"/>
              </w:rPr>
            </w:pPr>
            <w:r w:rsidRPr="00341A37">
              <w:rPr>
                <w:rFonts w:ascii="Gill Sans MT" w:hAnsi="Gill Sans MT"/>
                <w:sz w:val="24"/>
              </w:rPr>
              <w:t xml:space="preserve">O’Donnell, V., </w:t>
            </w:r>
            <w:proofErr w:type="spellStart"/>
            <w:r w:rsidRPr="00341A37">
              <w:rPr>
                <w:rFonts w:ascii="Gill Sans MT" w:hAnsi="Gill Sans MT"/>
                <w:sz w:val="24"/>
              </w:rPr>
              <w:t>Tobbell</w:t>
            </w:r>
            <w:proofErr w:type="spellEnd"/>
            <w:r w:rsidRPr="00341A37">
              <w:rPr>
                <w:rFonts w:ascii="Gill Sans MT" w:hAnsi="Gill Sans MT"/>
                <w:sz w:val="24"/>
              </w:rPr>
              <w:t xml:space="preserve">, J., </w:t>
            </w:r>
            <w:proofErr w:type="spellStart"/>
            <w:r w:rsidRPr="00341A37">
              <w:rPr>
                <w:rFonts w:ascii="Gill Sans MT" w:hAnsi="Gill Sans MT"/>
                <w:sz w:val="24"/>
              </w:rPr>
              <w:t>Lawthom</w:t>
            </w:r>
            <w:proofErr w:type="spellEnd"/>
            <w:r w:rsidRPr="00341A37">
              <w:rPr>
                <w:rFonts w:ascii="Gill Sans MT" w:hAnsi="Gill Sans MT"/>
                <w:sz w:val="24"/>
              </w:rPr>
              <w:t>, R., &amp; Zammit, M. (2009).</w:t>
            </w:r>
            <w:r w:rsidRPr="00341A37">
              <w:rPr>
                <w:rFonts w:ascii="Gill Sans MT" w:hAnsi="Gill Sans MT"/>
                <w:szCs w:val="22"/>
              </w:rPr>
              <w:t xml:space="preserve"> </w:t>
            </w:r>
            <w:hyperlink r:id="rId16" w:history="1">
              <w:r w:rsidRPr="00341A37">
                <w:rPr>
                  <w:rStyle w:val="Hyperlink"/>
                  <w:rFonts w:ascii="Gill Sans MT" w:hAnsi="Gill Sans MT"/>
                  <w:szCs w:val="22"/>
                </w:rPr>
                <w:t>Transition to postgraduate study: Practice, participation and the widening participation agenda</w:t>
              </w:r>
            </w:hyperlink>
            <w:r w:rsidRPr="00341A37">
              <w:rPr>
                <w:rFonts w:ascii="Gill Sans MT" w:hAnsi="Gill Sans MT"/>
                <w:szCs w:val="22"/>
              </w:rPr>
              <w:t xml:space="preserve">, </w:t>
            </w:r>
            <w:r w:rsidRPr="00341A37">
              <w:rPr>
                <w:rFonts w:ascii="Gill Sans MT" w:hAnsi="Gill Sans MT"/>
                <w:i/>
                <w:szCs w:val="22"/>
              </w:rPr>
              <w:t>Active Learning in Higher Education</w:t>
            </w:r>
            <w:r w:rsidRPr="00341A37">
              <w:rPr>
                <w:rFonts w:ascii="Gill Sans MT" w:hAnsi="Gill Sans MT"/>
                <w:szCs w:val="22"/>
              </w:rPr>
              <w:t>, 10(1)</w:t>
            </w:r>
            <w:r w:rsidR="00313BB4">
              <w:rPr>
                <w:rFonts w:ascii="Gill Sans MT" w:hAnsi="Gill Sans MT"/>
                <w:szCs w:val="22"/>
              </w:rPr>
              <w:t>,</w:t>
            </w:r>
            <w:r w:rsidRPr="00341A37">
              <w:rPr>
                <w:rFonts w:ascii="Gill Sans MT" w:hAnsi="Gill Sans MT"/>
                <w:szCs w:val="22"/>
              </w:rPr>
              <w:t xml:space="preserve"> 26</w:t>
            </w:r>
            <w:r w:rsidR="00313BB4">
              <w:rPr>
                <w:rFonts w:ascii="Gill Sans MT" w:hAnsi="Gill Sans MT"/>
                <w:szCs w:val="22"/>
              </w:rPr>
              <w:t>–</w:t>
            </w:r>
            <w:r w:rsidRPr="00341A37">
              <w:rPr>
                <w:rFonts w:ascii="Gill Sans MT" w:hAnsi="Gill Sans MT"/>
                <w:szCs w:val="22"/>
              </w:rPr>
              <w:t>40.</w:t>
            </w:r>
          </w:p>
          <w:p w14:paraId="5B38ADE8" w14:textId="77777777" w:rsidR="00D852E2" w:rsidRPr="00341A37" w:rsidRDefault="00D852E2" w:rsidP="00A16039">
            <w:pPr>
              <w:rPr>
                <w:rFonts w:ascii="Gill Sans MT" w:hAnsi="Gill Sans MT"/>
                <w:szCs w:val="22"/>
              </w:rPr>
            </w:pPr>
          </w:p>
          <w:p w14:paraId="28749492" w14:textId="77777777" w:rsidR="00D852E2" w:rsidRPr="00341A37" w:rsidRDefault="00D852E2" w:rsidP="00A16039">
            <w:pPr>
              <w:rPr>
                <w:rFonts w:ascii="Gill Sans MT" w:hAnsi="Gill Sans MT"/>
                <w:szCs w:val="22"/>
              </w:rPr>
            </w:pPr>
            <w:r w:rsidRPr="00341A37">
              <w:rPr>
                <w:rFonts w:ascii="Gill Sans MT" w:hAnsi="Gill Sans MT"/>
                <w:szCs w:val="22"/>
              </w:rPr>
              <w:t>UK</w:t>
            </w:r>
          </w:p>
          <w:p w14:paraId="5A71863E" w14:textId="77777777" w:rsidR="00D852E2" w:rsidRPr="00341A37" w:rsidRDefault="00D852E2" w:rsidP="00A16039">
            <w:pPr>
              <w:rPr>
                <w:rFonts w:ascii="Gill Sans MT" w:hAnsi="Gill Sans MT"/>
                <w:szCs w:val="22"/>
              </w:rPr>
            </w:pPr>
            <w:r w:rsidRPr="00341A37">
              <w:rPr>
                <w:rFonts w:ascii="Gill Sans MT" w:hAnsi="Gill Sans MT"/>
              </w:rPr>
              <w:t>Annotated by Sally Baker</w:t>
            </w:r>
          </w:p>
        </w:tc>
        <w:tc>
          <w:tcPr>
            <w:tcW w:w="10064" w:type="dxa"/>
          </w:tcPr>
          <w:p w14:paraId="5037E6E4"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Report on then ongoing Higher Education Academy- funded project on PG transition (aimed at exploring gap in the literature). Discusses WP/ offers definition p.27-8.</w:t>
            </w:r>
          </w:p>
          <w:p w14:paraId="0BA1A806"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Aim: </w:t>
            </w:r>
            <w:r w:rsidRPr="00341A37">
              <w:rPr>
                <w:rFonts w:ascii="Gill Sans MT" w:hAnsi="Gill Sans MT"/>
                <w:color w:val="000000"/>
                <w:szCs w:val="22"/>
                <w:lang w:val="en-AU"/>
              </w:rPr>
              <w:t>To explore transition in postgraduate (UK) context/ unpack assumptions</w:t>
            </w:r>
          </w:p>
          <w:p w14:paraId="53B7B6EF"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Theoretical frame: </w:t>
            </w:r>
            <w:r w:rsidRPr="00341A37">
              <w:rPr>
                <w:rFonts w:ascii="Gill Sans MT" w:hAnsi="Gill Sans MT"/>
                <w:color w:val="000000"/>
                <w:szCs w:val="22"/>
                <w:lang w:val="en-AU"/>
              </w:rPr>
              <w:t>Located in Communities of Practice framework – expansive view of transition to include learning, identity and participation</w:t>
            </w:r>
          </w:p>
          <w:p w14:paraId="49F1D6F9"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Methodology: </w:t>
            </w:r>
            <w:r w:rsidRPr="00341A37">
              <w:rPr>
                <w:rFonts w:ascii="Gill Sans MT" w:hAnsi="Gill Sans MT"/>
                <w:color w:val="000000"/>
                <w:szCs w:val="22"/>
                <w:lang w:val="en-AU"/>
              </w:rPr>
              <w:t>Qualitative ethnographic methodology within critical realist frame. Used semi-structured interviews with postgrad (Master/ PhD) students on commencement and then fortnightly email interviews for first term, then monthly emails. Also conducted interviews with 6 staff members responsible for PG teaching/supervision. Analysis: grounded theory/ CoP framework</w:t>
            </w:r>
          </w:p>
          <w:p w14:paraId="5DD0FABA" w14:textId="77777777" w:rsidR="00D852E2" w:rsidRPr="00341A37" w:rsidRDefault="00D852E2" w:rsidP="00A16039">
            <w:pPr>
              <w:rPr>
                <w:rFonts w:ascii="Gill Sans MT" w:hAnsi="Gill Sans MT"/>
                <w:i/>
              </w:rPr>
            </w:pPr>
            <w:r w:rsidRPr="00341A37">
              <w:rPr>
                <w:rFonts w:ascii="Gill Sans MT" w:hAnsi="Gill Sans MT"/>
                <w:b/>
                <w:color w:val="000000"/>
                <w:szCs w:val="22"/>
                <w:lang w:val="en-AU"/>
              </w:rPr>
              <w:t xml:space="preserve">Findings: </w:t>
            </w:r>
            <w:r w:rsidRPr="00341A37">
              <w:rPr>
                <w:rFonts w:ascii="Gill Sans MT" w:hAnsi="Gill Sans MT"/>
                <w:color w:val="000000"/>
                <w:szCs w:val="22"/>
                <w:lang w:val="en-AU"/>
              </w:rPr>
              <w:t>1) heterogeneity of PG students: implementation of WP agenda needs to recognise diversity of student body – often PG students are assumed to be relatively homogeneous: “</w:t>
            </w:r>
            <w:r w:rsidRPr="00341A37">
              <w:rPr>
                <w:rFonts w:ascii="Gill Sans MT" w:hAnsi="Gill Sans MT"/>
                <w:i/>
              </w:rPr>
              <w:t>This inaccurate assumption may arise from the idea that having an undergraduate degree means that students are skilled in the practices necessary for success in HE, and thus that there is little (if any) further transition to be made by that stage…. For all of them, difficulties in the transition to postgraduate study were experienced as difficulties in</w:t>
            </w:r>
          </w:p>
          <w:p w14:paraId="352F9D78" w14:textId="77777777" w:rsidR="00D852E2" w:rsidRPr="00341A37" w:rsidRDefault="00D852E2" w:rsidP="00A16039">
            <w:pPr>
              <w:rPr>
                <w:rFonts w:ascii="Gill Sans MT" w:hAnsi="Gill Sans MT"/>
              </w:rPr>
            </w:pPr>
            <w:r w:rsidRPr="00341A37">
              <w:rPr>
                <w:rFonts w:ascii="Gill Sans MT" w:hAnsi="Gill Sans MT"/>
                <w:i/>
              </w:rPr>
              <w:t>the mastery of key skills or academic practices, suggesting that postgraduate students do not come ‘equipped’ for their studies in higher education” (p.31</w:t>
            </w:r>
            <w:r w:rsidRPr="00341A37">
              <w:rPr>
                <w:rFonts w:ascii="Gill Sans MT" w:hAnsi="Gill Sans MT"/>
              </w:rPr>
              <w:t xml:space="preserve">). Academic practices appear to be excluding some PG students. Discuss increasing student numbers in context of ‘credential inflation’ (Van de </w:t>
            </w:r>
            <w:proofErr w:type="spellStart"/>
            <w:r w:rsidRPr="00341A37">
              <w:rPr>
                <w:rFonts w:ascii="Gill Sans MT" w:hAnsi="Gill Sans MT"/>
              </w:rPr>
              <w:t>Werfhost</w:t>
            </w:r>
            <w:proofErr w:type="spellEnd"/>
            <w:r w:rsidRPr="00341A37">
              <w:rPr>
                <w:rFonts w:ascii="Gill Sans MT" w:hAnsi="Gill Sans MT"/>
              </w:rPr>
              <w:t xml:space="preserve"> &amp; Anderson, 2005) – PG </w:t>
            </w:r>
            <w:r w:rsidRPr="00341A37">
              <w:rPr>
                <w:rFonts w:ascii="Gill Sans MT" w:hAnsi="Gill Sans MT"/>
              </w:rPr>
              <w:lastRenderedPageBreak/>
              <w:t>quals likely to become more popular. PG students could have gap between UG (if studied at all) and PG course. Struggles with tech also problematic. Also changing into different discipline area experienced as challenging.</w:t>
            </w:r>
          </w:p>
          <w:p w14:paraId="7EB8CDA5" w14:textId="77777777" w:rsidR="00D852E2" w:rsidRPr="00341A37" w:rsidRDefault="00D852E2" w:rsidP="00A16039">
            <w:pPr>
              <w:widowControl w:val="0"/>
              <w:autoSpaceDE w:val="0"/>
              <w:autoSpaceDN w:val="0"/>
              <w:adjustRightInd w:val="0"/>
              <w:rPr>
                <w:rFonts w:ascii="Gill Sans MT" w:hAnsi="Gill Sans MT"/>
                <w:color w:val="000000"/>
                <w:szCs w:val="22"/>
                <w:lang w:val="en-AU"/>
              </w:rPr>
            </w:pPr>
            <w:r w:rsidRPr="00341A37">
              <w:rPr>
                <w:rFonts w:ascii="Gill Sans MT" w:hAnsi="Gill Sans MT"/>
              </w:rPr>
              <w:t>2) teaching and learning at PG level: more independent learning (than for UG study) cited by students and staff but its translation into practice = unsatisfactory: “</w:t>
            </w:r>
            <w:r w:rsidRPr="00341A37">
              <w:rPr>
                <w:rFonts w:ascii="Gill Sans MT" w:hAnsi="Gill Sans MT"/>
                <w:i/>
              </w:rPr>
              <w:t>Clearly it will be difficult for postgraduate students to engage in the level of independent study that is expected and required of them, when the academic practices which they encounter do not assist them in the development of such skills</w:t>
            </w:r>
            <w:r w:rsidRPr="00341A37">
              <w:rPr>
                <w:rFonts w:ascii="Gill Sans MT" w:hAnsi="Gill Sans MT"/>
              </w:rPr>
              <w:t>” (p.37).</w:t>
            </w:r>
          </w:p>
          <w:p w14:paraId="73677DAA" w14:textId="43EC698B" w:rsidR="00D852E2" w:rsidRPr="00EB5422" w:rsidRDefault="00D852E2" w:rsidP="00A16039">
            <w:pPr>
              <w:rPr>
                <w:rFonts w:ascii="Gill Sans MT" w:hAnsi="Gill Sans MT"/>
                <w:i/>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Makes case that PG study is underpinned by assumptions about a homogeneous student body who have studied UG degree in same discipline and who have technological practices and familiarity with academic practices. Teaching and learning practices do not appear to do much to support students to become more independent learners: “</w:t>
            </w:r>
            <w:r w:rsidRPr="00341A37">
              <w:rPr>
                <w:rFonts w:ascii="Gill Sans MT" w:hAnsi="Gill Sans MT"/>
                <w:i/>
              </w:rPr>
              <w:t>At present, participation, and so success, is undermined by</w:t>
            </w:r>
            <w:r w:rsidR="00EB5422">
              <w:rPr>
                <w:rFonts w:ascii="Gill Sans MT" w:hAnsi="Gill Sans MT"/>
                <w:i/>
              </w:rPr>
              <w:t xml:space="preserve"> </w:t>
            </w:r>
            <w:r w:rsidRPr="00341A37">
              <w:rPr>
                <w:rFonts w:ascii="Gill Sans MT" w:hAnsi="Gill Sans MT"/>
                <w:i/>
              </w:rPr>
              <w:t>university processes which do not account for individual knowledge and skill bases which serve to undermine successful postgraduate trajectories</w:t>
            </w:r>
            <w:r w:rsidRPr="00341A37">
              <w:rPr>
                <w:rFonts w:ascii="Gill Sans MT" w:hAnsi="Gill Sans MT"/>
              </w:rPr>
              <w:t>” (p.38).</w:t>
            </w:r>
          </w:p>
          <w:p w14:paraId="73F0F198"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No</w:t>
            </w:r>
          </w:p>
        </w:tc>
      </w:tr>
      <w:tr w:rsidR="00D852E2" w:rsidRPr="00341A37" w14:paraId="25EB5A46" w14:textId="77777777" w:rsidTr="00A16039">
        <w:tc>
          <w:tcPr>
            <w:tcW w:w="5529" w:type="dxa"/>
          </w:tcPr>
          <w:p w14:paraId="3BEC9186" w14:textId="232D67D1" w:rsidR="00D852E2" w:rsidRPr="00341A37" w:rsidRDefault="00D852E2" w:rsidP="00A16039">
            <w:pPr>
              <w:rPr>
                <w:rFonts w:ascii="Gill Sans MT" w:hAnsi="Gill Sans MT"/>
                <w:szCs w:val="22"/>
              </w:rPr>
            </w:pPr>
            <w:r w:rsidRPr="00341A37">
              <w:rPr>
                <w:rFonts w:ascii="Gill Sans MT" w:hAnsi="Gill Sans MT"/>
                <w:szCs w:val="22"/>
              </w:rPr>
              <w:lastRenderedPageBreak/>
              <w:t xml:space="preserve">Stagg, A. &amp; </w:t>
            </w:r>
            <w:proofErr w:type="spellStart"/>
            <w:r w:rsidRPr="00341A37">
              <w:rPr>
                <w:rFonts w:ascii="Gill Sans MT" w:hAnsi="Gill Sans MT"/>
                <w:szCs w:val="22"/>
              </w:rPr>
              <w:t>Kimmins</w:t>
            </w:r>
            <w:proofErr w:type="spellEnd"/>
            <w:r w:rsidRPr="00341A37">
              <w:rPr>
                <w:rFonts w:ascii="Gill Sans MT" w:hAnsi="Gill Sans MT"/>
                <w:szCs w:val="22"/>
              </w:rPr>
              <w:t xml:space="preserve">, L. (2014). </w:t>
            </w:r>
            <w:hyperlink r:id="rId17" w:history="1">
              <w:r w:rsidRPr="00341A37">
                <w:rPr>
                  <w:rStyle w:val="Hyperlink"/>
                  <w:rFonts w:ascii="Gill Sans MT" w:hAnsi="Gill Sans MT"/>
                  <w:szCs w:val="22"/>
                </w:rPr>
                <w:t>First Year in Higher Education (FYHE) and the Coursework Post-Graduate Student</w:t>
              </w:r>
            </w:hyperlink>
            <w:r w:rsidRPr="00341A37">
              <w:rPr>
                <w:rFonts w:ascii="Gill Sans MT" w:hAnsi="Gill Sans MT"/>
                <w:szCs w:val="22"/>
              </w:rPr>
              <w:t xml:space="preserve">. </w:t>
            </w:r>
            <w:r w:rsidRPr="00341A37">
              <w:rPr>
                <w:rFonts w:ascii="Gill Sans MT" w:hAnsi="Gill Sans MT"/>
                <w:i/>
                <w:szCs w:val="22"/>
              </w:rPr>
              <w:t>The Journal of Academic Librarianship</w:t>
            </w:r>
            <w:r w:rsidRPr="00341A37">
              <w:rPr>
                <w:rFonts w:ascii="Gill Sans MT" w:hAnsi="Gill Sans MT"/>
                <w:szCs w:val="22"/>
              </w:rPr>
              <w:t>, 40</w:t>
            </w:r>
            <w:r w:rsidR="00313BB4">
              <w:rPr>
                <w:rFonts w:ascii="Gill Sans MT" w:hAnsi="Gill Sans MT"/>
                <w:szCs w:val="22"/>
              </w:rPr>
              <w:t>,</w:t>
            </w:r>
            <w:r w:rsidRPr="00341A37">
              <w:rPr>
                <w:rFonts w:ascii="Gill Sans MT" w:hAnsi="Gill Sans MT"/>
                <w:szCs w:val="22"/>
              </w:rPr>
              <w:t xml:space="preserve"> 142</w:t>
            </w:r>
            <w:r w:rsidR="00313BB4">
              <w:rPr>
                <w:rFonts w:ascii="Gill Sans MT" w:hAnsi="Gill Sans MT"/>
                <w:szCs w:val="22"/>
              </w:rPr>
              <w:t>–</w:t>
            </w:r>
            <w:r w:rsidRPr="00341A37">
              <w:rPr>
                <w:rFonts w:ascii="Gill Sans MT" w:hAnsi="Gill Sans MT"/>
                <w:szCs w:val="22"/>
              </w:rPr>
              <w:t>151.</w:t>
            </w:r>
          </w:p>
          <w:p w14:paraId="7D979E83" w14:textId="77777777" w:rsidR="00D852E2" w:rsidRPr="00341A37" w:rsidRDefault="00D852E2" w:rsidP="00A16039">
            <w:pPr>
              <w:rPr>
                <w:rFonts w:ascii="Gill Sans MT" w:hAnsi="Gill Sans MT"/>
                <w:szCs w:val="22"/>
              </w:rPr>
            </w:pPr>
          </w:p>
          <w:p w14:paraId="3CA909D1" w14:textId="77777777" w:rsidR="00D852E2" w:rsidRPr="00341A37" w:rsidRDefault="00D852E2" w:rsidP="00A16039">
            <w:pPr>
              <w:rPr>
                <w:rFonts w:ascii="Gill Sans MT" w:hAnsi="Gill Sans MT"/>
                <w:szCs w:val="22"/>
              </w:rPr>
            </w:pPr>
            <w:r w:rsidRPr="00341A37">
              <w:rPr>
                <w:rFonts w:ascii="Gill Sans MT" w:hAnsi="Gill Sans MT"/>
                <w:szCs w:val="22"/>
              </w:rPr>
              <w:t>AUS</w:t>
            </w:r>
          </w:p>
          <w:p w14:paraId="2A34750D" w14:textId="77777777" w:rsidR="00D852E2" w:rsidRPr="00341A37" w:rsidRDefault="00D852E2" w:rsidP="00A16039">
            <w:pPr>
              <w:rPr>
                <w:rFonts w:ascii="Gill Sans MT" w:hAnsi="Gill Sans MT"/>
                <w:szCs w:val="22"/>
              </w:rPr>
            </w:pPr>
            <w:r w:rsidRPr="00341A37">
              <w:rPr>
                <w:rFonts w:ascii="Gill Sans MT" w:hAnsi="Gill Sans MT"/>
              </w:rPr>
              <w:t>Annotated by Sally Baker</w:t>
            </w:r>
          </w:p>
        </w:tc>
        <w:tc>
          <w:tcPr>
            <w:tcW w:w="10064" w:type="dxa"/>
          </w:tcPr>
          <w:p w14:paraId="397B43D2"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 xml:space="preserve"> Looks at PGCW and transition – pointing out the lack of FYHE focus for PGCW students, </w:t>
            </w:r>
            <w:proofErr w:type="gramStart"/>
            <w:r w:rsidRPr="00341A37">
              <w:rPr>
                <w:rFonts w:ascii="Gill Sans MT" w:hAnsi="Gill Sans MT"/>
                <w:color w:val="000000"/>
                <w:szCs w:val="22"/>
                <w:lang w:val="en-AU"/>
              </w:rPr>
              <w:t>particularly  “</w:t>
            </w:r>
            <w:proofErr w:type="gramEnd"/>
            <w:r w:rsidRPr="00341A37">
              <w:rPr>
                <w:rFonts w:ascii="Gill Sans MT" w:hAnsi="Gill Sans MT"/>
                <w:color w:val="000000"/>
                <w:szCs w:val="22"/>
                <w:lang w:val="en-AU"/>
              </w:rPr>
              <w:t xml:space="preserve">foundational skills for academic success” (abstract). Study located at </w:t>
            </w:r>
            <w:proofErr w:type="gramStart"/>
            <w:r w:rsidRPr="00341A37">
              <w:rPr>
                <w:rFonts w:ascii="Gill Sans MT" w:hAnsi="Gill Sans MT"/>
                <w:color w:val="000000"/>
                <w:szCs w:val="22"/>
                <w:lang w:val="en-AU"/>
              </w:rPr>
              <w:t>USQ  -</w:t>
            </w:r>
            <w:proofErr w:type="gramEnd"/>
            <w:r w:rsidRPr="00341A37">
              <w:rPr>
                <w:rFonts w:ascii="Gill Sans MT" w:hAnsi="Gill Sans MT"/>
                <w:color w:val="000000"/>
                <w:szCs w:val="22"/>
                <w:lang w:val="en-AU"/>
              </w:rPr>
              <w:t xml:space="preserve"> faculty in Business and Law had recognised need for more support for PGCW students (particularly locating and evaluating “reputable information sources” (p.142). Critique of generic study skills courses. Some discussion of affective domain (p.143-4). Review of transition/ PG notes that PhD/ international students have been primary subject of transition research (after UG students). Literature reports that students view themselves holistically (not compartmentalising their experiences/emotions). Cites Symons (2001) – The Glasgow Study – of PGCW students which noted that PGCW students experience difficulty understanding expectations (and academics assume PGCW students know what is expected on basis of PG study and rarely ask for help). “</w:t>
            </w:r>
            <w:r w:rsidRPr="00341A37">
              <w:rPr>
                <w:rFonts w:ascii="Gill Sans MT" w:hAnsi="Gill Sans MT"/>
                <w:i/>
              </w:rPr>
              <w:t>This suggests that support for coursework postgraduate students (just as it is for undergraduate students) needs to be asynchronous, just-in-time and situated within the immediate discipline context</w:t>
            </w:r>
            <w:r w:rsidRPr="00341A37">
              <w:rPr>
                <w:rFonts w:ascii="Gill Sans MT" w:hAnsi="Gill Sans MT"/>
              </w:rPr>
              <w:t>” (p.144).</w:t>
            </w:r>
            <w:r w:rsidRPr="00341A37">
              <w:rPr>
                <w:rFonts w:ascii="Gill Sans MT" w:hAnsi="Gill Sans MT"/>
                <w:color w:val="000000"/>
                <w:szCs w:val="22"/>
                <w:lang w:val="en-AU"/>
              </w:rPr>
              <w:tab/>
              <w:t xml:space="preserve"> </w:t>
            </w:r>
          </w:p>
          <w:p w14:paraId="48E5AFCC"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Aim: “</w:t>
            </w:r>
            <w:r w:rsidRPr="00341A37">
              <w:rPr>
                <w:rFonts w:ascii="Gill Sans MT" w:hAnsi="Gill Sans MT"/>
              </w:rPr>
              <w:t xml:space="preserve">to establish whether evidence of cohort differences existed between undergraduate and post-graduate coursework students in relation to their information seeking </w:t>
            </w:r>
            <w:proofErr w:type="spellStart"/>
            <w:r w:rsidRPr="00341A37">
              <w:rPr>
                <w:rFonts w:ascii="Gill Sans MT" w:hAnsi="Gill Sans MT"/>
              </w:rPr>
              <w:t>behaviour</w:t>
            </w:r>
            <w:proofErr w:type="spellEnd"/>
            <w:r w:rsidRPr="00341A37">
              <w:rPr>
                <w:rFonts w:ascii="Gill Sans MT" w:hAnsi="Gill Sans MT"/>
              </w:rPr>
              <w:t xml:space="preserve"> and confidence levels for assignment work” (p.146).</w:t>
            </w:r>
          </w:p>
          <w:p w14:paraId="2E95FD27"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Hypotheses: </w:t>
            </w:r>
            <w:r w:rsidRPr="00341A37">
              <w:rPr>
                <w:rFonts w:ascii="Gill Sans MT" w:hAnsi="Gill Sans MT"/>
                <w:color w:val="000000"/>
                <w:szCs w:val="22"/>
                <w:lang w:val="en-AU"/>
              </w:rPr>
              <w:t>1) students (UG &amp; PG) will rely on OER rather than subscription sources; 2) students (UG &amp; PG) will lack confidence in ability to locate and evaluate academic information; 3) students (UG &amp; PG) will lack confidence in ability to collate information found; 4) role of librarian to be considered more highly by PG rather than UG students</w:t>
            </w:r>
          </w:p>
          <w:p w14:paraId="4B1D850D"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lastRenderedPageBreak/>
              <w:t xml:space="preserve">Methodology: </w:t>
            </w:r>
            <w:r w:rsidRPr="00341A37">
              <w:rPr>
                <w:rFonts w:ascii="Gill Sans MT" w:hAnsi="Gill Sans MT"/>
                <w:color w:val="000000"/>
                <w:szCs w:val="22"/>
                <w:lang w:val="en-AU"/>
              </w:rPr>
              <w:t xml:space="preserve">3 year study – survey students to improve information literacy skills development classes within the disciplines based on 3 information literacy models: behavioural, process and communication (see </w:t>
            </w:r>
            <w:proofErr w:type="spellStart"/>
            <w:r w:rsidRPr="00341A37">
              <w:rPr>
                <w:rFonts w:ascii="Gill Sans MT" w:hAnsi="Gill Sans MT"/>
                <w:color w:val="000000"/>
                <w:szCs w:val="22"/>
                <w:lang w:val="en-AU"/>
              </w:rPr>
              <w:t>Sundin</w:t>
            </w:r>
            <w:proofErr w:type="spellEnd"/>
            <w:r w:rsidRPr="00341A37">
              <w:rPr>
                <w:rFonts w:ascii="Gill Sans MT" w:hAnsi="Gill Sans MT"/>
                <w:color w:val="000000"/>
                <w:szCs w:val="22"/>
                <w:lang w:val="en-AU"/>
              </w:rPr>
              <w:t>, 2008). Students surveyed as part of class - 352 students responded over the 3 years (216 UG, 126 PG students). Survey administered by Keypad Clickers = 8 questions (</w:t>
            </w:r>
            <w:proofErr w:type="spellStart"/>
            <w:r w:rsidRPr="00341A37">
              <w:rPr>
                <w:rFonts w:ascii="Gill Sans MT" w:hAnsi="Gill Sans MT"/>
                <w:color w:val="000000"/>
                <w:szCs w:val="22"/>
                <w:lang w:val="en-AU"/>
              </w:rPr>
              <w:t>likert</w:t>
            </w:r>
            <w:proofErr w:type="spellEnd"/>
            <w:r w:rsidRPr="00341A37">
              <w:rPr>
                <w:rFonts w:ascii="Gill Sans MT" w:hAnsi="Gill Sans MT"/>
                <w:color w:val="000000"/>
                <w:szCs w:val="22"/>
                <w:lang w:val="en-AU"/>
              </w:rPr>
              <w:t xml:space="preserve"> scale) </w:t>
            </w:r>
          </w:p>
          <w:p w14:paraId="4686334A"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Findings: </w:t>
            </w:r>
            <w:r w:rsidRPr="00341A37">
              <w:rPr>
                <w:rFonts w:ascii="Gill Sans MT" w:hAnsi="Gill Sans MT"/>
                <w:color w:val="000000"/>
                <w:szCs w:val="22"/>
                <w:lang w:val="en-AU"/>
              </w:rPr>
              <w:t xml:space="preserve">Discussion of use of Google/Wikipedia (p.146). Only two aspects = statistically significant difference: UG students more likely to use Wikipedia </w:t>
            </w:r>
            <w:proofErr w:type="gramStart"/>
            <w:r w:rsidRPr="00341A37">
              <w:rPr>
                <w:rFonts w:ascii="Gill Sans MT" w:hAnsi="Gill Sans MT"/>
                <w:color w:val="000000"/>
                <w:szCs w:val="22"/>
                <w:lang w:val="en-AU"/>
              </w:rPr>
              <w:t>and  PG</w:t>
            </w:r>
            <w:proofErr w:type="gramEnd"/>
            <w:r w:rsidRPr="00341A37">
              <w:rPr>
                <w:rFonts w:ascii="Gill Sans MT" w:hAnsi="Gill Sans MT"/>
                <w:color w:val="000000"/>
                <w:szCs w:val="22"/>
                <w:lang w:val="en-AU"/>
              </w:rPr>
              <w:t xml:space="preserve"> students more likely to seek help from librarian. All students overwhelmingly prefer Google as first place to seek help</w:t>
            </w:r>
          </w:p>
          <w:p w14:paraId="256A897B"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Discusses how some students enter an MBA via RPL rather than UG study and so the MBA is their first experience of university. With little statistical difference between UG and PGCW cohorts, ideas about FYHE need to be reconsidered (p.148)</w:t>
            </w:r>
          </w:p>
          <w:p w14:paraId="0329073C"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Pedagogical intervention suggested? </w:t>
            </w:r>
            <w:r w:rsidRPr="00341A37">
              <w:rPr>
                <w:rFonts w:ascii="Gill Sans MT" w:hAnsi="Gill Sans MT"/>
                <w:color w:val="000000"/>
                <w:szCs w:val="22"/>
                <w:lang w:val="en-AU"/>
              </w:rPr>
              <w:t>Librarian-focused so no pedagogical discussion. Authors argue against bolt-on information literacy sessions and for embedded in courses</w:t>
            </w:r>
          </w:p>
          <w:p w14:paraId="58072A37"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Not really</w:t>
            </w:r>
          </w:p>
        </w:tc>
      </w:tr>
      <w:tr w:rsidR="00D852E2" w:rsidRPr="00341A37" w14:paraId="61B3B00B" w14:textId="77777777" w:rsidTr="00A16039">
        <w:tc>
          <w:tcPr>
            <w:tcW w:w="5529" w:type="dxa"/>
          </w:tcPr>
          <w:p w14:paraId="50F2F530" w14:textId="13E842FD" w:rsidR="00D852E2" w:rsidRPr="00341A37" w:rsidRDefault="00D852E2" w:rsidP="00A16039">
            <w:pPr>
              <w:rPr>
                <w:rFonts w:ascii="Gill Sans MT" w:hAnsi="Gill Sans MT"/>
                <w:szCs w:val="22"/>
              </w:rPr>
            </w:pPr>
            <w:proofErr w:type="spellStart"/>
            <w:r w:rsidRPr="00341A37">
              <w:rPr>
                <w:rFonts w:ascii="Gill Sans MT" w:hAnsi="Gill Sans MT"/>
                <w:szCs w:val="22"/>
              </w:rPr>
              <w:lastRenderedPageBreak/>
              <w:t>Tobbell</w:t>
            </w:r>
            <w:proofErr w:type="spellEnd"/>
            <w:r w:rsidRPr="00341A37">
              <w:rPr>
                <w:rFonts w:ascii="Gill Sans MT" w:hAnsi="Gill Sans MT"/>
                <w:szCs w:val="22"/>
              </w:rPr>
              <w:t xml:space="preserve">, J.; O’Donnell, V. &amp; Zammit, M. (2010). </w:t>
            </w:r>
            <w:hyperlink r:id="rId18" w:history="1">
              <w:r w:rsidRPr="00341A37">
                <w:rPr>
                  <w:rStyle w:val="Hyperlink"/>
                  <w:rFonts w:ascii="Gill Sans MT" w:hAnsi="Gill Sans MT"/>
                  <w:szCs w:val="22"/>
                </w:rPr>
                <w:t>Exploring transition to postgraduate study: shifting identities in interaction with communities, practice and participation</w:t>
              </w:r>
            </w:hyperlink>
            <w:r w:rsidRPr="00341A37">
              <w:rPr>
                <w:rFonts w:ascii="Gill Sans MT" w:hAnsi="Gill Sans MT"/>
                <w:szCs w:val="22"/>
              </w:rPr>
              <w:t xml:space="preserve">, </w:t>
            </w:r>
            <w:r w:rsidRPr="00341A37">
              <w:rPr>
                <w:rFonts w:ascii="Gill Sans MT" w:hAnsi="Gill Sans MT"/>
                <w:i/>
                <w:szCs w:val="22"/>
              </w:rPr>
              <w:t>British Educational Research Journal</w:t>
            </w:r>
            <w:r w:rsidRPr="00341A37">
              <w:rPr>
                <w:rFonts w:ascii="Gill Sans MT" w:hAnsi="Gill Sans MT"/>
                <w:szCs w:val="22"/>
              </w:rPr>
              <w:t>, 36(2)</w:t>
            </w:r>
            <w:r w:rsidR="00313BB4">
              <w:rPr>
                <w:rFonts w:ascii="Gill Sans MT" w:hAnsi="Gill Sans MT"/>
                <w:szCs w:val="22"/>
              </w:rPr>
              <w:t>,</w:t>
            </w:r>
            <w:r w:rsidRPr="00341A37">
              <w:rPr>
                <w:rFonts w:ascii="Gill Sans MT" w:hAnsi="Gill Sans MT"/>
                <w:szCs w:val="22"/>
              </w:rPr>
              <w:t xml:space="preserve"> 261</w:t>
            </w:r>
            <w:r w:rsidR="00313BB4">
              <w:rPr>
                <w:rFonts w:ascii="Gill Sans MT" w:hAnsi="Gill Sans MT"/>
                <w:szCs w:val="22"/>
              </w:rPr>
              <w:t>–</w:t>
            </w:r>
            <w:r w:rsidRPr="00341A37">
              <w:rPr>
                <w:rFonts w:ascii="Gill Sans MT" w:hAnsi="Gill Sans MT"/>
                <w:szCs w:val="22"/>
              </w:rPr>
              <w:t>278.</w:t>
            </w:r>
          </w:p>
          <w:p w14:paraId="13B51067" w14:textId="77777777" w:rsidR="00D852E2" w:rsidRPr="00341A37" w:rsidRDefault="00D852E2" w:rsidP="00A16039">
            <w:pPr>
              <w:rPr>
                <w:rFonts w:ascii="Gill Sans MT" w:hAnsi="Gill Sans MT"/>
                <w:szCs w:val="22"/>
              </w:rPr>
            </w:pPr>
          </w:p>
          <w:p w14:paraId="2442EA5B" w14:textId="77777777" w:rsidR="00D852E2" w:rsidRPr="00341A37" w:rsidRDefault="00D852E2" w:rsidP="00A16039">
            <w:pPr>
              <w:rPr>
                <w:rFonts w:ascii="Gill Sans MT" w:hAnsi="Gill Sans MT"/>
                <w:szCs w:val="22"/>
              </w:rPr>
            </w:pPr>
            <w:r w:rsidRPr="00341A37">
              <w:rPr>
                <w:rFonts w:ascii="Gill Sans MT" w:hAnsi="Gill Sans MT"/>
                <w:szCs w:val="22"/>
              </w:rPr>
              <w:t>UK</w:t>
            </w:r>
          </w:p>
          <w:p w14:paraId="52382C23" w14:textId="77777777" w:rsidR="00D852E2" w:rsidRPr="00341A37" w:rsidRDefault="00D852E2" w:rsidP="00A16039">
            <w:pPr>
              <w:rPr>
                <w:rFonts w:ascii="Gill Sans MT" w:hAnsi="Gill Sans MT"/>
                <w:szCs w:val="22"/>
              </w:rPr>
            </w:pPr>
            <w:r w:rsidRPr="00341A37">
              <w:rPr>
                <w:rFonts w:ascii="Gill Sans MT" w:hAnsi="Gill Sans MT"/>
              </w:rPr>
              <w:t>Annotated by Sally Baker</w:t>
            </w:r>
          </w:p>
        </w:tc>
        <w:tc>
          <w:tcPr>
            <w:tcW w:w="10064" w:type="dxa"/>
          </w:tcPr>
          <w:p w14:paraId="50022AF5" w14:textId="77777777" w:rsidR="00D852E2" w:rsidRPr="00341A37" w:rsidRDefault="00D852E2" w:rsidP="00A16039">
            <w:pPr>
              <w:widowControl w:val="0"/>
              <w:autoSpaceDE w:val="0"/>
              <w:autoSpaceDN w:val="0"/>
              <w:adjustRightInd w:val="0"/>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 xml:space="preserve">Reports on HEA-funded project exploring transitions into </w:t>
            </w:r>
            <w:proofErr w:type="gramStart"/>
            <w:r w:rsidRPr="00341A37">
              <w:rPr>
                <w:rFonts w:ascii="Gill Sans MT" w:hAnsi="Gill Sans MT"/>
                <w:color w:val="000000"/>
                <w:szCs w:val="22"/>
                <w:lang w:val="en-AU"/>
              </w:rPr>
              <w:t>PG  based</w:t>
            </w:r>
            <w:proofErr w:type="gramEnd"/>
            <w:r w:rsidRPr="00341A37">
              <w:rPr>
                <w:rFonts w:ascii="Gill Sans MT" w:hAnsi="Gill Sans MT"/>
                <w:color w:val="000000"/>
                <w:szCs w:val="22"/>
                <w:lang w:val="en-AU"/>
              </w:rPr>
              <w:t xml:space="preserve"> on ethnographic work with students in 5 UK universities. This paper examines the multiplicity of identities = construct student experience and transition. Paper based around the dearth of literature exploring transitions to PG, based on assumption that “</w:t>
            </w:r>
            <w:r w:rsidRPr="00341A37">
              <w:rPr>
                <w:rFonts w:ascii="Gill Sans MT" w:hAnsi="Gill Sans MT"/>
                <w:color w:val="000000"/>
                <w:szCs w:val="22"/>
              </w:rPr>
              <w:t>the nature of the transition is less challenging as it may be assumed that there is little to overcome in moving from undergraduate to postgraduate study because, essentially, the environment does not change” (p.261), which results “</w:t>
            </w:r>
            <w:r w:rsidRPr="00341A37">
              <w:rPr>
                <w:rFonts w:ascii="Gill Sans MT" w:hAnsi="Gill Sans MT" w:cs="Times New Roman"/>
                <w:color w:val="292526"/>
                <w:szCs w:val="22"/>
              </w:rPr>
              <w:t>in their construction, albeit in an implicit way, as ‘expert’ students” (p.262)</w:t>
            </w:r>
          </w:p>
          <w:p w14:paraId="7E36D696"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Aim: </w:t>
            </w:r>
          </w:p>
          <w:p w14:paraId="18D333AD" w14:textId="77777777" w:rsidR="00D852E2" w:rsidRPr="00341A37" w:rsidRDefault="00D852E2" w:rsidP="00A16039">
            <w:pPr>
              <w:widowControl w:val="0"/>
              <w:autoSpaceDE w:val="0"/>
              <w:autoSpaceDN w:val="0"/>
              <w:adjustRightInd w:val="0"/>
              <w:rPr>
                <w:rFonts w:ascii="Gill Sans MT" w:hAnsi="Gill Sans MT"/>
                <w:color w:val="000000"/>
                <w:szCs w:val="22"/>
                <w:lang w:val="en-AU"/>
              </w:rPr>
            </w:pPr>
            <w:r w:rsidRPr="00341A37">
              <w:rPr>
                <w:rFonts w:ascii="Gill Sans MT" w:hAnsi="Gill Sans MT"/>
                <w:b/>
                <w:color w:val="000000"/>
                <w:szCs w:val="22"/>
                <w:lang w:val="en-AU"/>
              </w:rPr>
              <w:t xml:space="preserve">Theoretical frame: </w:t>
            </w:r>
            <w:r w:rsidRPr="00341A37">
              <w:rPr>
                <w:rFonts w:ascii="Gill Sans MT" w:hAnsi="Gill Sans MT"/>
                <w:color w:val="000000"/>
                <w:szCs w:val="22"/>
                <w:lang w:val="en-AU"/>
              </w:rPr>
              <w:t>Works from view of learning as social process; draws on Lave and Wenger’s theory of CoP. Theory of transition = shift between (from/to) educational environments (physical/ levels of complexity/ mode of study/ underpinning meanings of study – p.265)</w:t>
            </w:r>
            <w:proofErr w:type="gramStart"/>
            <w:r w:rsidRPr="00341A37">
              <w:rPr>
                <w:rFonts w:ascii="Gill Sans MT" w:hAnsi="Gill Sans MT"/>
                <w:color w:val="000000"/>
                <w:szCs w:val="22"/>
                <w:lang w:val="en-AU"/>
              </w:rPr>
              <w:t>: ”</w:t>
            </w:r>
            <w:proofErr w:type="gramEnd"/>
            <w:r w:rsidRPr="00341A37">
              <w:rPr>
                <w:rFonts w:ascii="Gill Sans MT" w:hAnsi="Gill Sans MT" w:cs="Times New Roman"/>
                <w:color w:val="292526"/>
                <w:szCs w:val="22"/>
              </w:rPr>
              <w:t xml:space="preserve"> Transition identities, then, are not linear and ‘clean’. Rather they are the work of </w:t>
            </w:r>
            <w:proofErr w:type="spellStart"/>
            <w:r w:rsidRPr="00341A37">
              <w:rPr>
                <w:rFonts w:ascii="Gill Sans MT" w:hAnsi="Gill Sans MT" w:cs="Times New Roman"/>
                <w:color w:val="292526"/>
                <w:szCs w:val="22"/>
              </w:rPr>
              <w:t>internalising</w:t>
            </w:r>
            <w:proofErr w:type="spellEnd"/>
            <w:r w:rsidRPr="00341A37">
              <w:rPr>
                <w:rFonts w:ascii="Gill Sans MT" w:hAnsi="Gill Sans MT" w:cs="Times New Roman"/>
                <w:color w:val="292526"/>
                <w:szCs w:val="22"/>
              </w:rPr>
              <w:t xml:space="preserve"> and enacting change in the face of contradictory emotion and experience” (p.266). Also draws on Wenger and Butler’s ideas of the power of silence and absence of action (p.272)</w:t>
            </w:r>
          </w:p>
          <w:p w14:paraId="79723EFF"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Methodology: </w:t>
            </w:r>
            <w:r w:rsidRPr="00341A37">
              <w:rPr>
                <w:rFonts w:ascii="Gill Sans MT" w:hAnsi="Gill Sans MT"/>
                <w:color w:val="000000"/>
                <w:szCs w:val="22"/>
                <w:lang w:val="en-AU"/>
              </w:rPr>
              <w:t>Ethnographic – to ensure micro/macro engagement with student/staff lives: 44 PG students (taught MA, research MA, doctoral), 6 staff members (f2f data collection); 180 students, 6 staff (participant observation data collection)</w:t>
            </w:r>
          </w:p>
          <w:p w14:paraId="2EE7C3F5" w14:textId="77777777" w:rsidR="00D852E2" w:rsidRPr="00341A37" w:rsidRDefault="00D852E2" w:rsidP="00A16039">
            <w:pPr>
              <w:rPr>
                <w:rFonts w:ascii="Gill Sans MT" w:hAnsi="Gill Sans MT"/>
                <w:color w:val="000000"/>
                <w:szCs w:val="22"/>
              </w:rPr>
            </w:pPr>
            <w:r w:rsidRPr="00341A37">
              <w:rPr>
                <w:rFonts w:ascii="Gill Sans MT" w:hAnsi="Gill Sans MT"/>
                <w:b/>
                <w:color w:val="000000"/>
                <w:szCs w:val="22"/>
                <w:lang w:val="en-AU"/>
              </w:rPr>
              <w:t xml:space="preserve">Findings: </w:t>
            </w:r>
            <w:r w:rsidRPr="00341A37">
              <w:rPr>
                <w:rFonts w:ascii="Gill Sans MT" w:hAnsi="Gill Sans MT"/>
                <w:color w:val="000000"/>
                <w:szCs w:val="22"/>
                <w:lang w:val="en-AU"/>
              </w:rPr>
              <w:t xml:space="preserve">No differences between taught MA and doctoral students. Finding 1) dominance in data regarding students’ lives outside of studies and need for whole-of-life view of transition rather than restricting the view </w:t>
            </w:r>
            <w:r w:rsidRPr="00341A37">
              <w:rPr>
                <w:rFonts w:ascii="Gill Sans MT" w:hAnsi="Gill Sans MT"/>
                <w:color w:val="000000"/>
                <w:szCs w:val="22"/>
                <w:lang w:val="en-AU"/>
              </w:rPr>
              <w:lastRenderedPageBreak/>
              <w:t>to students’ learning/engagement in curriculum. All participants (spontaneously) expressed frustration with the difficulty of balancing PG study and their “complicated” personal lives (p.269): “</w:t>
            </w:r>
            <w:r w:rsidRPr="00341A37">
              <w:rPr>
                <w:rFonts w:ascii="Gill Sans MT" w:hAnsi="Gill Sans MT"/>
                <w:color w:val="000000"/>
                <w:szCs w:val="22"/>
              </w:rPr>
              <w:t xml:space="preserve">Many postgraduate students are giving up time and money, which indicates a commitment and involvement with the </w:t>
            </w:r>
            <w:proofErr w:type="gramStart"/>
            <w:r w:rsidRPr="00341A37">
              <w:rPr>
                <w:rFonts w:ascii="Gill Sans MT" w:hAnsi="Gill Sans MT"/>
                <w:color w:val="000000"/>
                <w:szCs w:val="22"/>
              </w:rPr>
              <w:t>process</w:t>
            </w:r>
            <w:proofErr w:type="gramEnd"/>
            <w:r w:rsidRPr="00341A37">
              <w:rPr>
                <w:rFonts w:ascii="Gill Sans MT" w:hAnsi="Gill Sans MT"/>
                <w:color w:val="000000"/>
                <w:szCs w:val="22"/>
              </w:rPr>
              <w:t xml:space="preserve"> but this exists in parallel with the tensions of family demands and self-denial” (p.270). Students’ self-reporting (through diaries) suggests that students with family responsibilities and jobs were time poor = unsurprising but important because “university structures tended not to be flexible </w:t>
            </w:r>
            <w:proofErr w:type="gramStart"/>
            <w:r w:rsidRPr="00341A37">
              <w:rPr>
                <w:rFonts w:ascii="Gill Sans MT" w:hAnsi="Gill Sans MT"/>
                <w:color w:val="000000"/>
                <w:szCs w:val="22"/>
              </w:rPr>
              <w:t>and in many cases</w:t>
            </w:r>
            <w:proofErr w:type="gramEnd"/>
            <w:r w:rsidRPr="00341A37">
              <w:rPr>
                <w:rFonts w:ascii="Gill Sans MT" w:hAnsi="Gill Sans MT"/>
                <w:color w:val="000000"/>
                <w:szCs w:val="22"/>
              </w:rPr>
              <w:t xml:space="preserve"> seemed not to be designed with the student in mind” (p.271). </w:t>
            </w:r>
          </w:p>
          <w:p w14:paraId="0C5569A5" w14:textId="77777777" w:rsidR="00D852E2" w:rsidRPr="00341A37" w:rsidRDefault="00D852E2" w:rsidP="00A16039">
            <w:pPr>
              <w:rPr>
                <w:rFonts w:ascii="Gill Sans MT" w:hAnsi="Gill Sans MT"/>
                <w:color w:val="000000"/>
                <w:szCs w:val="22"/>
              </w:rPr>
            </w:pPr>
            <w:r w:rsidRPr="00341A37">
              <w:rPr>
                <w:rFonts w:ascii="Gill Sans MT" w:hAnsi="Gill Sans MT"/>
                <w:color w:val="000000"/>
                <w:szCs w:val="22"/>
              </w:rPr>
              <w:t xml:space="preserve">There was little reference to students’ outside lives by staff members. </w:t>
            </w:r>
          </w:p>
          <w:p w14:paraId="43C29809" w14:textId="77777777" w:rsidR="00D852E2" w:rsidRPr="00341A37" w:rsidRDefault="00D852E2" w:rsidP="00A16039">
            <w:pPr>
              <w:rPr>
                <w:rFonts w:ascii="Gill Sans MT" w:hAnsi="Gill Sans MT"/>
                <w:color w:val="000000"/>
                <w:szCs w:val="22"/>
              </w:rPr>
            </w:pPr>
            <w:r w:rsidRPr="00341A37">
              <w:rPr>
                <w:rFonts w:ascii="Gill Sans MT" w:hAnsi="Gill Sans MT"/>
                <w:color w:val="000000"/>
                <w:szCs w:val="22"/>
              </w:rPr>
              <w:t>Students can “never achieve full membership of the CoP” (p.273) because = lack of ‘mutuality of engagement’ because they do not/ are not able to/ invited to contribute to changing the practices in the university = results in ‘peripheral trajectory’ (Wenger, 1998).</w:t>
            </w:r>
          </w:p>
          <w:p w14:paraId="1B4F7AD9" w14:textId="77777777" w:rsidR="00D852E2" w:rsidRPr="00341A37" w:rsidRDefault="00D852E2" w:rsidP="00A16039">
            <w:pPr>
              <w:rPr>
                <w:rFonts w:ascii="Gill Sans MT" w:hAnsi="Gill Sans MT"/>
                <w:color w:val="000000"/>
                <w:szCs w:val="22"/>
                <w:lang w:val="en-AU"/>
              </w:rPr>
            </w:pPr>
            <w:r w:rsidRPr="00341A37">
              <w:rPr>
                <w:rFonts w:ascii="Gill Sans MT" w:hAnsi="Gill Sans MT"/>
                <w:color w:val="000000"/>
                <w:szCs w:val="22"/>
              </w:rPr>
              <w:t>Discussion of independent learning and self-reliance: “It may be argued that the notions of finding out alone and independent study lend further support to our supposition above that the postgraduate student is constructed as already ‘expert’ and so less attention is given to their inculcation into university culture than to undergraduate students” (p.275).</w:t>
            </w:r>
          </w:p>
          <w:p w14:paraId="532887AF"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 xml:space="preserve">No explicit connections made; highlights assumptions about ‘readiness’ of PG students and that students with jobs/families etc. are more time poor. Staff participants did not acknowledge complexity of students’ personal lives: </w:t>
            </w:r>
            <w:r w:rsidRPr="00341A37">
              <w:rPr>
                <w:rFonts w:ascii="Gill Sans MT" w:hAnsi="Gill Sans MT"/>
                <w:color w:val="000000"/>
                <w:szCs w:val="22"/>
              </w:rPr>
              <w:t>The silence surrounding their outside lives within the university, coupled with the emphasis on independent functioning, may result in identity shifts that do not facilitate learning” (p.277)</w:t>
            </w:r>
          </w:p>
          <w:p w14:paraId="54EA2EE6"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Pedagogical intervention suggested? </w:t>
            </w:r>
            <w:r w:rsidRPr="00341A37">
              <w:rPr>
                <w:rFonts w:ascii="Gill Sans MT" w:hAnsi="Gill Sans MT"/>
                <w:color w:val="000000"/>
                <w:szCs w:val="22"/>
                <w:lang w:val="en-AU"/>
              </w:rPr>
              <w:t>None</w:t>
            </w:r>
          </w:p>
          <w:p w14:paraId="3715FDBB"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No</w:t>
            </w:r>
          </w:p>
        </w:tc>
      </w:tr>
      <w:tr w:rsidR="00D852E2" w:rsidRPr="00341A37" w14:paraId="596DFD2D" w14:textId="77777777" w:rsidTr="00A16039">
        <w:tc>
          <w:tcPr>
            <w:tcW w:w="5529" w:type="dxa"/>
          </w:tcPr>
          <w:p w14:paraId="45759047" w14:textId="5FE10AAB" w:rsidR="00D852E2" w:rsidRPr="00341A37" w:rsidRDefault="00D852E2" w:rsidP="00A16039">
            <w:pPr>
              <w:rPr>
                <w:rFonts w:ascii="Gill Sans MT" w:hAnsi="Gill Sans MT"/>
                <w:szCs w:val="22"/>
              </w:rPr>
            </w:pPr>
            <w:r w:rsidRPr="00341A37">
              <w:rPr>
                <w:rFonts w:ascii="Gill Sans MT" w:hAnsi="Gill Sans MT"/>
                <w:szCs w:val="22"/>
              </w:rPr>
              <w:lastRenderedPageBreak/>
              <w:t xml:space="preserve">Strike, T., &amp; </w:t>
            </w:r>
            <w:proofErr w:type="spellStart"/>
            <w:r w:rsidRPr="00341A37">
              <w:rPr>
                <w:rFonts w:ascii="Gill Sans MT" w:hAnsi="Gill Sans MT"/>
                <w:szCs w:val="22"/>
              </w:rPr>
              <w:t>Toyne</w:t>
            </w:r>
            <w:proofErr w:type="spellEnd"/>
            <w:r w:rsidRPr="00341A37">
              <w:rPr>
                <w:rFonts w:ascii="Gill Sans MT" w:hAnsi="Gill Sans MT"/>
                <w:szCs w:val="22"/>
              </w:rPr>
              <w:t xml:space="preserve">, J. (Eds.) (2015). </w:t>
            </w:r>
            <w:hyperlink r:id="rId19" w:history="1">
              <w:r w:rsidRPr="00341A37">
                <w:rPr>
                  <w:rStyle w:val="Hyperlink"/>
                  <w:rFonts w:ascii="Gill Sans MT" w:hAnsi="Gill Sans MT"/>
                  <w:szCs w:val="22"/>
                </w:rPr>
                <w:t>Widening Access to Postgraduate Study and Fair Access to the Professions</w:t>
              </w:r>
            </w:hyperlink>
            <w:r w:rsidRPr="00341A37">
              <w:rPr>
                <w:rFonts w:ascii="Gill Sans MT" w:hAnsi="Gill Sans MT"/>
                <w:szCs w:val="22"/>
              </w:rPr>
              <w:t>. The University of Sheffield.</w:t>
            </w:r>
          </w:p>
          <w:p w14:paraId="4A2CDE6A" w14:textId="77777777" w:rsidR="00D852E2" w:rsidRPr="00341A37" w:rsidRDefault="00D852E2" w:rsidP="00A16039">
            <w:pPr>
              <w:rPr>
                <w:rFonts w:ascii="Gill Sans MT" w:hAnsi="Gill Sans MT"/>
                <w:szCs w:val="22"/>
              </w:rPr>
            </w:pPr>
          </w:p>
          <w:p w14:paraId="365D748E" w14:textId="77777777" w:rsidR="00D852E2" w:rsidRPr="00341A37" w:rsidRDefault="00D852E2" w:rsidP="00A16039">
            <w:pPr>
              <w:rPr>
                <w:rFonts w:ascii="Gill Sans MT" w:hAnsi="Gill Sans MT"/>
                <w:szCs w:val="22"/>
              </w:rPr>
            </w:pPr>
            <w:r w:rsidRPr="00341A37">
              <w:rPr>
                <w:rFonts w:ascii="Gill Sans MT" w:hAnsi="Gill Sans MT"/>
                <w:szCs w:val="22"/>
              </w:rPr>
              <w:t>UK</w:t>
            </w:r>
          </w:p>
          <w:p w14:paraId="40FFFD2F" w14:textId="77777777" w:rsidR="00D852E2" w:rsidRPr="00341A37" w:rsidRDefault="00D852E2" w:rsidP="00A16039">
            <w:pPr>
              <w:rPr>
                <w:rFonts w:ascii="Gill Sans MT" w:hAnsi="Gill Sans MT"/>
                <w:szCs w:val="22"/>
              </w:rPr>
            </w:pPr>
            <w:r w:rsidRPr="00341A37">
              <w:rPr>
                <w:rFonts w:ascii="Gill Sans MT" w:hAnsi="Gill Sans MT"/>
              </w:rPr>
              <w:t>Annotated by Sally Baker</w:t>
            </w:r>
          </w:p>
        </w:tc>
        <w:tc>
          <w:tcPr>
            <w:tcW w:w="10064" w:type="dxa"/>
          </w:tcPr>
          <w:p w14:paraId="37A0D09D"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 xml:space="preserve">From HEFCE-funded project from consortium of 6 selective, research-intensive (Russell Group) universities (Sheffield, Newcastle, York, Leeds, Manchester, Warwick) on Postgraduate Taught programs (PGT). Conducted 2014-2015. Project was in response to Browne Review (2010) – this report dedicated only one page to PG funding and argued that PG students should not receive same support as UG students but they also recognised that higher UG fees (cost to student) may deter students from progressing to PG. Cites Smith (2010) ‘One Step Beyond: Making the most of postgraduate education’, which highlighted how PG education has been “relatively neglected” (p.45; cited on p.10). Cites Sutton Trust report ‘The social composition and future earning of postgraduates’ which asserts that 30% of private educated students enter PG study 6 months after graduating, compared with 23% of state schooled counterparts. Also lists other UK-funded reports (p.11). PG applications for domestic (UK/EU) students declined in 2010/11 and 2011/12 by </w:t>
            </w:r>
            <w:r w:rsidRPr="00341A37">
              <w:rPr>
                <w:rFonts w:ascii="Gill Sans MT" w:hAnsi="Gill Sans MT"/>
                <w:color w:val="000000"/>
                <w:szCs w:val="22"/>
                <w:lang w:val="en-AU"/>
              </w:rPr>
              <w:lastRenderedPageBreak/>
              <w:t>15%. Alan Milburn (Gov advisor on Social Mobility) warned of risk of increased tuition fees on low SES students’ desire for PG study (see p.11-2)</w:t>
            </w:r>
          </w:p>
          <w:p w14:paraId="2F6FD706"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Aim: </w:t>
            </w:r>
            <w:r w:rsidRPr="00341A37">
              <w:rPr>
                <w:rFonts w:ascii="Gill Sans MT" w:hAnsi="Gill Sans MT"/>
                <w:color w:val="000000"/>
                <w:szCs w:val="22"/>
                <w:lang w:val="en-AU"/>
              </w:rPr>
              <w:t>Project based around 4 themes: financial, academic innovation, information/advice/guidance, understanding the student. P.14 - Financial aim: to develop, pilot and evaluate models of financing. Academic innovation aim: develop and implement new academic products. Information/advice/guidance aim: to develop and implement targeted interventions. Understanding the student: to provide a detailed picture of admissions/ enrolments and develop understandings of barriers and motivations to PGT study.</w:t>
            </w:r>
          </w:p>
          <w:p w14:paraId="7098DFA9"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Findings: </w:t>
            </w:r>
          </w:p>
          <w:p w14:paraId="33C95879" w14:textId="77777777" w:rsidR="00D852E2" w:rsidRPr="00341A37" w:rsidRDefault="00D852E2" w:rsidP="00A16039">
            <w:pPr>
              <w:rPr>
                <w:rFonts w:ascii="Gill Sans MT" w:hAnsi="Gill Sans MT"/>
                <w:i/>
                <w:color w:val="000000"/>
                <w:szCs w:val="22"/>
                <w:lang w:val="en-AU"/>
              </w:rPr>
            </w:pPr>
            <w:r w:rsidRPr="00341A37">
              <w:rPr>
                <w:rFonts w:ascii="Gill Sans MT" w:hAnsi="Gill Sans MT"/>
                <w:i/>
                <w:color w:val="000000"/>
                <w:szCs w:val="22"/>
                <w:lang w:val="en-AU"/>
              </w:rPr>
              <w:t>Financial</w:t>
            </w:r>
          </w:p>
          <w:p w14:paraId="4E53DA05" w14:textId="77777777" w:rsidR="00D852E2" w:rsidRPr="00341A37" w:rsidRDefault="00D852E2" w:rsidP="00A16039">
            <w:pPr>
              <w:rPr>
                <w:rFonts w:ascii="Gill Sans MT" w:hAnsi="Gill Sans MT" w:cs="Lucida Grande"/>
                <w:color w:val="000000"/>
                <w:szCs w:val="22"/>
              </w:rPr>
            </w:pPr>
            <w:r w:rsidRPr="00341A37">
              <w:rPr>
                <w:rFonts w:ascii="Gill Sans MT" w:hAnsi="Gill Sans MT"/>
                <w:color w:val="000000"/>
                <w:szCs w:val="22"/>
                <w:lang w:val="en-AU"/>
              </w:rPr>
              <w:t xml:space="preserve">Chapter 3: Developed and trialled a scholarship scheme: 6 consortium universities offered 416 (increased from original 350 planned) scholarships of between </w:t>
            </w:r>
            <w:r w:rsidRPr="00341A37">
              <w:rPr>
                <w:rFonts w:ascii="Gill Sans MT" w:hAnsi="Gill Sans MT" w:cs="Lucida Grande"/>
                <w:color w:val="000000"/>
                <w:szCs w:val="22"/>
              </w:rPr>
              <w:t>£10,000 and £15,000 based on WP criteria (50% funded by HEFCE and 50% by consortium institutions). Table 3.1 = criteria employed by institutions. Dissemination was critical (p.22). Different ways of offering scholarships affected the number of eligible applications and uptake of offers. Demographic overview (p.24-5): e.g. 27% = disabilities. 10 were care leavers.</w:t>
            </w:r>
          </w:p>
          <w:p w14:paraId="01DFD746" w14:textId="77777777" w:rsidR="00D852E2" w:rsidRPr="00341A37" w:rsidRDefault="00D852E2" w:rsidP="00A16039">
            <w:pPr>
              <w:rPr>
                <w:rFonts w:ascii="Gill Sans MT" w:hAnsi="Gill Sans MT" w:cs="Lucida Grande"/>
                <w:color w:val="000000"/>
                <w:szCs w:val="22"/>
              </w:rPr>
            </w:pPr>
            <w:r w:rsidRPr="00341A37">
              <w:rPr>
                <w:rFonts w:ascii="Gill Sans MT" w:hAnsi="Gill Sans MT" w:cs="Lucida Grande"/>
                <w:color w:val="000000"/>
                <w:szCs w:val="22"/>
              </w:rPr>
              <w:t>Chapter 4: Developed and trialed Professional Career Development Loans targeted at WP PG students. Identified that Cranfield and Durham University were developing their own PG loans up to £10,000. Consortium spoke to several banks/finance universities – but see announcement of government backed loan scheme.</w:t>
            </w:r>
          </w:p>
          <w:p w14:paraId="035249A9" w14:textId="77777777" w:rsidR="00D852E2" w:rsidRPr="00341A37" w:rsidRDefault="00D852E2" w:rsidP="00A16039">
            <w:pPr>
              <w:rPr>
                <w:rFonts w:ascii="Gill Sans MT" w:hAnsi="Gill Sans MT" w:cs="Lucida Grande"/>
                <w:color w:val="000000"/>
                <w:szCs w:val="22"/>
              </w:rPr>
            </w:pPr>
            <w:r w:rsidRPr="00341A37">
              <w:rPr>
                <w:rFonts w:ascii="Gill Sans MT" w:hAnsi="Gill Sans MT" w:cs="Lucida Grande"/>
                <w:color w:val="000000"/>
                <w:szCs w:val="22"/>
              </w:rPr>
              <w:t>Chapter 5: Match-funding came from philanthropic funds/ small gifts/ major gifts and employers</w:t>
            </w:r>
          </w:p>
          <w:p w14:paraId="06E098D7" w14:textId="77777777" w:rsidR="00D852E2" w:rsidRPr="00341A37" w:rsidRDefault="00D852E2" w:rsidP="00A16039">
            <w:pPr>
              <w:rPr>
                <w:rFonts w:ascii="Gill Sans MT" w:hAnsi="Gill Sans MT" w:cs="Lucida Grande"/>
                <w:i/>
                <w:color w:val="000000"/>
                <w:szCs w:val="22"/>
              </w:rPr>
            </w:pPr>
            <w:r w:rsidRPr="00341A37">
              <w:rPr>
                <w:rFonts w:ascii="Gill Sans MT" w:hAnsi="Gill Sans MT" w:cs="Lucida Grande"/>
                <w:i/>
                <w:color w:val="000000"/>
                <w:szCs w:val="22"/>
              </w:rPr>
              <w:t>Academic innovation</w:t>
            </w:r>
          </w:p>
          <w:p w14:paraId="71541C4E" w14:textId="77777777" w:rsidR="00D852E2" w:rsidRPr="00341A37" w:rsidRDefault="00D852E2" w:rsidP="00A16039">
            <w:pPr>
              <w:rPr>
                <w:rStyle w:val="A2"/>
                <w:rFonts w:ascii="Gill Sans MT" w:hAnsi="Gill Sans MT"/>
              </w:rPr>
            </w:pPr>
            <w:r w:rsidRPr="00341A37">
              <w:rPr>
                <w:rFonts w:ascii="Gill Sans MT" w:hAnsi="Gill Sans MT" w:cs="Lucida Grande"/>
                <w:color w:val="000000"/>
                <w:szCs w:val="22"/>
              </w:rPr>
              <w:t xml:space="preserve">Chapter 6: Academic innovation in PGT: Pilot courses: PG award in Career Development (Uni Warwick); Gateway to Lifelong Learning (Uni Warwick) – a taster to encourage direct entry for local students without a UG degree; PG Awards Program (Uni Warwick) – individual accredited modules to support WP UG students to PG study; PG Award in Innovative Business Leadership (Uni Warwick)  -developed to encourage SMEs in staff development and training. Uni Sheffield developed online toolkit for PGT programs: </w:t>
            </w:r>
            <w:hyperlink r:id="rId20" w:history="1">
              <w:r w:rsidRPr="00341A37">
                <w:rPr>
                  <w:rStyle w:val="Hyperlink"/>
                  <w:rFonts w:ascii="Gill Sans MT" w:hAnsi="Gill Sans MT" w:cs="Lato"/>
                  <w:sz w:val="18"/>
                  <w:szCs w:val="18"/>
                </w:rPr>
                <w:t>www.sheffield.ac.uk/lets/pgttoolkit</w:t>
              </w:r>
            </w:hyperlink>
            <w:r w:rsidRPr="00341A37">
              <w:rPr>
                <w:rStyle w:val="A2"/>
                <w:rFonts w:ascii="Gill Sans MT" w:hAnsi="Gill Sans MT"/>
              </w:rPr>
              <w:t xml:space="preserve"> </w:t>
            </w:r>
          </w:p>
          <w:p w14:paraId="42CEDB5C" w14:textId="77777777" w:rsidR="00D852E2" w:rsidRPr="00341A37" w:rsidRDefault="00D852E2" w:rsidP="00A16039">
            <w:pPr>
              <w:rPr>
                <w:rFonts w:ascii="Gill Sans MT" w:hAnsi="Gill Sans MT"/>
                <w:lang w:val="en-AU"/>
              </w:rPr>
            </w:pPr>
            <w:r w:rsidRPr="00341A37">
              <w:rPr>
                <w:rFonts w:ascii="Gill Sans MT" w:hAnsi="Gill Sans MT"/>
                <w:lang w:val="en-AU"/>
              </w:rPr>
              <w:t>Uni Manchester trialled integrated Master’s degree (4 year UG program with Year 4 at Master’s level) – more common in professionally-regulated areas (Pharmacy/ Engineering)</w:t>
            </w:r>
          </w:p>
          <w:p w14:paraId="14C225FA" w14:textId="77777777" w:rsidR="00D852E2" w:rsidRPr="00341A37" w:rsidRDefault="00D852E2" w:rsidP="00A16039">
            <w:pPr>
              <w:rPr>
                <w:rFonts w:ascii="Gill Sans MT" w:hAnsi="Gill Sans MT"/>
              </w:rPr>
            </w:pPr>
            <w:r w:rsidRPr="00341A37">
              <w:rPr>
                <w:rFonts w:ascii="Gill Sans MT" w:hAnsi="Gill Sans MT"/>
                <w:lang w:val="en-AU"/>
              </w:rPr>
              <w:t>Evaluation: “</w:t>
            </w:r>
            <w:r w:rsidRPr="00341A37">
              <w:rPr>
                <w:rFonts w:ascii="Gill Sans MT" w:hAnsi="Gill Sans MT"/>
              </w:rPr>
              <w:t>The pilot programmes delivered by The University of Warwick demonstrated that there is latent demand for postgraduate programmes from non-traditional postgraduate student groups and that where the programmes on offer are flexible and designed to meet their learning needs these students are able to make a successful transition to and through postgraduate courses of study” (p.49).</w:t>
            </w:r>
          </w:p>
          <w:p w14:paraId="77379B38" w14:textId="77777777" w:rsidR="00D852E2" w:rsidRPr="00341A37" w:rsidRDefault="00D852E2" w:rsidP="00A16039">
            <w:pPr>
              <w:rPr>
                <w:rFonts w:ascii="Gill Sans MT" w:hAnsi="Gill Sans MT"/>
                <w:i/>
              </w:rPr>
            </w:pPr>
            <w:r w:rsidRPr="00341A37">
              <w:rPr>
                <w:rFonts w:ascii="Gill Sans MT" w:hAnsi="Gill Sans MT"/>
                <w:i/>
              </w:rPr>
              <w:lastRenderedPageBreak/>
              <w:t>Information/Advice/Guidance (IAG)</w:t>
            </w:r>
          </w:p>
          <w:p w14:paraId="2B4AA46A" w14:textId="77777777" w:rsidR="00D852E2" w:rsidRPr="00341A37" w:rsidRDefault="00D852E2" w:rsidP="00A16039">
            <w:pPr>
              <w:rPr>
                <w:rFonts w:ascii="Gill Sans MT" w:hAnsi="Gill Sans MT"/>
                <w:szCs w:val="22"/>
              </w:rPr>
            </w:pPr>
            <w:r w:rsidRPr="00341A37">
              <w:rPr>
                <w:rFonts w:ascii="Gill Sans MT" w:hAnsi="Gill Sans MT"/>
              </w:rPr>
              <w:t>Chapter 7: IAG and Employer Engagement: investigate non-financial barriers. Institutions often do not have specific staff for PG/WP students. This part of project explored staff perceptions and trialed new interventions. Findings of qualitative research with staff and students highlight how important it is to develop understandings of why students choose PG study (see p.50). Need for on-course support, especially where students were upskilling; innovative forms of IAG needed for students with responsibilities. Recommendations (p.51)</w:t>
            </w:r>
            <w:r w:rsidRPr="00341A37">
              <w:rPr>
                <w:rFonts w:ascii="Gill Sans MT" w:hAnsi="Gill Sans MT"/>
                <w:szCs w:val="22"/>
              </w:rPr>
              <w:t xml:space="preserve">: </w:t>
            </w:r>
          </w:p>
          <w:p w14:paraId="69922DBA" w14:textId="77777777" w:rsidR="00D852E2" w:rsidRPr="00341A37" w:rsidRDefault="00D852E2" w:rsidP="00A16039">
            <w:pPr>
              <w:rPr>
                <w:rFonts w:ascii="Gill Sans MT" w:hAnsi="Gill Sans MT" w:cs="Lato"/>
                <w:color w:val="000000"/>
                <w:szCs w:val="22"/>
              </w:rPr>
            </w:pPr>
            <w:r w:rsidRPr="00341A37">
              <w:rPr>
                <w:rStyle w:val="A2"/>
                <w:rFonts w:ascii="Gill Sans MT" w:hAnsi="Gill Sans MT"/>
                <w:sz w:val="22"/>
                <w:szCs w:val="22"/>
              </w:rPr>
              <w:t xml:space="preserve">• Development of specific separate Information, Advice and Guidance strategies, at a national and institutional level, to support progression to postgraduate study from under- represented groups, </w:t>
            </w:r>
          </w:p>
          <w:p w14:paraId="27F133C1" w14:textId="77777777" w:rsidR="00D852E2" w:rsidRPr="00341A37" w:rsidRDefault="00D852E2" w:rsidP="00A16039">
            <w:pPr>
              <w:rPr>
                <w:rFonts w:ascii="Gill Sans MT" w:hAnsi="Gill Sans MT"/>
                <w:szCs w:val="22"/>
              </w:rPr>
            </w:pPr>
            <w:r w:rsidRPr="00341A37">
              <w:rPr>
                <w:rStyle w:val="A2"/>
                <w:rFonts w:ascii="Gill Sans MT" w:hAnsi="Gill Sans MT"/>
                <w:sz w:val="22"/>
                <w:szCs w:val="22"/>
              </w:rPr>
              <w:t xml:space="preserve">• Consideration of the way in which advice and guidance can be accessed, in addition to information, by students who are currently out of education; </w:t>
            </w:r>
          </w:p>
          <w:p w14:paraId="6B5B3E44" w14:textId="77777777" w:rsidR="00D852E2" w:rsidRPr="00341A37" w:rsidRDefault="00D852E2" w:rsidP="00A16039">
            <w:pPr>
              <w:rPr>
                <w:rFonts w:ascii="Gill Sans MT" w:hAnsi="Gill Sans MT"/>
                <w:szCs w:val="22"/>
              </w:rPr>
            </w:pPr>
            <w:r w:rsidRPr="00341A37">
              <w:rPr>
                <w:rStyle w:val="A2"/>
                <w:rFonts w:ascii="Gill Sans MT" w:hAnsi="Gill Sans MT"/>
                <w:sz w:val="22"/>
                <w:szCs w:val="22"/>
              </w:rPr>
              <w:t xml:space="preserve">• Further research to understand and inform the development of interventions for PGT students from WP backgrounds to address social and cultural capital; </w:t>
            </w:r>
          </w:p>
          <w:p w14:paraId="267097AA" w14:textId="77777777" w:rsidR="00D852E2" w:rsidRPr="00341A37" w:rsidRDefault="00D852E2" w:rsidP="00A16039">
            <w:pPr>
              <w:rPr>
                <w:rStyle w:val="A2"/>
                <w:rFonts w:ascii="Gill Sans MT" w:hAnsi="Gill Sans MT"/>
                <w:sz w:val="22"/>
                <w:szCs w:val="22"/>
              </w:rPr>
            </w:pPr>
            <w:r w:rsidRPr="00341A37">
              <w:rPr>
                <w:rStyle w:val="A2"/>
                <w:rFonts w:ascii="Gill Sans MT" w:hAnsi="Gill Sans MT"/>
                <w:sz w:val="22"/>
                <w:szCs w:val="22"/>
              </w:rPr>
              <w:t>• Further research to understand the relative impact of different types of IAG to support progression, retention and completion.</w:t>
            </w:r>
          </w:p>
          <w:p w14:paraId="48770A08" w14:textId="77777777" w:rsidR="00D852E2" w:rsidRPr="00341A37" w:rsidRDefault="00D852E2" w:rsidP="00A16039">
            <w:pPr>
              <w:rPr>
                <w:rStyle w:val="A2"/>
                <w:rFonts w:ascii="Gill Sans MT" w:hAnsi="Gill Sans MT"/>
                <w:i/>
                <w:sz w:val="22"/>
                <w:szCs w:val="22"/>
              </w:rPr>
            </w:pPr>
            <w:r w:rsidRPr="00341A37">
              <w:rPr>
                <w:rStyle w:val="A2"/>
                <w:rFonts w:ascii="Gill Sans MT" w:hAnsi="Gill Sans MT"/>
                <w:i/>
                <w:sz w:val="22"/>
                <w:szCs w:val="22"/>
              </w:rPr>
              <w:t>Understanding the student</w:t>
            </w:r>
          </w:p>
          <w:p w14:paraId="19C8B45E" w14:textId="38264373" w:rsidR="00D852E2" w:rsidRPr="00341A37" w:rsidRDefault="00D852E2" w:rsidP="00A16039">
            <w:pPr>
              <w:rPr>
                <w:rFonts w:ascii="Gill Sans MT" w:hAnsi="Gill Sans MT" w:cs="Lato"/>
                <w:b/>
                <w:bCs/>
                <w:color w:val="000000"/>
                <w:sz w:val="18"/>
                <w:szCs w:val="18"/>
              </w:rPr>
            </w:pPr>
            <w:r w:rsidRPr="00341A37">
              <w:rPr>
                <w:rStyle w:val="A2"/>
                <w:rFonts w:ascii="Gill Sans MT" w:hAnsi="Gill Sans MT"/>
                <w:sz w:val="22"/>
                <w:szCs w:val="22"/>
              </w:rPr>
              <w:t xml:space="preserve">Chapter 8: Understanding the student. Investigated students’ motivations and barriers to PGT (qual/quant). Tools included: ‘Pathways beyond Graduation’ survey; applicant/registration data; ‘Pathways to PG Study’ survey &amp; </w:t>
            </w:r>
            <w:proofErr w:type="gramStart"/>
            <w:r w:rsidRPr="00341A37">
              <w:rPr>
                <w:rStyle w:val="A2"/>
                <w:rFonts w:ascii="Gill Sans MT" w:hAnsi="Gill Sans MT"/>
                <w:sz w:val="22"/>
                <w:szCs w:val="22"/>
              </w:rPr>
              <w:t>Alumni  Qualitative</w:t>
            </w:r>
            <w:proofErr w:type="gramEnd"/>
            <w:r w:rsidRPr="00341A37">
              <w:rPr>
                <w:rStyle w:val="A2"/>
                <w:rFonts w:ascii="Gill Sans MT" w:hAnsi="Gill Sans MT"/>
                <w:sz w:val="22"/>
                <w:szCs w:val="22"/>
              </w:rPr>
              <w:t xml:space="preserve"> Research (delivered by Careers Research and Advisory Centre – commissioned to conduct semi-structured interviews with 80 domestic UG graduates from six partner universities) &amp; </w:t>
            </w:r>
            <w:proofErr w:type="spellStart"/>
            <w:r w:rsidRPr="00341A37">
              <w:rPr>
                <w:rStyle w:val="A2"/>
                <w:rFonts w:ascii="Gill Sans MT" w:hAnsi="Gill Sans MT"/>
                <w:sz w:val="22"/>
                <w:szCs w:val="22"/>
              </w:rPr>
              <w:t>Futuretrack</w:t>
            </w:r>
            <w:proofErr w:type="spellEnd"/>
            <w:r w:rsidRPr="00341A37">
              <w:rPr>
                <w:rStyle w:val="A2"/>
                <w:rFonts w:ascii="Gill Sans MT" w:hAnsi="Gill Sans MT"/>
                <w:sz w:val="22"/>
                <w:szCs w:val="22"/>
              </w:rPr>
              <w:t xml:space="preserve"> data analysis. Main finding: </w:t>
            </w:r>
            <w:r w:rsidRPr="00341A37">
              <w:rPr>
                <w:rFonts w:ascii="Gill Sans MT" w:hAnsi="Gill Sans MT" w:cs="Lato"/>
                <w:b/>
                <w:bCs/>
                <w:color w:val="000000"/>
                <w:sz w:val="18"/>
                <w:szCs w:val="18"/>
              </w:rPr>
              <w:t xml:space="preserve">GOOD </w:t>
            </w:r>
            <w:proofErr w:type="spellStart"/>
            <w:r w:rsidRPr="00341A37">
              <w:rPr>
                <w:rFonts w:ascii="Gill Sans MT" w:hAnsi="Gill Sans MT" w:cs="Lato"/>
                <w:b/>
                <w:bCs/>
                <w:color w:val="000000"/>
                <w:sz w:val="18"/>
                <w:szCs w:val="18"/>
              </w:rPr>
              <w:t>ADVICE</w:t>
            </w:r>
            <w:r w:rsidRPr="00341A37">
              <w:rPr>
                <w:rFonts w:ascii="Gill Sans MT" w:hAnsi="Gill Sans MT" w:cs="Lato"/>
                <w:b/>
                <w:bCs/>
                <w:color w:val="000000"/>
                <w:sz w:val="10"/>
                <w:szCs w:val="10"/>
              </w:rPr>
              <w:t>a</w:t>
            </w:r>
            <w:proofErr w:type="spellEnd"/>
            <w:r w:rsidR="00EB5422">
              <w:rPr>
                <w:rFonts w:ascii="Gill Sans MT" w:hAnsi="Gill Sans MT" w:cs="Lato"/>
                <w:b/>
                <w:bCs/>
                <w:color w:val="000000"/>
                <w:sz w:val="10"/>
                <w:szCs w:val="10"/>
              </w:rPr>
              <w:t xml:space="preserve"> </w:t>
            </w:r>
            <w:r w:rsidRPr="00341A37">
              <w:rPr>
                <w:rFonts w:ascii="Gill Sans MT" w:hAnsi="Gill Sans MT" w:cs="Lato"/>
                <w:b/>
                <w:bCs/>
                <w:color w:val="000000"/>
                <w:sz w:val="18"/>
                <w:szCs w:val="18"/>
              </w:rPr>
              <w:t xml:space="preserve">+ </w:t>
            </w:r>
            <w:proofErr w:type="spellStart"/>
            <w:r w:rsidRPr="00341A37">
              <w:rPr>
                <w:rFonts w:ascii="Gill Sans MT" w:hAnsi="Gill Sans MT" w:cs="Lato"/>
                <w:b/>
                <w:bCs/>
                <w:color w:val="000000"/>
                <w:sz w:val="18"/>
                <w:szCs w:val="18"/>
              </w:rPr>
              <w:t>ATTAINMENT</w:t>
            </w:r>
            <w:r w:rsidRPr="00341A37">
              <w:rPr>
                <w:rFonts w:ascii="Gill Sans MT" w:hAnsi="Gill Sans MT" w:cs="Lato"/>
                <w:b/>
                <w:bCs/>
                <w:color w:val="000000"/>
                <w:sz w:val="10"/>
                <w:szCs w:val="10"/>
              </w:rPr>
              <w:t>b</w:t>
            </w:r>
            <w:proofErr w:type="spellEnd"/>
            <w:r w:rsidRPr="00341A37">
              <w:rPr>
                <w:rFonts w:ascii="Gill Sans MT" w:hAnsi="Gill Sans MT" w:cs="Lato"/>
                <w:b/>
                <w:bCs/>
                <w:color w:val="000000"/>
                <w:sz w:val="10"/>
                <w:szCs w:val="10"/>
              </w:rPr>
              <w:t xml:space="preserve"> </w:t>
            </w:r>
            <w:r w:rsidRPr="00341A37">
              <w:rPr>
                <w:rFonts w:ascii="Gill Sans MT" w:hAnsi="Gill Sans MT" w:cs="Lato"/>
                <w:b/>
                <w:bCs/>
                <w:color w:val="000000"/>
                <w:sz w:val="18"/>
                <w:szCs w:val="18"/>
              </w:rPr>
              <w:t xml:space="preserve">+ </w:t>
            </w:r>
            <w:proofErr w:type="spellStart"/>
            <w:r w:rsidRPr="00341A37">
              <w:rPr>
                <w:rFonts w:ascii="Gill Sans MT" w:hAnsi="Gill Sans MT" w:cs="Lato"/>
                <w:b/>
                <w:bCs/>
                <w:color w:val="000000"/>
                <w:sz w:val="18"/>
                <w:szCs w:val="18"/>
              </w:rPr>
              <w:t>FUNDING</w:t>
            </w:r>
            <w:r w:rsidRPr="00341A37">
              <w:rPr>
                <w:rFonts w:ascii="Gill Sans MT" w:hAnsi="Gill Sans MT" w:cs="Lato"/>
                <w:b/>
                <w:bCs/>
                <w:color w:val="000000"/>
                <w:sz w:val="10"/>
                <w:szCs w:val="10"/>
              </w:rPr>
              <w:t>c</w:t>
            </w:r>
            <w:proofErr w:type="spellEnd"/>
            <w:r w:rsidRPr="00341A37">
              <w:rPr>
                <w:rFonts w:ascii="Gill Sans MT" w:hAnsi="Gill Sans MT" w:cs="Lato"/>
                <w:b/>
                <w:bCs/>
                <w:color w:val="000000"/>
                <w:sz w:val="10"/>
                <w:szCs w:val="10"/>
              </w:rPr>
              <w:t xml:space="preserve"> = </w:t>
            </w:r>
            <w:r w:rsidRPr="00341A37">
              <w:rPr>
                <w:rFonts w:ascii="Gill Sans MT" w:hAnsi="Gill Sans MT" w:cs="Lato"/>
                <w:b/>
                <w:bCs/>
                <w:color w:val="000000"/>
                <w:sz w:val="18"/>
                <w:szCs w:val="18"/>
              </w:rPr>
              <w:t>ENTRY TO POSTGRADUATE STUDY</w:t>
            </w:r>
          </w:p>
          <w:p w14:paraId="43BC3D5C" w14:textId="77777777" w:rsidR="00D852E2" w:rsidRPr="00341A37" w:rsidRDefault="00D852E2" w:rsidP="00A16039">
            <w:pPr>
              <w:rPr>
                <w:rFonts w:ascii="Gill Sans MT" w:hAnsi="Gill Sans MT" w:cs="Lato"/>
                <w:bCs/>
                <w:color w:val="000000"/>
                <w:szCs w:val="22"/>
              </w:rPr>
            </w:pPr>
            <w:r w:rsidRPr="00341A37">
              <w:rPr>
                <w:rFonts w:ascii="Gill Sans MT" w:hAnsi="Gill Sans MT" w:cs="Lato"/>
                <w:bCs/>
                <w:color w:val="000000"/>
                <w:szCs w:val="22"/>
              </w:rPr>
              <w:t>Lots of rich data here about motivations/ school background</w:t>
            </w:r>
          </w:p>
          <w:p w14:paraId="278AC9A4" w14:textId="2C9C9895"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Recommendations: </w:t>
            </w:r>
            <w:r w:rsidRPr="00341A37">
              <w:rPr>
                <w:rFonts w:ascii="Gill Sans MT" w:hAnsi="Gill Sans MT"/>
                <w:i/>
                <w:color w:val="000000"/>
                <w:szCs w:val="22"/>
                <w:lang w:val="en-AU"/>
              </w:rPr>
              <w:t>Financial</w:t>
            </w:r>
            <w:r w:rsidRPr="00341A37">
              <w:rPr>
                <w:rFonts w:ascii="Gill Sans MT" w:hAnsi="Gill Sans MT"/>
                <w:b/>
                <w:color w:val="000000"/>
                <w:szCs w:val="22"/>
                <w:lang w:val="en-AU"/>
              </w:rPr>
              <w:t xml:space="preserve">: </w:t>
            </w:r>
            <w:r w:rsidRPr="00341A37">
              <w:rPr>
                <w:rFonts w:ascii="Gill Sans MT" w:hAnsi="Gill Sans MT"/>
                <w:color w:val="000000"/>
                <w:szCs w:val="22"/>
                <w:lang w:val="en-AU"/>
              </w:rPr>
              <w:t xml:space="preserve">PG scholarship schemes/ Professional Career Development Loan/ </w:t>
            </w:r>
            <w:r w:rsidR="00EB5422" w:rsidRPr="00341A37">
              <w:rPr>
                <w:rFonts w:ascii="Gill Sans MT" w:hAnsi="Gill Sans MT"/>
                <w:color w:val="000000"/>
                <w:szCs w:val="22"/>
                <w:lang w:val="en-AU"/>
              </w:rPr>
              <w:t>Matched funding</w:t>
            </w:r>
            <w:r w:rsidRPr="00341A37">
              <w:rPr>
                <w:rFonts w:ascii="Gill Sans MT" w:hAnsi="Gill Sans MT"/>
                <w:color w:val="000000"/>
                <w:szCs w:val="22"/>
                <w:lang w:val="en-AU"/>
              </w:rPr>
              <w:t xml:space="preserve">/ </w:t>
            </w:r>
            <w:r w:rsidRPr="00341A37">
              <w:rPr>
                <w:rFonts w:ascii="Gill Sans MT" w:hAnsi="Gill Sans MT"/>
                <w:i/>
                <w:color w:val="000000"/>
                <w:szCs w:val="22"/>
                <w:lang w:val="en-AU"/>
              </w:rPr>
              <w:t>Academic Innovation</w:t>
            </w:r>
            <w:r w:rsidRPr="00341A37">
              <w:rPr>
                <w:rFonts w:ascii="Gill Sans MT" w:hAnsi="Gill Sans MT"/>
                <w:color w:val="000000"/>
                <w:szCs w:val="22"/>
                <w:lang w:val="en-AU"/>
              </w:rPr>
              <w:t xml:space="preserve"> (including Toolkit for PGT programme)/ </w:t>
            </w:r>
            <w:r w:rsidRPr="00341A37">
              <w:rPr>
                <w:rFonts w:ascii="Gill Sans MT" w:hAnsi="Gill Sans MT"/>
                <w:i/>
                <w:color w:val="000000"/>
                <w:szCs w:val="22"/>
                <w:lang w:val="en-AU"/>
              </w:rPr>
              <w:t>Information, guidance</w:t>
            </w:r>
            <w:r w:rsidRPr="00341A37">
              <w:rPr>
                <w:rFonts w:ascii="Gill Sans MT" w:hAnsi="Gill Sans MT"/>
                <w:color w:val="000000"/>
                <w:szCs w:val="22"/>
                <w:lang w:val="en-AU"/>
              </w:rPr>
              <w:t xml:space="preserve">: WP approaches and interventions for UG students can be used to support PG students. Staff worried about patronising PGT students. Lots of assumptions exist about expectations that PGT students would understand what is expected of them (not the case). Understand that PGT cohort = not homogeneous. </w:t>
            </w:r>
            <w:r w:rsidRPr="00341A37">
              <w:rPr>
                <w:rFonts w:ascii="Gill Sans MT" w:hAnsi="Gill Sans MT"/>
                <w:i/>
                <w:color w:val="000000"/>
                <w:szCs w:val="22"/>
                <w:lang w:val="en-AU"/>
              </w:rPr>
              <w:t>Understanding student</w:t>
            </w:r>
            <w:r w:rsidRPr="00341A37">
              <w:rPr>
                <w:rFonts w:ascii="Gill Sans MT" w:hAnsi="Gill Sans MT"/>
                <w:color w:val="000000"/>
                <w:szCs w:val="22"/>
                <w:lang w:val="en-AU"/>
              </w:rPr>
              <w:t xml:space="preserve">: broad similarities observed across consortium universities, place of UG study appears to be significant for getting onto PG program. Academic attainment appears to predict PG access (class/gender/ethnic factors). Gaining employment = #1 reason for embarking on PG study (and some evidence to suggest students used PGT as a way to ‘repair’ wrong choices. Cost, not debt, important factor for students, although high debt appeared to </w:t>
            </w:r>
            <w:r w:rsidRPr="00341A37">
              <w:rPr>
                <w:rFonts w:ascii="Gill Sans MT" w:hAnsi="Gill Sans MT"/>
                <w:color w:val="000000"/>
                <w:szCs w:val="22"/>
                <w:lang w:val="en-AU"/>
              </w:rPr>
              <w:lastRenderedPageBreak/>
              <w:t xml:space="preserve">be barrier to disadvantaged groups. </w:t>
            </w:r>
            <w:r w:rsidR="00EB5422" w:rsidRPr="00341A37">
              <w:rPr>
                <w:rFonts w:ascii="Gill Sans MT" w:hAnsi="Gill Sans MT"/>
                <w:color w:val="000000"/>
                <w:szCs w:val="22"/>
                <w:lang w:val="en-AU"/>
              </w:rPr>
              <w:t>Master’s</w:t>
            </w:r>
            <w:r w:rsidRPr="00341A37">
              <w:rPr>
                <w:rFonts w:ascii="Gill Sans MT" w:hAnsi="Gill Sans MT"/>
                <w:color w:val="000000"/>
                <w:szCs w:val="22"/>
                <w:lang w:val="en-AU"/>
              </w:rPr>
              <w:t xml:space="preserve"> degree study = seems to correlate with job patters (PGT students = secure high-skilled jobs). Inequalities appear in transition to PG study – possibility of unfairness in admissions process (but cannot be generalised)</w:t>
            </w:r>
          </w:p>
          <w:p w14:paraId="12665C8B" w14:textId="77777777" w:rsidR="00D852E2" w:rsidRPr="00341A37" w:rsidRDefault="00D852E2" w:rsidP="00A16039">
            <w:pPr>
              <w:rPr>
                <w:rFonts w:ascii="Gill Sans MT" w:hAnsi="Gill Sans MT"/>
              </w:rPr>
            </w:pPr>
            <w:r w:rsidRPr="00341A37">
              <w:rPr>
                <w:rFonts w:ascii="Gill Sans MT" w:hAnsi="Gill Sans MT"/>
                <w:b/>
                <w:color w:val="000000"/>
                <w:szCs w:val="22"/>
                <w:lang w:val="en-AU"/>
              </w:rPr>
              <w:t>Relevance to PGCW/ equity:</w:t>
            </w:r>
            <w:r w:rsidRPr="00341A37">
              <w:rPr>
                <w:rFonts w:ascii="Gill Sans MT" w:hAnsi="Gill Sans MT"/>
              </w:rPr>
              <w:t xml:space="preserve"> Inequalities in SES/ ethnicity/ gender are likely to be result of inequalities in good advice and attainment and some impact of SES on funding.</w:t>
            </w:r>
          </w:p>
          <w:p w14:paraId="7BF8EA4E" w14:textId="77777777" w:rsidR="00D852E2" w:rsidRPr="00EB5422" w:rsidRDefault="00D852E2" w:rsidP="00A16039">
            <w:pPr>
              <w:rPr>
                <w:rFonts w:ascii="Gill Sans MT" w:hAnsi="Gill Sans MT"/>
                <w:color w:val="000000" w:themeColor="text1"/>
              </w:rPr>
            </w:pPr>
            <w:r w:rsidRPr="00EB5422">
              <w:rPr>
                <w:rFonts w:ascii="Gill Sans MT" w:hAnsi="Gill Sans MT"/>
                <w:color w:val="000000" w:themeColor="text1"/>
              </w:rPr>
              <w:t>Typology for PG WP: suggest monitoring and intervening (not financial) on following factors: low SES/ type of secondary school attended/ FiF/ ethnicity and gender.</w:t>
            </w:r>
          </w:p>
          <w:p w14:paraId="174199D1"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Pedagogical intervention suggested? </w:t>
            </w:r>
            <w:r w:rsidRPr="00341A37">
              <w:rPr>
                <w:rFonts w:ascii="Gill Sans MT" w:hAnsi="Gill Sans MT"/>
                <w:color w:val="000000"/>
                <w:szCs w:val="22"/>
                <w:lang w:val="en-AU"/>
              </w:rPr>
              <w:t>Yes – in Chapter 6</w:t>
            </w:r>
          </w:p>
          <w:p w14:paraId="4AB6948F"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Yes: p.74</w:t>
            </w:r>
          </w:p>
        </w:tc>
      </w:tr>
      <w:tr w:rsidR="00D852E2" w:rsidRPr="00341A37" w14:paraId="06034D05" w14:textId="77777777" w:rsidTr="00A16039">
        <w:tc>
          <w:tcPr>
            <w:tcW w:w="5529" w:type="dxa"/>
          </w:tcPr>
          <w:p w14:paraId="73A454DD" w14:textId="3BF401B0" w:rsidR="00D852E2" w:rsidRPr="00341A37" w:rsidRDefault="00D852E2" w:rsidP="00A16039">
            <w:pPr>
              <w:rPr>
                <w:rFonts w:ascii="Gill Sans MT" w:hAnsi="Gill Sans MT"/>
                <w:lang w:val="en-GB"/>
              </w:rPr>
            </w:pPr>
            <w:proofErr w:type="spellStart"/>
            <w:r w:rsidRPr="00341A37">
              <w:rPr>
                <w:rFonts w:ascii="Gill Sans MT" w:hAnsi="Gill Sans MT"/>
                <w:lang w:val="en-GB"/>
              </w:rPr>
              <w:lastRenderedPageBreak/>
              <w:t>Wakeling</w:t>
            </w:r>
            <w:proofErr w:type="spellEnd"/>
            <w:r w:rsidRPr="00341A37">
              <w:rPr>
                <w:rFonts w:ascii="Gill Sans MT" w:hAnsi="Gill Sans MT"/>
                <w:lang w:val="en-GB"/>
              </w:rPr>
              <w:t xml:space="preserve">, P. and </w:t>
            </w:r>
            <w:proofErr w:type="spellStart"/>
            <w:r w:rsidRPr="00341A37">
              <w:rPr>
                <w:rFonts w:ascii="Gill Sans MT" w:hAnsi="Gill Sans MT"/>
                <w:lang w:val="en-GB"/>
              </w:rPr>
              <w:t>Kyriacou</w:t>
            </w:r>
            <w:proofErr w:type="spellEnd"/>
            <w:r w:rsidRPr="00341A37">
              <w:rPr>
                <w:rFonts w:ascii="Gill Sans MT" w:hAnsi="Gill Sans MT"/>
                <w:lang w:val="en-GB"/>
              </w:rPr>
              <w:t xml:space="preserve">, C. (2010) </w:t>
            </w:r>
            <w:hyperlink r:id="rId21" w:history="1">
              <w:r w:rsidRPr="00341A37">
                <w:rPr>
                  <w:rStyle w:val="Hyperlink"/>
                  <w:rFonts w:ascii="Gill Sans MT" w:hAnsi="Gill Sans MT"/>
                  <w:i/>
                  <w:lang w:val="en-GB"/>
                </w:rPr>
                <w:t>Widening Participation from Undergraduate to Postgraduate Research Degrees: a research synthesis</w:t>
              </w:r>
            </w:hyperlink>
            <w:r w:rsidRPr="00341A37">
              <w:rPr>
                <w:rFonts w:ascii="Gill Sans MT" w:hAnsi="Gill Sans MT"/>
                <w:lang w:val="en-GB"/>
              </w:rPr>
              <w:t xml:space="preserve"> Swindon: NCCPE and Economic &amp; Social Research Council. </w:t>
            </w:r>
          </w:p>
          <w:p w14:paraId="0258947B" w14:textId="77777777" w:rsidR="00D852E2" w:rsidRPr="00341A37" w:rsidRDefault="00D852E2" w:rsidP="00A16039">
            <w:pPr>
              <w:rPr>
                <w:rFonts w:ascii="Gill Sans MT" w:hAnsi="Gill Sans MT"/>
                <w:szCs w:val="22"/>
              </w:rPr>
            </w:pPr>
          </w:p>
          <w:p w14:paraId="1B44DF45" w14:textId="77777777" w:rsidR="00D852E2" w:rsidRPr="00341A37" w:rsidRDefault="00D852E2" w:rsidP="00A16039">
            <w:pPr>
              <w:rPr>
                <w:rFonts w:ascii="Gill Sans MT" w:hAnsi="Gill Sans MT"/>
                <w:szCs w:val="22"/>
              </w:rPr>
            </w:pPr>
            <w:r w:rsidRPr="00341A37">
              <w:rPr>
                <w:rFonts w:ascii="Gill Sans MT" w:hAnsi="Gill Sans MT"/>
                <w:szCs w:val="22"/>
              </w:rPr>
              <w:t>UK</w:t>
            </w:r>
          </w:p>
          <w:p w14:paraId="01229122" w14:textId="77777777" w:rsidR="00D852E2" w:rsidRPr="00341A37" w:rsidRDefault="00D852E2" w:rsidP="00A16039">
            <w:pPr>
              <w:rPr>
                <w:rFonts w:ascii="Gill Sans MT" w:hAnsi="Gill Sans MT"/>
                <w:szCs w:val="22"/>
              </w:rPr>
            </w:pPr>
            <w:r w:rsidRPr="00341A37">
              <w:rPr>
                <w:rFonts w:ascii="Gill Sans MT" w:hAnsi="Gill Sans MT"/>
              </w:rPr>
              <w:t>Annotated by Sally Baker</w:t>
            </w:r>
          </w:p>
        </w:tc>
        <w:tc>
          <w:tcPr>
            <w:tcW w:w="10064" w:type="dxa"/>
          </w:tcPr>
          <w:p w14:paraId="2626680C"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 xml:space="preserve">PG students increased fivefold from 1990 – 2005 (mostly PGT) but growth in domestic research students remained flat from 2000-2010, suggesting other growth is from international students. Issues with PG: 1) concern for social justice – “keen to ensure that entry to postgraduate research is open to all </w:t>
            </w:r>
            <w:r w:rsidRPr="00341A37">
              <w:rPr>
                <w:rFonts w:ascii="Gill Sans MT" w:hAnsi="Gill Sans MT"/>
                <w:sz w:val="23"/>
                <w:szCs w:val="23"/>
              </w:rPr>
              <w:t>regardless of gender, ethnicity, social class background or any other such characteristic and that none are unfairly disadvantaged in this pursuit” (p.14); 2) need to ensure ‘widest possible talent pool’ (p.15) to ensure that countries can complete in global knowledge economy; 3) how PG/research is funded</w:t>
            </w:r>
          </w:p>
          <w:p w14:paraId="2A724BA9"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Aim: </w:t>
            </w:r>
            <w:r w:rsidRPr="00341A37">
              <w:rPr>
                <w:rFonts w:ascii="Gill Sans MT" w:hAnsi="Gill Sans MT"/>
                <w:color w:val="000000"/>
                <w:szCs w:val="22"/>
                <w:lang w:val="en-AU"/>
              </w:rPr>
              <w:t>“</w:t>
            </w:r>
            <w:r w:rsidRPr="00341A37">
              <w:rPr>
                <w:rFonts w:ascii="Gill Sans MT" w:hAnsi="Gill Sans MT"/>
                <w:sz w:val="23"/>
                <w:szCs w:val="23"/>
              </w:rPr>
              <w:t xml:space="preserve">to investigate research and </w:t>
            </w:r>
            <w:proofErr w:type="spellStart"/>
            <w:r w:rsidRPr="00341A37">
              <w:rPr>
                <w:rFonts w:ascii="Gill Sans MT" w:hAnsi="Gill Sans MT"/>
                <w:sz w:val="23"/>
                <w:szCs w:val="23"/>
              </w:rPr>
              <w:t>summarise</w:t>
            </w:r>
            <w:proofErr w:type="spellEnd"/>
            <w:r w:rsidRPr="00341A37">
              <w:rPr>
                <w:rFonts w:ascii="Gill Sans MT" w:hAnsi="Gill Sans MT"/>
                <w:sz w:val="23"/>
                <w:szCs w:val="23"/>
              </w:rPr>
              <w:t xml:space="preserve"> findings about widening participation from undergraduate to postgraduate research degrees” (p.5) – primarily UK literature but also international </w:t>
            </w:r>
          </w:p>
          <w:p w14:paraId="7DCD5351"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Methodology: </w:t>
            </w:r>
            <w:r w:rsidRPr="00341A37">
              <w:rPr>
                <w:rFonts w:ascii="Gill Sans MT" w:hAnsi="Gill Sans MT"/>
                <w:color w:val="000000"/>
                <w:szCs w:val="22"/>
                <w:lang w:val="en-AU"/>
              </w:rPr>
              <w:t>Literature review</w:t>
            </w:r>
          </w:p>
          <w:p w14:paraId="49024678"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Findings: </w:t>
            </w:r>
            <w:r w:rsidRPr="00341A37">
              <w:rPr>
                <w:rFonts w:ascii="Gill Sans MT" w:hAnsi="Gill Sans MT"/>
                <w:color w:val="000000"/>
                <w:szCs w:val="22"/>
                <w:lang w:val="en-AU"/>
              </w:rPr>
              <w:t>Synthesis shows that little attention has been paid to postgraduate access/ widening participation to PG study. Most underrepresented group = women. No significant difference in SES with immediate movement into PG study but later uptake of PG study, low SES students are disadvantaged. Ethnicity appears to have an impact on access to PG study. Academic attainment appears to influence PG study: students who get 1</w:t>
            </w:r>
            <w:r w:rsidRPr="00341A37">
              <w:rPr>
                <w:rFonts w:ascii="Gill Sans MT" w:hAnsi="Gill Sans MT"/>
                <w:color w:val="000000"/>
                <w:szCs w:val="22"/>
                <w:vertAlign w:val="superscript"/>
                <w:lang w:val="en-AU"/>
              </w:rPr>
              <w:t>st</w:t>
            </w:r>
            <w:r w:rsidRPr="00341A37">
              <w:rPr>
                <w:rFonts w:ascii="Gill Sans MT" w:hAnsi="Gill Sans MT"/>
                <w:color w:val="000000"/>
                <w:szCs w:val="22"/>
                <w:lang w:val="en-AU"/>
              </w:rPr>
              <w:t xml:space="preserve"> class honours, study a physical science subject and attend pre-1992 university = all more likely to go on to PG study (but not distributed evenly by gender, ethnicity, SES). There are clear and substantial differences between disciplines/subjects and PG study. Section on aspirations (p.33-4).</w:t>
            </w:r>
          </w:p>
          <w:p w14:paraId="77564B5F" w14:textId="77777777" w:rsidR="00D852E2" w:rsidRPr="00341A37" w:rsidRDefault="00D852E2" w:rsidP="00A16039">
            <w:pPr>
              <w:rPr>
                <w:rFonts w:ascii="Gill Sans MT" w:hAnsi="Gill Sans MT"/>
                <w:color w:val="000000"/>
                <w:szCs w:val="22"/>
                <w:lang w:val="en-AU"/>
              </w:rPr>
            </w:pPr>
            <w:r w:rsidRPr="00341A37">
              <w:rPr>
                <w:rFonts w:ascii="Gill Sans MT" w:hAnsi="Gill Sans MT"/>
                <w:color w:val="000000"/>
                <w:szCs w:val="22"/>
                <w:lang w:val="en-AU"/>
              </w:rPr>
              <w:t>CHAPTER 7: Socioeconomic status and access to postgraduate research</w:t>
            </w:r>
          </w:p>
          <w:p w14:paraId="44967D4A" w14:textId="77777777" w:rsidR="00D852E2" w:rsidRPr="00341A37" w:rsidRDefault="00D852E2" w:rsidP="00A16039">
            <w:pPr>
              <w:rPr>
                <w:rFonts w:ascii="Gill Sans MT" w:hAnsi="Gill Sans MT"/>
                <w:color w:val="000000"/>
                <w:szCs w:val="22"/>
                <w:lang w:val="en-AU"/>
              </w:rPr>
            </w:pPr>
            <w:r w:rsidRPr="00341A37">
              <w:rPr>
                <w:rFonts w:ascii="Gill Sans MT" w:hAnsi="Gill Sans MT"/>
                <w:color w:val="000000"/>
                <w:szCs w:val="22"/>
                <w:lang w:val="en-AU"/>
              </w:rPr>
              <w:t xml:space="preserve">7.1: definition of SEC (socioeconomic class); 7.2: relationship between PG and SES = “substantially under-researched” (p.59). 5 studies show that SES has little bearing on </w:t>
            </w:r>
            <w:r w:rsidRPr="00341A37">
              <w:rPr>
                <w:rFonts w:ascii="Gill Sans MT" w:hAnsi="Gill Sans MT"/>
                <w:color w:val="000000"/>
                <w:szCs w:val="22"/>
                <w:u w:val="single"/>
                <w:lang w:val="en-AU"/>
              </w:rPr>
              <w:t>immediate</w:t>
            </w:r>
            <w:r w:rsidRPr="00341A37">
              <w:rPr>
                <w:rFonts w:ascii="Gill Sans MT" w:hAnsi="Gill Sans MT"/>
                <w:color w:val="000000"/>
                <w:szCs w:val="22"/>
                <w:lang w:val="en-AU"/>
              </w:rPr>
              <w:t xml:space="preserve"> progression to PG study (differences in participation more likely to be result of academic attainment/ subject/institution attended than SES). However, high SES students appear to be overrepresented as later entrants to PG study (p.62 – see </w:t>
            </w:r>
            <w:proofErr w:type="spellStart"/>
            <w:r w:rsidRPr="00341A37">
              <w:rPr>
                <w:rFonts w:ascii="Gill Sans MT" w:hAnsi="Gill Sans MT"/>
                <w:color w:val="000000"/>
                <w:szCs w:val="22"/>
                <w:lang w:val="en-AU"/>
              </w:rPr>
              <w:t>Wakeling</w:t>
            </w:r>
            <w:proofErr w:type="spellEnd"/>
            <w:r w:rsidRPr="00341A37">
              <w:rPr>
                <w:rFonts w:ascii="Gill Sans MT" w:hAnsi="Gill Sans MT"/>
                <w:color w:val="000000"/>
                <w:szCs w:val="22"/>
                <w:lang w:val="en-AU"/>
              </w:rPr>
              <w:t>, 2009).</w:t>
            </w:r>
          </w:p>
          <w:p w14:paraId="5C514A6F" w14:textId="77777777" w:rsidR="00D852E2" w:rsidRPr="00341A37" w:rsidRDefault="00D852E2" w:rsidP="00A16039">
            <w:pPr>
              <w:rPr>
                <w:rFonts w:ascii="Gill Sans MT" w:hAnsi="Gill Sans MT"/>
                <w:color w:val="000000"/>
                <w:szCs w:val="22"/>
                <w:lang w:val="en-AU"/>
              </w:rPr>
            </w:pPr>
            <w:r w:rsidRPr="00341A37">
              <w:rPr>
                <w:rFonts w:ascii="Gill Sans MT" w:hAnsi="Gill Sans MT"/>
                <w:color w:val="000000"/>
                <w:szCs w:val="22"/>
                <w:lang w:val="en-AU"/>
              </w:rPr>
              <w:t>CHAPTER 8: Ethnicity and access to postgraduate research</w:t>
            </w:r>
          </w:p>
          <w:p w14:paraId="35A17A43" w14:textId="77777777" w:rsidR="00D852E2" w:rsidRPr="00341A37" w:rsidRDefault="00D852E2" w:rsidP="00A16039">
            <w:pPr>
              <w:rPr>
                <w:rFonts w:ascii="Gill Sans MT" w:hAnsi="Gill Sans MT"/>
                <w:color w:val="000000"/>
                <w:szCs w:val="22"/>
                <w:lang w:val="en-AU"/>
              </w:rPr>
            </w:pPr>
            <w:r w:rsidRPr="00341A37">
              <w:rPr>
                <w:rFonts w:ascii="Gill Sans MT" w:hAnsi="Gill Sans MT"/>
                <w:color w:val="000000"/>
                <w:szCs w:val="22"/>
                <w:lang w:val="en-AU"/>
              </w:rPr>
              <w:lastRenderedPageBreak/>
              <w:t>BME (Black and minority ethnic) students are well represented in UG but not so much in PG programs. Little is known about ethnicity and PG study (ethnicity is self-</w:t>
            </w:r>
            <w:proofErr w:type="gramStart"/>
            <w:r w:rsidRPr="00341A37">
              <w:rPr>
                <w:rFonts w:ascii="Gill Sans MT" w:hAnsi="Gill Sans MT"/>
                <w:color w:val="000000"/>
                <w:szCs w:val="22"/>
                <w:lang w:val="en-AU"/>
              </w:rPr>
              <w:t>reported</w:t>
            </w:r>
            <w:proofErr w:type="gramEnd"/>
            <w:r w:rsidRPr="00341A37">
              <w:rPr>
                <w:rFonts w:ascii="Gill Sans MT" w:hAnsi="Gill Sans MT"/>
                <w:color w:val="000000"/>
                <w:szCs w:val="22"/>
                <w:lang w:val="en-AU"/>
              </w:rPr>
              <w:t xml:space="preserve"> so some data are missing). Figure 2 shows ethnicity/research degree students for 2004/5 (p. 67). Subject studied appears to be significant.</w:t>
            </w:r>
          </w:p>
          <w:p w14:paraId="0EDC3270" w14:textId="77777777" w:rsidR="00D852E2" w:rsidRPr="00341A37" w:rsidRDefault="00D852E2" w:rsidP="00A16039">
            <w:pPr>
              <w:rPr>
                <w:rFonts w:ascii="Gill Sans MT" w:hAnsi="Gill Sans MT"/>
                <w:color w:val="000000"/>
                <w:szCs w:val="22"/>
                <w:lang w:val="en-AU"/>
              </w:rPr>
            </w:pPr>
            <w:r w:rsidRPr="00341A37">
              <w:rPr>
                <w:rFonts w:ascii="Gill Sans MT" w:hAnsi="Gill Sans MT"/>
                <w:color w:val="000000"/>
                <w:szCs w:val="22"/>
                <w:lang w:val="en-AU"/>
              </w:rPr>
              <w:t>CHAPTER 9: Gender and access to postgraduate research</w:t>
            </w:r>
          </w:p>
          <w:p w14:paraId="30879ADA" w14:textId="77777777" w:rsidR="00D852E2" w:rsidRPr="00341A37" w:rsidRDefault="00D852E2" w:rsidP="00A16039">
            <w:pPr>
              <w:rPr>
                <w:rFonts w:ascii="Gill Sans MT" w:hAnsi="Gill Sans MT"/>
                <w:color w:val="000000"/>
                <w:szCs w:val="22"/>
                <w:lang w:val="en-AU"/>
              </w:rPr>
            </w:pPr>
            <w:r w:rsidRPr="00341A37">
              <w:rPr>
                <w:rFonts w:ascii="Gill Sans MT" w:hAnsi="Gill Sans MT"/>
                <w:color w:val="000000"/>
                <w:szCs w:val="22"/>
                <w:lang w:val="en-AU"/>
              </w:rPr>
              <w:t>While there is a substantial body of literature on women’s participation in specific disciplines. There is less research on progression/transition to PG study by gender but still more than for SES and ethnicity. Men and women are distributed differently across disciplines (so while women are more represented in levels of education – vertical – they are less represented in particular discipline areas – horizontal – p.72). Women = more in ‘people-focused and caring’ subjects (teaching/ arts and humanities/ law); men are found more in STEM subjects</w:t>
            </w:r>
          </w:p>
          <w:p w14:paraId="5D4C5E75"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No initial participation rate benchmark of PG makes it difficult to analyse student demographics/ population – SES data is largely absent; little know about dependents of PG student. Little to no research has explored aspirations/ motivations for PG study. Same for admissions procedures to PG study and how students fund/ resource their PG study</w:t>
            </w:r>
          </w:p>
          <w:p w14:paraId="55D0905C"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Pedagogical intervention suggested? </w:t>
            </w:r>
            <w:r w:rsidRPr="00341A37">
              <w:rPr>
                <w:rFonts w:ascii="Gill Sans MT" w:hAnsi="Gill Sans MT"/>
                <w:color w:val="000000"/>
                <w:szCs w:val="22"/>
                <w:lang w:val="en-AU"/>
              </w:rPr>
              <w:t>No</w:t>
            </w:r>
          </w:p>
          <w:p w14:paraId="3D3EFBCE" w14:textId="77777777" w:rsidR="00D852E2" w:rsidRPr="00341A37" w:rsidRDefault="00D852E2" w:rsidP="00A16039">
            <w:pPr>
              <w:pStyle w:val="Default"/>
              <w:rPr>
                <w:rFonts w:ascii="Gill Sans MT" w:hAnsi="Gill Sans MT"/>
                <w:bCs/>
                <w:sz w:val="22"/>
                <w:szCs w:val="22"/>
              </w:rPr>
            </w:pPr>
            <w:r w:rsidRPr="00341A37">
              <w:rPr>
                <w:rFonts w:ascii="Gill Sans MT" w:hAnsi="Gill Sans MT"/>
                <w:b/>
                <w:lang w:val="en-AU"/>
              </w:rPr>
              <w:t>Points to future research agenda?</w:t>
            </w:r>
            <w:r w:rsidRPr="00341A37">
              <w:rPr>
                <w:rFonts w:ascii="Gill Sans MT" w:hAnsi="Gill Sans MT"/>
                <w:b/>
                <w:szCs w:val="22"/>
                <w:lang w:val="en-AU"/>
              </w:rPr>
              <w:t xml:space="preserve"> </w:t>
            </w:r>
            <w:r w:rsidRPr="00341A37">
              <w:rPr>
                <w:rFonts w:ascii="Gill Sans MT" w:hAnsi="Gill Sans MT"/>
                <w:bCs/>
                <w:sz w:val="22"/>
                <w:szCs w:val="22"/>
              </w:rPr>
              <w:t>Page 8 -9</w:t>
            </w:r>
          </w:p>
          <w:p w14:paraId="344ED445" w14:textId="77777777" w:rsidR="00D852E2" w:rsidRPr="00341A37" w:rsidRDefault="00D852E2" w:rsidP="00A16039">
            <w:pPr>
              <w:pStyle w:val="Default"/>
              <w:rPr>
                <w:rFonts w:ascii="Gill Sans MT" w:hAnsi="Gill Sans MT"/>
                <w:sz w:val="22"/>
                <w:szCs w:val="22"/>
                <w:u w:val="single"/>
              </w:rPr>
            </w:pPr>
            <w:r w:rsidRPr="00341A37">
              <w:rPr>
                <w:rFonts w:ascii="Gill Sans MT" w:hAnsi="Gill Sans MT"/>
                <w:bCs/>
                <w:sz w:val="22"/>
                <w:szCs w:val="22"/>
                <w:u w:val="single"/>
              </w:rPr>
              <w:t xml:space="preserve">Recommendations for further research </w:t>
            </w:r>
          </w:p>
          <w:p w14:paraId="4F322B04" w14:textId="77777777" w:rsidR="00D852E2" w:rsidRPr="00341A37" w:rsidRDefault="00D852E2" w:rsidP="00A16039">
            <w:pPr>
              <w:pStyle w:val="Default"/>
              <w:rPr>
                <w:rFonts w:ascii="Gill Sans MT" w:hAnsi="Gill Sans MT"/>
                <w:sz w:val="22"/>
                <w:szCs w:val="22"/>
              </w:rPr>
            </w:pPr>
            <w:r w:rsidRPr="00341A37">
              <w:rPr>
                <w:rFonts w:ascii="Gill Sans MT" w:hAnsi="Gill Sans MT"/>
                <w:bCs/>
                <w:sz w:val="22"/>
                <w:szCs w:val="22"/>
              </w:rPr>
              <w:t xml:space="preserve">R1 </w:t>
            </w:r>
            <w:r w:rsidRPr="00341A37">
              <w:rPr>
                <w:rFonts w:ascii="Gill Sans MT" w:hAnsi="Gill Sans MT"/>
                <w:sz w:val="22"/>
                <w:szCs w:val="22"/>
              </w:rPr>
              <w:t xml:space="preserve">A better understanding of the extent and nature of sub-doctoral research degrees is required, including the characteristics and motivations of students taking such degrees. = </w:t>
            </w:r>
            <w:r w:rsidRPr="00341A37">
              <w:rPr>
                <w:rFonts w:ascii="Gill Sans MT" w:hAnsi="Gill Sans MT"/>
                <w:b/>
                <w:sz w:val="22"/>
                <w:szCs w:val="22"/>
              </w:rPr>
              <w:t>defining PG study</w:t>
            </w:r>
            <w:r w:rsidRPr="00341A37">
              <w:rPr>
                <w:rFonts w:ascii="Gill Sans MT" w:hAnsi="Gill Sans MT"/>
                <w:sz w:val="22"/>
                <w:szCs w:val="22"/>
              </w:rPr>
              <w:t xml:space="preserve"> </w:t>
            </w:r>
          </w:p>
          <w:p w14:paraId="52A90B06" w14:textId="77777777" w:rsidR="00D852E2" w:rsidRPr="00341A37" w:rsidRDefault="00D852E2" w:rsidP="00A16039">
            <w:pPr>
              <w:pStyle w:val="Default"/>
              <w:rPr>
                <w:rFonts w:ascii="Gill Sans MT" w:hAnsi="Gill Sans MT"/>
                <w:sz w:val="22"/>
                <w:szCs w:val="22"/>
              </w:rPr>
            </w:pPr>
            <w:r w:rsidRPr="00341A37">
              <w:rPr>
                <w:rFonts w:ascii="Gill Sans MT" w:hAnsi="Gill Sans MT"/>
                <w:bCs/>
                <w:sz w:val="22"/>
                <w:szCs w:val="22"/>
              </w:rPr>
              <w:t xml:space="preserve">R2 </w:t>
            </w:r>
            <w:r w:rsidRPr="00341A37">
              <w:rPr>
                <w:rFonts w:ascii="Gill Sans MT" w:hAnsi="Gill Sans MT"/>
                <w:sz w:val="22"/>
                <w:szCs w:val="22"/>
              </w:rPr>
              <w:t xml:space="preserve">There is a clear need for research into the process of applying for research degree study. This should cover how potential research students find out about research degrees and how they decide whether and where to apply (including their aspirations and perceptions of the benefits or drawbacks of a research degree). It should cover factors affecting their decision to apply and the decision-making process. It should also investigate whether there are inequalities in the offer of a place and/or funding on the basis of social class background, ethnicity, gender and so on. The </w:t>
            </w:r>
            <w:proofErr w:type="spellStart"/>
            <w:r w:rsidRPr="00341A37">
              <w:rPr>
                <w:rFonts w:ascii="Gill Sans MT" w:hAnsi="Gill Sans MT"/>
                <w:i/>
                <w:iCs/>
                <w:sz w:val="22"/>
                <w:szCs w:val="22"/>
              </w:rPr>
              <w:t>Futuretrack</w:t>
            </w:r>
            <w:proofErr w:type="spellEnd"/>
            <w:r w:rsidRPr="00341A37">
              <w:rPr>
                <w:rFonts w:ascii="Gill Sans MT" w:hAnsi="Gill Sans MT"/>
                <w:i/>
                <w:iCs/>
                <w:sz w:val="22"/>
                <w:szCs w:val="22"/>
              </w:rPr>
              <w:t xml:space="preserve"> </w:t>
            </w:r>
            <w:r w:rsidRPr="00341A37">
              <w:rPr>
                <w:rFonts w:ascii="Gill Sans MT" w:hAnsi="Gill Sans MT"/>
                <w:sz w:val="22"/>
                <w:szCs w:val="22"/>
              </w:rPr>
              <w:t xml:space="preserve">project offers a potential model for such a study.  = </w:t>
            </w:r>
            <w:r w:rsidRPr="00341A37">
              <w:rPr>
                <w:rFonts w:ascii="Gill Sans MT" w:hAnsi="Gill Sans MT"/>
                <w:b/>
                <w:sz w:val="22"/>
                <w:szCs w:val="22"/>
              </w:rPr>
              <w:t>application process</w:t>
            </w:r>
          </w:p>
          <w:p w14:paraId="3A18C577" w14:textId="77777777" w:rsidR="00D852E2" w:rsidRPr="00341A37" w:rsidRDefault="00D852E2" w:rsidP="00A16039">
            <w:pPr>
              <w:pStyle w:val="Default"/>
              <w:rPr>
                <w:rFonts w:ascii="Gill Sans MT" w:hAnsi="Gill Sans MT"/>
                <w:sz w:val="22"/>
                <w:szCs w:val="22"/>
              </w:rPr>
            </w:pPr>
            <w:r w:rsidRPr="00341A37">
              <w:rPr>
                <w:rFonts w:ascii="Gill Sans MT" w:hAnsi="Gill Sans MT"/>
                <w:bCs/>
                <w:sz w:val="22"/>
                <w:szCs w:val="22"/>
              </w:rPr>
              <w:t xml:space="preserve">R3 </w:t>
            </w:r>
            <w:r w:rsidRPr="00341A37">
              <w:rPr>
                <w:rFonts w:ascii="Gill Sans MT" w:hAnsi="Gill Sans MT"/>
                <w:sz w:val="22"/>
                <w:szCs w:val="22"/>
              </w:rPr>
              <w:t xml:space="preserve">Research is needed on the mobility of students across subject disciplines and institutions between undergraduate and postgraduate research levels. There are clear indications that students with a first degree in certain subjects and from certain institutions are more likely to progress immediately to postgraduate research. However other patterns of ‘import’ and ‘export’ are unknown. = </w:t>
            </w:r>
            <w:r w:rsidRPr="00341A37">
              <w:rPr>
                <w:rFonts w:ascii="Gill Sans MT" w:hAnsi="Gill Sans MT"/>
                <w:b/>
                <w:sz w:val="22"/>
                <w:szCs w:val="22"/>
              </w:rPr>
              <w:t>mobility of PG students</w:t>
            </w:r>
          </w:p>
          <w:p w14:paraId="635C295D" w14:textId="77777777" w:rsidR="00D852E2" w:rsidRPr="00341A37" w:rsidRDefault="00D852E2" w:rsidP="00A16039">
            <w:pPr>
              <w:pStyle w:val="Default"/>
              <w:rPr>
                <w:rFonts w:ascii="Gill Sans MT" w:hAnsi="Gill Sans MT"/>
                <w:sz w:val="22"/>
                <w:szCs w:val="22"/>
              </w:rPr>
            </w:pPr>
            <w:r w:rsidRPr="00341A37">
              <w:rPr>
                <w:rFonts w:ascii="Gill Sans MT" w:hAnsi="Gill Sans MT"/>
                <w:bCs/>
                <w:sz w:val="22"/>
                <w:szCs w:val="22"/>
              </w:rPr>
              <w:t xml:space="preserve">R4 </w:t>
            </w:r>
            <w:r w:rsidRPr="00341A37">
              <w:rPr>
                <w:rFonts w:ascii="Gill Sans MT" w:hAnsi="Gill Sans MT"/>
                <w:sz w:val="22"/>
                <w:szCs w:val="22"/>
              </w:rPr>
              <w:t xml:space="preserve">Very little is currently known about postgraduate research students’ financial circumstances. Further research is needed to establish the effect of financial factors on access and to understand sources of </w:t>
            </w:r>
            <w:r w:rsidRPr="00341A37">
              <w:rPr>
                <w:rFonts w:ascii="Gill Sans MT" w:hAnsi="Gill Sans MT"/>
                <w:sz w:val="22"/>
                <w:szCs w:val="22"/>
              </w:rPr>
              <w:lastRenderedPageBreak/>
              <w:t xml:space="preserve">maintenance funding, the potential impact of student debt and supplementary income and employment.  = </w:t>
            </w:r>
            <w:r w:rsidRPr="00341A37">
              <w:rPr>
                <w:rFonts w:ascii="Gill Sans MT" w:hAnsi="Gill Sans MT"/>
                <w:b/>
                <w:sz w:val="22"/>
                <w:szCs w:val="22"/>
              </w:rPr>
              <w:t>funding and financing</w:t>
            </w:r>
          </w:p>
          <w:p w14:paraId="61ABCB65" w14:textId="77777777" w:rsidR="00D852E2" w:rsidRPr="00341A37" w:rsidRDefault="00D852E2" w:rsidP="00A16039">
            <w:pPr>
              <w:pStyle w:val="Default"/>
              <w:rPr>
                <w:rFonts w:ascii="Gill Sans MT" w:hAnsi="Gill Sans MT"/>
                <w:sz w:val="22"/>
                <w:szCs w:val="22"/>
              </w:rPr>
            </w:pPr>
            <w:r w:rsidRPr="00341A37">
              <w:rPr>
                <w:rFonts w:ascii="Gill Sans MT" w:hAnsi="Gill Sans MT"/>
                <w:bCs/>
                <w:sz w:val="22"/>
                <w:szCs w:val="22"/>
              </w:rPr>
              <w:t xml:space="preserve">R5 </w:t>
            </w:r>
            <w:r w:rsidRPr="00341A37">
              <w:rPr>
                <w:rFonts w:ascii="Gill Sans MT" w:hAnsi="Gill Sans MT"/>
                <w:sz w:val="22"/>
                <w:szCs w:val="22"/>
              </w:rPr>
              <w:t xml:space="preserve">There should be further investigation of the influence on social class background on access to postgraduate research degrees, particularly in trying to understand patterns of non-contiguous entry and on the implications of any inequalities observed for the diversity of the research workforce. = </w:t>
            </w:r>
            <w:r w:rsidRPr="00341A37">
              <w:rPr>
                <w:rFonts w:ascii="Gill Sans MT" w:hAnsi="Gill Sans MT"/>
                <w:b/>
                <w:sz w:val="22"/>
                <w:szCs w:val="22"/>
              </w:rPr>
              <w:t>explore SES</w:t>
            </w:r>
          </w:p>
          <w:p w14:paraId="16A6D023" w14:textId="77777777" w:rsidR="00D852E2" w:rsidRPr="00341A37" w:rsidRDefault="00D852E2" w:rsidP="00A16039">
            <w:pPr>
              <w:pStyle w:val="Default"/>
              <w:rPr>
                <w:rFonts w:ascii="Gill Sans MT" w:hAnsi="Gill Sans MT"/>
                <w:sz w:val="22"/>
                <w:szCs w:val="22"/>
              </w:rPr>
            </w:pPr>
            <w:r w:rsidRPr="00341A37">
              <w:rPr>
                <w:rFonts w:ascii="Gill Sans MT" w:hAnsi="Gill Sans MT"/>
                <w:bCs/>
                <w:color w:val="auto"/>
                <w:sz w:val="22"/>
                <w:szCs w:val="22"/>
              </w:rPr>
              <w:t xml:space="preserve">R6 </w:t>
            </w:r>
            <w:r w:rsidRPr="00341A37">
              <w:rPr>
                <w:rFonts w:ascii="Gill Sans MT" w:hAnsi="Gill Sans MT"/>
                <w:color w:val="auto"/>
                <w:sz w:val="22"/>
                <w:szCs w:val="22"/>
              </w:rPr>
              <w:t xml:space="preserve">Further research is required into ethnic inequalities in access to postgraduate research degrees, especially that which moves beyond description to consider why any differences arise.  </w:t>
            </w:r>
            <w:r w:rsidRPr="00341A37">
              <w:rPr>
                <w:rFonts w:ascii="Gill Sans MT" w:hAnsi="Gill Sans MT"/>
                <w:sz w:val="22"/>
                <w:szCs w:val="22"/>
              </w:rPr>
              <w:t xml:space="preserve">= </w:t>
            </w:r>
            <w:r w:rsidRPr="00341A37">
              <w:rPr>
                <w:rFonts w:ascii="Gill Sans MT" w:hAnsi="Gill Sans MT"/>
                <w:b/>
                <w:sz w:val="22"/>
                <w:szCs w:val="22"/>
              </w:rPr>
              <w:t>equity</w:t>
            </w:r>
          </w:p>
          <w:p w14:paraId="188B9E84" w14:textId="77777777" w:rsidR="00D852E2" w:rsidRPr="00341A37" w:rsidRDefault="00D852E2" w:rsidP="00A16039">
            <w:pPr>
              <w:pStyle w:val="Default"/>
              <w:rPr>
                <w:rFonts w:ascii="Gill Sans MT" w:hAnsi="Gill Sans MT"/>
                <w:sz w:val="22"/>
                <w:szCs w:val="22"/>
              </w:rPr>
            </w:pPr>
            <w:r w:rsidRPr="00341A37">
              <w:rPr>
                <w:rFonts w:ascii="Gill Sans MT" w:hAnsi="Gill Sans MT"/>
                <w:bCs/>
                <w:sz w:val="22"/>
                <w:szCs w:val="22"/>
              </w:rPr>
              <w:t xml:space="preserve">R7 </w:t>
            </w:r>
            <w:r w:rsidRPr="00341A37">
              <w:rPr>
                <w:rFonts w:ascii="Gill Sans MT" w:hAnsi="Gill Sans MT"/>
                <w:sz w:val="22"/>
                <w:szCs w:val="22"/>
              </w:rPr>
              <w:t xml:space="preserve">Similarly, there is scope for a better understanding of the reasons why women are less likely to enter a research degree than men (across all subjects). An appropriate starting point would be large-scale quantitative research which compares participant and non-participant women. = </w:t>
            </w:r>
            <w:r w:rsidRPr="00341A37">
              <w:rPr>
                <w:rFonts w:ascii="Gill Sans MT" w:hAnsi="Gill Sans MT"/>
                <w:b/>
                <w:sz w:val="22"/>
                <w:szCs w:val="22"/>
              </w:rPr>
              <w:t>women</w:t>
            </w:r>
            <w:r w:rsidRPr="00341A37">
              <w:rPr>
                <w:rFonts w:ascii="Gill Sans MT" w:hAnsi="Gill Sans MT"/>
                <w:sz w:val="22"/>
                <w:szCs w:val="22"/>
              </w:rPr>
              <w:t xml:space="preserve"> </w:t>
            </w:r>
          </w:p>
          <w:p w14:paraId="3F4CF296" w14:textId="77777777" w:rsidR="00D852E2" w:rsidRPr="00341A37" w:rsidRDefault="00D852E2" w:rsidP="00A16039">
            <w:pPr>
              <w:rPr>
                <w:rFonts w:ascii="Gill Sans MT" w:hAnsi="Gill Sans MT"/>
                <w:color w:val="000000"/>
                <w:szCs w:val="22"/>
                <w:lang w:val="en-AU"/>
              </w:rPr>
            </w:pPr>
            <w:r w:rsidRPr="00341A37">
              <w:rPr>
                <w:rFonts w:ascii="Gill Sans MT" w:hAnsi="Gill Sans MT"/>
                <w:bCs/>
                <w:szCs w:val="22"/>
              </w:rPr>
              <w:t xml:space="preserve">R8 </w:t>
            </w:r>
            <w:r w:rsidRPr="00341A37">
              <w:rPr>
                <w:rFonts w:ascii="Gill Sans MT" w:hAnsi="Gill Sans MT"/>
                <w:szCs w:val="22"/>
              </w:rPr>
              <w:t xml:space="preserve">There is a paucity of research on the impact of other factors on take-up of postgraduate research, including family commitments (children, intimate partnerships), disability and sexuality. These areas should be investigated further. = </w:t>
            </w:r>
            <w:r w:rsidRPr="00341A37">
              <w:rPr>
                <w:rFonts w:ascii="Gill Sans MT" w:hAnsi="Gill Sans MT"/>
                <w:b/>
                <w:szCs w:val="22"/>
              </w:rPr>
              <w:t>other factors: family/ disability/ sexuality</w:t>
            </w:r>
          </w:p>
        </w:tc>
      </w:tr>
      <w:tr w:rsidR="00D852E2" w:rsidRPr="00341A37" w14:paraId="0BDB8E10" w14:textId="77777777" w:rsidTr="00A16039">
        <w:tc>
          <w:tcPr>
            <w:tcW w:w="5529" w:type="dxa"/>
          </w:tcPr>
          <w:p w14:paraId="17F0EA4F" w14:textId="4594D281" w:rsidR="00D852E2" w:rsidRPr="00341A37" w:rsidRDefault="00D852E2" w:rsidP="00A16039">
            <w:pPr>
              <w:rPr>
                <w:rFonts w:ascii="Gill Sans MT" w:hAnsi="Gill Sans MT"/>
              </w:rPr>
            </w:pPr>
            <w:r w:rsidRPr="00341A37">
              <w:rPr>
                <w:rFonts w:ascii="Gill Sans MT" w:hAnsi="Gill Sans MT"/>
              </w:rPr>
              <w:lastRenderedPageBreak/>
              <w:t>Whitty, G (2011)</w:t>
            </w:r>
            <w:r w:rsidR="00CE26B5" w:rsidRPr="00341A37">
              <w:rPr>
                <w:rFonts w:ascii="Gill Sans MT" w:hAnsi="Gill Sans MT"/>
              </w:rPr>
              <w:t>.</w:t>
            </w:r>
            <w:r w:rsidRPr="00341A37">
              <w:rPr>
                <w:rFonts w:ascii="Gill Sans MT" w:hAnsi="Gill Sans MT"/>
              </w:rPr>
              <w:t xml:space="preserve"> </w:t>
            </w:r>
            <w:hyperlink r:id="rId22" w:history="1">
              <w:r w:rsidRPr="00341A37">
                <w:rPr>
                  <w:rStyle w:val="Hyperlink"/>
                  <w:rFonts w:ascii="Gill Sans MT" w:hAnsi="Gill Sans MT"/>
                </w:rPr>
                <w:t>'Securing the future of postgraduate education.'</w:t>
              </w:r>
            </w:hyperlink>
            <w:r w:rsidRPr="00341A37">
              <w:rPr>
                <w:rFonts w:ascii="Gill Sans MT" w:hAnsi="Gill Sans MT"/>
              </w:rPr>
              <w:t xml:space="preserve"> In: </w:t>
            </w:r>
            <w:proofErr w:type="spellStart"/>
            <w:r w:rsidRPr="00341A37">
              <w:rPr>
                <w:rFonts w:ascii="Gill Sans MT" w:hAnsi="Gill Sans MT"/>
              </w:rPr>
              <w:t>Coiffait</w:t>
            </w:r>
            <w:proofErr w:type="spellEnd"/>
            <w:r w:rsidRPr="00341A37">
              <w:rPr>
                <w:rFonts w:ascii="Gill Sans MT" w:hAnsi="Gill Sans MT"/>
              </w:rPr>
              <w:t xml:space="preserve">, L. (ed). </w:t>
            </w:r>
            <w:r w:rsidRPr="00341A37">
              <w:rPr>
                <w:rFonts w:ascii="Gill Sans MT" w:hAnsi="Gill Sans MT"/>
                <w:i/>
              </w:rPr>
              <w:t xml:space="preserve">Blue skies: new thinking about the future of higher education </w:t>
            </w:r>
            <w:r w:rsidR="00313BB4">
              <w:rPr>
                <w:rFonts w:ascii="Gill Sans MT" w:hAnsi="Gill Sans MT"/>
                <w:i/>
              </w:rPr>
              <w:t>—</w:t>
            </w:r>
            <w:r w:rsidRPr="00341A37">
              <w:rPr>
                <w:rFonts w:ascii="Gill Sans MT" w:hAnsi="Gill Sans MT"/>
                <w:i/>
              </w:rPr>
              <w:t xml:space="preserve"> a collection of short articles by leading commentators</w:t>
            </w:r>
            <w:r w:rsidRPr="00341A37">
              <w:rPr>
                <w:rFonts w:ascii="Gill Sans MT" w:hAnsi="Gill Sans MT"/>
              </w:rPr>
              <w:t>. Pearson: London, pp. 99</w:t>
            </w:r>
            <w:r w:rsidR="00313BB4">
              <w:rPr>
                <w:rFonts w:ascii="Gill Sans MT" w:hAnsi="Gill Sans MT"/>
              </w:rPr>
              <w:t>–</w:t>
            </w:r>
            <w:r w:rsidRPr="00341A37">
              <w:rPr>
                <w:rFonts w:ascii="Gill Sans MT" w:hAnsi="Gill Sans MT"/>
              </w:rPr>
              <w:t>102</w:t>
            </w:r>
          </w:p>
          <w:p w14:paraId="1059A042" w14:textId="77777777" w:rsidR="00D852E2" w:rsidRPr="00341A37" w:rsidRDefault="00D852E2" w:rsidP="00A16039">
            <w:pPr>
              <w:rPr>
                <w:rFonts w:ascii="Gill Sans MT" w:hAnsi="Gill Sans MT"/>
              </w:rPr>
            </w:pPr>
          </w:p>
          <w:p w14:paraId="5965C95C" w14:textId="77777777" w:rsidR="00D852E2" w:rsidRPr="00341A37" w:rsidRDefault="00D852E2" w:rsidP="00A16039">
            <w:pPr>
              <w:rPr>
                <w:rFonts w:ascii="Gill Sans MT" w:hAnsi="Gill Sans MT"/>
              </w:rPr>
            </w:pPr>
            <w:r w:rsidRPr="00341A37">
              <w:rPr>
                <w:rFonts w:ascii="Gill Sans MT" w:hAnsi="Gill Sans MT"/>
              </w:rPr>
              <w:t>UK</w:t>
            </w:r>
          </w:p>
          <w:p w14:paraId="366B16D2" w14:textId="77777777" w:rsidR="00D852E2" w:rsidRPr="00341A37" w:rsidRDefault="00D852E2" w:rsidP="00A16039">
            <w:pPr>
              <w:rPr>
                <w:rFonts w:ascii="Gill Sans MT" w:hAnsi="Gill Sans MT"/>
                <w:szCs w:val="22"/>
              </w:rPr>
            </w:pPr>
            <w:r w:rsidRPr="00341A37">
              <w:rPr>
                <w:rFonts w:ascii="Gill Sans MT" w:hAnsi="Gill Sans MT"/>
              </w:rPr>
              <w:t>Annotated by Sally Baker</w:t>
            </w:r>
          </w:p>
        </w:tc>
        <w:tc>
          <w:tcPr>
            <w:tcW w:w="10064" w:type="dxa"/>
          </w:tcPr>
          <w:p w14:paraId="45575154"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Context:  </w:t>
            </w:r>
            <w:r w:rsidRPr="00341A37">
              <w:rPr>
                <w:rFonts w:ascii="Gill Sans MT" w:hAnsi="Gill Sans MT"/>
                <w:color w:val="000000"/>
                <w:szCs w:val="22"/>
                <w:lang w:val="en-AU"/>
              </w:rPr>
              <w:t xml:space="preserve">Op/Ed: UK, post Browne report 2010 (which allowed universities to charge up to </w:t>
            </w:r>
            <w:r w:rsidRPr="00341A37">
              <w:rPr>
                <w:rFonts w:ascii="Gill Sans MT" w:hAnsi="Gill Sans MT" w:cs="Lucida Grande"/>
                <w:color w:val="000000"/>
                <w:szCs w:val="22"/>
              </w:rPr>
              <w:t xml:space="preserve">£9000 per year (which almost all English universities did). Browne proposed state funding should cease for taught Masters courses and not extending proposed UG support package to PG students. Universities </w:t>
            </w:r>
            <w:r w:rsidRPr="00341A37">
              <w:rPr>
                <w:rFonts w:ascii="Gill Sans MT" w:hAnsi="Gill Sans MT" w:cs="Lucida Grande"/>
                <w:color w:val="000000"/>
                <w:szCs w:val="22"/>
                <w:lang w:val="en-GB"/>
              </w:rPr>
              <w:t>recognised</w:t>
            </w:r>
            <w:r w:rsidRPr="00341A37">
              <w:rPr>
                <w:rFonts w:ascii="Gill Sans MT" w:hAnsi="Gill Sans MT" w:cs="Lucida Grande"/>
                <w:color w:val="000000"/>
                <w:szCs w:val="22"/>
              </w:rPr>
              <w:t xml:space="preserve"> the threat before the government and have highlighted its possible impact on the future of academia.</w:t>
            </w:r>
          </w:p>
          <w:p w14:paraId="41D7D197"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Highlights: </w:t>
            </w:r>
            <w:r w:rsidRPr="00341A37">
              <w:rPr>
                <w:rFonts w:ascii="Gill Sans MT" w:hAnsi="Gill Sans MT"/>
                <w:color w:val="000000"/>
                <w:szCs w:val="22"/>
                <w:lang w:val="en-AU"/>
              </w:rPr>
              <w:t>While PG student numbers appeared to have increased</w:t>
            </w:r>
            <w:r w:rsidRPr="00341A37">
              <w:rPr>
                <w:rFonts w:ascii="Gill Sans MT" w:hAnsi="Gill Sans MT"/>
                <w:b/>
                <w:color w:val="000000"/>
                <w:szCs w:val="22"/>
                <w:lang w:val="en-AU"/>
              </w:rPr>
              <w:t xml:space="preserve"> </w:t>
            </w:r>
            <w:r w:rsidRPr="00341A37">
              <w:rPr>
                <w:rFonts w:ascii="Gill Sans MT" w:hAnsi="Gill Sans MT"/>
                <w:color w:val="000000"/>
                <w:szCs w:val="22"/>
                <w:lang w:val="en-AU"/>
              </w:rPr>
              <w:t>slightly, a significant proportion of Masters students were international (only 70 out of 3825 PG Engineering students were domestic in 2008). Funding for PG scheme for teachers was scrapped; fees for PG study increased in line with UG fees in 2012</w:t>
            </w:r>
          </w:p>
          <w:p w14:paraId="0F90720A"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Privately educated students are more likely to undertake PG study; Alan Milburn (English politician; Labour) suggested that lack of funding for PG had serious implications for ‘social mobility’. Massification of HE = “</w:t>
            </w:r>
            <w:r w:rsidRPr="00341A37">
              <w:rPr>
                <w:rFonts w:ascii="Gill Sans MT" w:hAnsi="Gill Sans MT" w:cs="Arial"/>
                <w:sz w:val="20"/>
                <w:szCs w:val="20"/>
              </w:rPr>
              <w:t>postgraduate study is an increasingly important social sorting mechanism”. Support for PG study is “hit or miss” – financial support available is inconsistent (studentships/career development loans); some are sponsored by employers; some self-fund. State subsidy for PG study proposed at time of writing would disadvantage students’ capacity to self-fund. Rationale for removing subsidy based on increased earning potential students would get (but see Whitty’s critique of this assumption).</w:t>
            </w:r>
          </w:p>
          <w:p w14:paraId="7487768A"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Points to future research agenda? </w:t>
            </w:r>
            <w:r w:rsidRPr="00341A37">
              <w:rPr>
                <w:rFonts w:ascii="Gill Sans MT" w:hAnsi="Gill Sans MT"/>
                <w:color w:val="000000"/>
                <w:szCs w:val="22"/>
                <w:lang w:val="en-AU"/>
              </w:rPr>
              <w:t xml:space="preserve">Future of funding of PG study (suggestions </w:t>
            </w:r>
            <w:proofErr w:type="gramStart"/>
            <w:r w:rsidRPr="00341A37">
              <w:rPr>
                <w:rFonts w:ascii="Gill Sans MT" w:hAnsi="Gill Sans MT"/>
                <w:color w:val="000000"/>
                <w:szCs w:val="22"/>
                <w:lang w:val="en-AU"/>
              </w:rPr>
              <w:t>include:</w:t>
            </w:r>
            <w:proofErr w:type="gramEnd"/>
            <w:r w:rsidRPr="00341A37">
              <w:rPr>
                <w:rFonts w:ascii="Gill Sans MT" w:hAnsi="Gill Sans MT"/>
                <w:color w:val="000000"/>
                <w:szCs w:val="22"/>
                <w:lang w:val="en-AU"/>
              </w:rPr>
              <w:t xml:space="preserve"> flexibility in payment arrangements, employers should make greater contribution to costs, for key practice-based professions, the state could act as an ‘employer’, one-stop shop for information.</w:t>
            </w:r>
          </w:p>
        </w:tc>
      </w:tr>
      <w:tr w:rsidR="00D852E2" w:rsidRPr="00341A37" w14:paraId="35C2F49C" w14:textId="77777777" w:rsidTr="00A16039">
        <w:tc>
          <w:tcPr>
            <w:tcW w:w="5529" w:type="dxa"/>
          </w:tcPr>
          <w:p w14:paraId="00E5AE18" w14:textId="6D52AEC2" w:rsidR="00D852E2" w:rsidRPr="00341A37" w:rsidRDefault="00D852E2" w:rsidP="00A16039">
            <w:pPr>
              <w:rPr>
                <w:rFonts w:ascii="Gill Sans MT" w:hAnsi="Gill Sans MT"/>
              </w:rPr>
            </w:pPr>
            <w:r w:rsidRPr="00341A37">
              <w:rPr>
                <w:rFonts w:ascii="Gill Sans MT" w:hAnsi="Gill Sans MT"/>
              </w:rPr>
              <w:t xml:space="preserve">Whitty, G. and Mullan, J. (2013). </w:t>
            </w:r>
            <w:hyperlink r:id="rId23" w:anchor="page=189" w:history="1">
              <w:r w:rsidRPr="00341A37">
                <w:rPr>
                  <w:rStyle w:val="Hyperlink"/>
                  <w:rFonts w:ascii="Gill Sans MT" w:hAnsi="Gill Sans MT"/>
                </w:rPr>
                <w:t>'Postgraduate education: overlooked and forgotten?'</w:t>
              </w:r>
            </w:hyperlink>
            <w:r w:rsidRPr="00341A37">
              <w:rPr>
                <w:rFonts w:ascii="Gill Sans MT" w:hAnsi="Gill Sans MT"/>
              </w:rPr>
              <w:t xml:space="preserve"> In: </w:t>
            </w:r>
            <w:proofErr w:type="spellStart"/>
            <w:r w:rsidRPr="00341A37">
              <w:rPr>
                <w:rFonts w:ascii="Gill Sans MT" w:hAnsi="Gill Sans MT"/>
              </w:rPr>
              <w:t>Callender</w:t>
            </w:r>
            <w:proofErr w:type="spellEnd"/>
            <w:r w:rsidRPr="00341A37">
              <w:rPr>
                <w:rFonts w:ascii="Gill Sans MT" w:hAnsi="Gill Sans MT"/>
              </w:rPr>
              <w:t xml:space="preserve">, C and Scott, P, </w:t>
            </w:r>
            <w:r w:rsidRPr="00341A37">
              <w:rPr>
                <w:rFonts w:ascii="Gill Sans MT" w:hAnsi="Gill Sans MT"/>
              </w:rPr>
              <w:lastRenderedPageBreak/>
              <w:t xml:space="preserve">eds. </w:t>
            </w:r>
            <w:r w:rsidRPr="00341A37">
              <w:rPr>
                <w:rFonts w:ascii="Gill Sans MT" w:hAnsi="Gill Sans MT"/>
                <w:i/>
                <w:iCs/>
              </w:rPr>
              <w:t>Browne and beyond: modernizing English higher education.</w:t>
            </w:r>
            <w:r w:rsidRPr="00341A37">
              <w:rPr>
                <w:rFonts w:ascii="Gill Sans MT" w:hAnsi="Gill Sans MT"/>
              </w:rPr>
              <w:t xml:space="preserve"> Bedford Way papers (42). IOE Press, London, pp. 173</w:t>
            </w:r>
            <w:r w:rsidR="00313BB4">
              <w:rPr>
                <w:rFonts w:ascii="Gill Sans MT" w:hAnsi="Gill Sans MT"/>
              </w:rPr>
              <w:t>–</w:t>
            </w:r>
            <w:r w:rsidRPr="00341A37">
              <w:rPr>
                <w:rFonts w:ascii="Gill Sans MT" w:hAnsi="Gill Sans MT"/>
              </w:rPr>
              <w:t>194.</w:t>
            </w:r>
          </w:p>
          <w:p w14:paraId="06547DA1" w14:textId="77777777" w:rsidR="00D852E2" w:rsidRPr="00341A37" w:rsidRDefault="00D852E2" w:rsidP="00A16039">
            <w:pPr>
              <w:rPr>
                <w:rFonts w:ascii="Gill Sans MT" w:hAnsi="Gill Sans MT"/>
              </w:rPr>
            </w:pPr>
          </w:p>
          <w:p w14:paraId="726431B9" w14:textId="77777777" w:rsidR="00D852E2" w:rsidRPr="00341A37" w:rsidRDefault="00D852E2" w:rsidP="00A16039">
            <w:pPr>
              <w:rPr>
                <w:rFonts w:ascii="Gill Sans MT" w:hAnsi="Gill Sans MT"/>
              </w:rPr>
            </w:pPr>
            <w:r w:rsidRPr="00341A37">
              <w:rPr>
                <w:rFonts w:ascii="Gill Sans MT" w:hAnsi="Gill Sans MT"/>
              </w:rPr>
              <w:t>UK</w:t>
            </w:r>
          </w:p>
          <w:p w14:paraId="08D4804D" w14:textId="77777777" w:rsidR="00D852E2" w:rsidRPr="00341A37" w:rsidRDefault="00D852E2" w:rsidP="00A16039">
            <w:pPr>
              <w:rPr>
                <w:rFonts w:ascii="Gill Sans MT" w:hAnsi="Gill Sans MT"/>
              </w:rPr>
            </w:pPr>
          </w:p>
          <w:p w14:paraId="5B4AC863" w14:textId="77777777" w:rsidR="00D852E2" w:rsidRPr="00341A37" w:rsidRDefault="00D852E2" w:rsidP="00A16039">
            <w:pPr>
              <w:rPr>
                <w:rFonts w:ascii="Gill Sans MT" w:hAnsi="Gill Sans MT"/>
                <w:szCs w:val="22"/>
              </w:rPr>
            </w:pPr>
            <w:r w:rsidRPr="00341A37">
              <w:rPr>
                <w:rFonts w:ascii="Gill Sans MT" w:hAnsi="Gill Sans MT"/>
              </w:rPr>
              <w:t>Annotated by Sally Baker</w:t>
            </w:r>
          </w:p>
        </w:tc>
        <w:tc>
          <w:tcPr>
            <w:tcW w:w="10064" w:type="dxa"/>
          </w:tcPr>
          <w:p w14:paraId="5EF66391" w14:textId="7777777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lastRenderedPageBreak/>
              <w:t xml:space="preserve">Context: </w:t>
            </w:r>
            <w:r w:rsidRPr="00341A37">
              <w:rPr>
                <w:rFonts w:ascii="Gill Sans MT" w:hAnsi="Gill Sans MT"/>
                <w:color w:val="000000"/>
                <w:szCs w:val="22"/>
                <w:lang w:val="en-AU"/>
              </w:rPr>
              <w:t xml:space="preserve">Discusses PG study/ research – first level of context is financial = noting that although Coalition government (2011-2015) have to some extent protected research funding (compared with teaching funding), </w:t>
            </w:r>
            <w:r w:rsidRPr="00341A37">
              <w:rPr>
                <w:rFonts w:ascii="Gill Sans MT" w:hAnsi="Gill Sans MT"/>
                <w:color w:val="000000"/>
                <w:szCs w:val="22"/>
                <w:lang w:val="en-AU"/>
              </w:rPr>
              <w:lastRenderedPageBreak/>
              <w:t>other sources of income have diminished due to GFC and austerity measures and distribution of research funding now tied to system of measurement (REF). Postgraduate Teaching (PGT) and Postgraduate Research (PGR) did not feature prominently in Browne Review (2010), despite postgraduate study featuring in its terms of reference. In context of increased UG fees, PG issues arguably got lost. PG issues discussed in terms of potential future lack of academics (if students are put off from PG study after accruing high UG debts).</w:t>
            </w:r>
          </w:p>
          <w:p w14:paraId="2D569735" w14:textId="77777777" w:rsidR="00D852E2" w:rsidRPr="00341A37" w:rsidRDefault="00D852E2" w:rsidP="00A16039">
            <w:pPr>
              <w:rPr>
                <w:rFonts w:ascii="Gill Sans MT" w:hAnsi="Gill Sans MT"/>
                <w:lang w:val="en-GB"/>
              </w:rPr>
            </w:pPr>
            <w:r w:rsidRPr="00341A37">
              <w:rPr>
                <w:rFonts w:ascii="Gill Sans MT" w:hAnsi="Gill Sans MT"/>
                <w:color w:val="000000"/>
                <w:szCs w:val="22"/>
                <w:lang w:val="en-AU"/>
              </w:rPr>
              <w:t>Why does PG matter?: 1) many PG students in UK are international students = not necessarily producing domestic academics; 2) PG study supports economic growth – future postgraduate ‘skills’ shortages forecasted by leading figures such as James Dyson; 3) PG study supports/feeds ‘cultural health’ of nation; 4) PG level study contributes to professions (e.g. teaching); 5) “</w:t>
            </w:r>
            <w:r w:rsidRPr="00341A37">
              <w:rPr>
                <w:rFonts w:ascii="Gill Sans MT" w:hAnsi="Gill Sans MT"/>
                <w:lang w:val="en-GB"/>
              </w:rPr>
              <w:t xml:space="preserve">Fifth, there is a social justice and access argument for thinking about how to support postgraduate education.  Thus, in addition to the overall supply issues identified above, there are major concerns about fairness, equity and opportunities for social mobility” (p.177). Higher proportional percentage of PG students is private school educated (see also </w:t>
            </w:r>
            <w:proofErr w:type="spellStart"/>
            <w:r w:rsidRPr="00341A37">
              <w:rPr>
                <w:rFonts w:ascii="Gill Sans MT" w:hAnsi="Gill Sans MT"/>
                <w:lang w:val="en-GB"/>
              </w:rPr>
              <w:t>Wakeling</w:t>
            </w:r>
            <w:proofErr w:type="spellEnd"/>
            <w:r w:rsidRPr="00341A37">
              <w:rPr>
                <w:rFonts w:ascii="Gill Sans MT" w:hAnsi="Gill Sans MT"/>
                <w:lang w:val="en-GB"/>
              </w:rPr>
              <w:t xml:space="preserve"> &amp; </w:t>
            </w:r>
            <w:proofErr w:type="spellStart"/>
            <w:r w:rsidRPr="00341A37">
              <w:rPr>
                <w:rFonts w:ascii="Gill Sans MT" w:hAnsi="Gill Sans MT"/>
                <w:lang w:val="en-GB"/>
              </w:rPr>
              <w:t>Kyriacou</w:t>
            </w:r>
            <w:proofErr w:type="spellEnd"/>
            <w:r w:rsidRPr="00341A37">
              <w:rPr>
                <w:rFonts w:ascii="Gill Sans MT" w:hAnsi="Gill Sans MT"/>
                <w:lang w:val="en-GB"/>
              </w:rPr>
              <w:t>, 2010).</w:t>
            </w:r>
          </w:p>
          <w:p w14:paraId="6DF38473" w14:textId="77777777" w:rsidR="00D852E2" w:rsidRPr="00341A37" w:rsidRDefault="00D852E2" w:rsidP="00A16039">
            <w:pPr>
              <w:rPr>
                <w:rFonts w:ascii="Gill Sans MT" w:hAnsi="Gill Sans MT"/>
                <w:lang w:val="en-GB"/>
              </w:rPr>
            </w:pPr>
            <w:r w:rsidRPr="00341A37">
              <w:rPr>
                <w:rFonts w:ascii="Gill Sans MT" w:hAnsi="Gill Sans MT"/>
                <w:lang w:val="en-GB"/>
              </w:rPr>
              <w:t>Offers a typology of PG in UK (p.181): PGT, PGR and Postgraduate Professional (PGP)</w:t>
            </w:r>
          </w:p>
          <w:p w14:paraId="322D1276" w14:textId="77777777" w:rsidR="00D852E2" w:rsidRPr="00341A37" w:rsidRDefault="00D852E2" w:rsidP="00A16039">
            <w:pPr>
              <w:pStyle w:val="NoSpacing"/>
              <w:jc w:val="both"/>
              <w:rPr>
                <w:rFonts w:ascii="Gill Sans MT" w:hAnsi="Gill Sans MT" w:cs="Times New Roman"/>
                <w:b/>
              </w:rPr>
            </w:pPr>
            <w:r w:rsidRPr="00341A37">
              <w:rPr>
                <w:rFonts w:ascii="Gill Sans MT" w:hAnsi="Gill Sans MT" w:cs="Times New Roman"/>
                <w:b/>
              </w:rPr>
              <w:t>Table 2: A typology of postgraduate provision (adapted from Higher Education Commission, 2012)</w:t>
            </w:r>
          </w:p>
          <w:p w14:paraId="0629F4E3" w14:textId="77777777" w:rsidR="00D852E2" w:rsidRPr="00341A37" w:rsidRDefault="00D852E2" w:rsidP="00A16039">
            <w:pPr>
              <w:pStyle w:val="NoSpacing"/>
              <w:jc w:val="both"/>
              <w:rPr>
                <w:rFonts w:ascii="Gill Sans MT" w:hAnsi="Gill Sans MT" w:cs="Times New Roman"/>
                <w:b/>
              </w:rPr>
            </w:pPr>
          </w:p>
          <w:tbl>
            <w:tblPr>
              <w:tblW w:w="0" w:type="auto"/>
              <w:tblBorders>
                <w:top w:val="single" w:sz="8" w:space="0" w:color="000000"/>
                <w:bottom w:val="single" w:sz="8" w:space="0" w:color="000000"/>
              </w:tblBorders>
              <w:tblLook w:val="00A0" w:firstRow="1" w:lastRow="0" w:firstColumn="1" w:lastColumn="0" w:noHBand="0" w:noVBand="0"/>
            </w:tblPr>
            <w:tblGrid>
              <w:gridCol w:w="2951"/>
              <w:gridCol w:w="2953"/>
              <w:gridCol w:w="2952"/>
            </w:tblGrid>
            <w:tr w:rsidR="00D852E2" w:rsidRPr="00341A37" w14:paraId="7145929B" w14:textId="77777777" w:rsidTr="00A16039">
              <w:tc>
                <w:tcPr>
                  <w:tcW w:w="2951" w:type="dxa"/>
                  <w:tcBorders>
                    <w:top w:val="single" w:sz="8" w:space="0" w:color="000000"/>
                    <w:left w:val="nil"/>
                    <w:bottom w:val="single" w:sz="8" w:space="0" w:color="000000"/>
                    <w:right w:val="nil"/>
                  </w:tcBorders>
                </w:tcPr>
                <w:p w14:paraId="12A46EE7" w14:textId="77777777" w:rsidR="00D852E2" w:rsidRPr="00341A37" w:rsidRDefault="00D852E2" w:rsidP="00A16039">
                  <w:pPr>
                    <w:pStyle w:val="Normal1"/>
                    <w:jc w:val="both"/>
                    <w:rPr>
                      <w:rStyle w:val="normalchar"/>
                      <w:rFonts w:ascii="Gill Sans MT" w:hAnsi="Gill Sans MT"/>
                      <w:b/>
                      <w:bCs/>
                      <w:color w:val="000000"/>
                      <w:sz w:val="22"/>
                      <w:szCs w:val="22"/>
                    </w:rPr>
                  </w:pPr>
                  <w:r w:rsidRPr="00341A37">
                    <w:rPr>
                      <w:rStyle w:val="normalchar"/>
                      <w:rFonts w:ascii="Gill Sans MT" w:hAnsi="Gill Sans MT"/>
                      <w:b/>
                      <w:bCs/>
                      <w:color w:val="000000"/>
                      <w:sz w:val="22"/>
                      <w:szCs w:val="22"/>
                    </w:rPr>
                    <w:t>PG Taught</w:t>
                  </w:r>
                </w:p>
              </w:tc>
              <w:tc>
                <w:tcPr>
                  <w:tcW w:w="2953" w:type="dxa"/>
                  <w:tcBorders>
                    <w:top w:val="single" w:sz="8" w:space="0" w:color="000000"/>
                    <w:left w:val="nil"/>
                    <w:bottom w:val="single" w:sz="8" w:space="0" w:color="000000"/>
                    <w:right w:val="nil"/>
                  </w:tcBorders>
                </w:tcPr>
                <w:p w14:paraId="493F3D81" w14:textId="77777777" w:rsidR="00D852E2" w:rsidRPr="00341A37" w:rsidRDefault="00D852E2" w:rsidP="00A16039">
                  <w:pPr>
                    <w:pStyle w:val="Normal1"/>
                    <w:jc w:val="both"/>
                    <w:rPr>
                      <w:rStyle w:val="normalchar"/>
                      <w:rFonts w:ascii="Gill Sans MT" w:hAnsi="Gill Sans MT"/>
                      <w:b/>
                      <w:bCs/>
                      <w:color w:val="000000"/>
                      <w:sz w:val="22"/>
                      <w:szCs w:val="22"/>
                    </w:rPr>
                  </w:pPr>
                  <w:r w:rsidRPr="00341A37">
                    <w:rPr>
                      <w:rStyle w:val="normalchar"/>
                      <w:rFonts w:ascii="Gill Sans MT" w:hAnsi="Gill Sans MT"/>
                      <w:b/>
                      <w:bCs/>
                      <w:color w:val="000000"/>
                      <w:sz w:val="22"/>
                      <w:szCs w:val="22"/>
                    </w:rPr>
                    <w:t xml:space="preserve">PG Professional </w:t>
                  </w:r>
                </w:p>
              </w:tc>
              <w:tc>
                <w:tcPr>
                  <w:tcW w:w="2952" w:type="dxa"/>
                  <w:tcBorders>
                    <w:top w:val="single" w:sz="8" w:space="0" w:color="000000"/>
                    <w:left w:val="nil"/>
                    <w:bottom w:val="single" w:sz="8" w:space="0" w:color="000000"/>
                    <w:right w:val="nil"/>
                  </w:tcBorders>
                </w:tcPr>
                <w:p w14:paraId="1A275070" w14:textId="77777777" w:rsidR="00D852E2" w:rsidRPr="00341A37" w:rsidRDefault="00D852E2" w:rsidP="00A16039">
                  <w:pPr>
                    <w:pStyle w:val="Normal1"/>
                    <w:jc w:val="both"/>
                    <w:rPr>
                      <w:rStyle w:val="normalchar"/>
                      <w:rFonts w:ascii="Gill Sans MT" w:hAnsi="Gill Sans MT"/>
                      <w:b/>
                      <w:bCs/>
                      <w:color w:val="000000"/>
                      <w:sz w:val="22"/>
                      <w:szCs w:val="22"/>
                    </w:rPr>
                  </w:pPr>
                  <w:r w:rsidRPr="00341A37">
                    <w:rPr>
                      <w:rStyle w:val="normalchar"/>
                      <w:rFonts w:ascii="Gill Sans MT" w:hAnsi="Gill Sans MT"/>
                      <w:b/>
                      <w:bCs/>
                      <w:color w:val="000000"/>
                      <w:sz w:val="22"/>
                      <w:szCs w:val="22"/>
                    </w:rPr>
                    <w:t>PG Research</w:t>
                  </w:r>
                </w:p>
              </w:tc>
            </w:tr>
            <w:tr w:rsidR="00D852E2" w:rsidRPr="00341A37" w14:paraId="59C8FCB8" w14:textId="77777777" w:rsidTr="00A16039">
              <w:tc>
                <w:tcPr>
                  <w:tcW w:w="2951" w:type="dxa"/>
                  <w:tcBorders>
                    <w:left w:val="nil"/>
                    <w:right w:val="nil"/>
                  </w:tcBorders>
                  <w:shd w:val="clear" w:color="auto" w:fill="C0C0C0"/>
                </w:tcPr>
                <w:p w14:paraId="15162DD0" w14:textId="77777777" w:rsidR="00D852E2" w:rsidRPr="00341A37" w:rsidRDefault="00D852E2" w:rsidP="00A16039">
                  <w:pPr>
                    <w:pStyle w:val="Normal1"/>
                    <w:jc w:val="both"/>
                    <w:rPr>
                      <w:rStyle w:val="normalchar"/>
                      <w:rFonts w:ascii="Gill Sans MT" w:hAnsi="Gill Sans MT"/>
                      <w:b/>
                      <w:bCs/>
                      <w:color w:val="000000"/>
                      <w:sz w:val="22"/>
                      <w:szCs w:val="22"/>
                    </w:rPr>
                  </w:pPr>
                  <w:r w:rsidRPr="00341A37">
                    <w:rPr>
                      <w:rStyle w:val="normalchar"/>
                      <w:rFonts w:ascii="Gill Sans MT" w:hAnsi="Gill Sans MT"/>
                      <w:bCs/>
                      <w:color w:val="000000"/>
                      <w:sz w:val="22"/>
                      <w:szCs w:val="22"/>
                    </w:rPr>
                    <w:t xml:space="preserve">Postgraduate </w:t>
                  </w:r>
                  <w:r w:rsidRPr="00341A37">
                    <w:rPr>
                      <w:rStyle w:val="normalchar"/>
                      <w:rFonts w:ascii="Gill Sans MT" w:hAnsi="Gill Sans MT"/>
                      <w:b/>
                      <w:bCs/>
                      <w:color w:val="000000"/>
                      <w:sz w:val="22"/>
                      <w:szCs w:val="22"/>
                    </w:rPr>
                    <w:t>diploma</w:t>
                  </w:r>
                  <w:r w:rsidRPr="00341A37">
                    <w:rPr>
                      <w:rStyle w:val="normalchar"/>
                      <w:rFonts w:ascii="Gill Sans MT" w:hAnsi="Gill Sans MT"/>
                      <w:bCs/>
                      <w:color w:val="000000"/>
                      <w:sz w:val="22"/>
                      <w:szCs w:val="22"/>
                    </w:rPr>
                    <w:t xml:space="preserve"> and </w:t>
                  </w:r>
                  <w:proofErr w:type="gramStart"/>
                  <w:r w:rsidRPr="00341A37">
                    <w:rPr>
                      <w:rStyle w:val="normalchar"/>
                      <w:rFonts w:ascii="Gill Sans MT" w:hAnsi="Gill Sans MT"/>
                      <w:b/>
                      <w:bCs/>
                      <w:color w:val="000000"/>
                      <w:sz w:val="22"/>
                      <w:szCs w:val="22"/>
                    </w:rPr>
                    <w:t>Master’s</w:t>
                  </w:r>
                  <w:proofErr w:type="gramEnd"/>
                  <w:r w:rsidRPr="00341A37">
                    <w:rPr>
                      <w:rStyle w:val="normalchar"/>
                      <w:rFonts w:ascii="Gill Sans MT" w:hAnsi="Gill Sans MT"/>
                      <w:bCs/>
                      <w:color w:val="000000"/>
                      <w:sz w:val="22"/>
                      <w:szCs w:val="22"/>
                    </w:rPr>
                    <w:t xml:space="preserve"> courses, extending an individual’s knowledge or allowing them to convert to a new discipline</w:t>
                  </w:r>
                </w:p>
              </w:tc>
              <w:tc>
                <w:tcPr>
                  <w:tcW w:w="2953" w:type="dxa"/>
                  <w:tcBorders>
                    <w:left w:val="nil"/>
                    <w:right w:val="nil"/>
                  </w:tcBorders>
                  <w:shd w:val="clear" w:color="auto" w:fill="C0C0C0"/>
                </w:tcPr>
                <w:p w14:paraId="0EE82E73" w14:textId="77777777" w:rsidR="00D852E2" w:rsidRPr="00341A37" w:rsidRDefault="00D852E2" w:rsidP="00A16039">
                  <w:pPr>
                    <w:pStyle w:val="Normal1"/>
                    <w:jc w:val="both"/>
                    <w:rPr>
                      <w:rStyle w:val="normalchar"/>
                      <w:rFonts w:ascii="Gill Sans MT" w:hAnsi="Gill Sans MT"/>
                      <w:b/>
                      <w:color w:val="000000"/>
                      <w:sz w:val="22"/>
                      <w:szCs w:val="22"/>
                    </w:rPr>
                  </w:pPr>
                  <w:r w:rsidRPr="00341A37">
                    <w:rPr>
                      <w:rStyle w:val="normalchar"/>
                      <w:rFonts w:ascii="Gill Sans MT" w:hAnsi="Gill Sans MT"/>
                      <w:b/>
                      <w:color w:val="000000"/>
                      <w:sz w:val="22"/>
                      <w:szCs w:val="22"/>
                    </w:rPr>
                    <w:t>Professional certificates and diplomas</w:t>
                  </w:r>
                </w:p>
              </w:tc>
              <w:tc>
                <w:tcPr>
                  <w:tcW w:w="2952" w:type="dxa"/>
                  <w:tcBorders>
                    <w:left w:val="nil"/>
                    <w:right w:val="nil"/>
                  </w:tcBorders>
                  <w:shd w:val="clear" w:color="auto" w:fill="C0C0C0"/>
                </w:tcPr>
                <w:p w14:paraId="7C4AB9DB" w14:textId="77777777" w:rsidR="00D852E2" w:rsidRPr="00341A37" w:rsidRDefault="00D852E2" w:rsidP="00A16039">
                  <w:pPr>
                    <w:pStyle w:val="Normal1"/>
                    <w:jc w:val="both"/>
                    <w:rPr>
                      <w:rStyle w:val="normalchar"/>
                      <w:rFonts w:ascii="Gill Sans MT" w:hAnsi="Gill Sans MT"/>
                      <w:color w:val="000000"/>
                      <w:sz w:val="22"/>
                      <w:szCs w:val="22"/>
                    </w:rPr>
                  </w:pPr>
                  <w:r w:rsidRPr="00341A37">
                    <w:rPr>
                      <w:rStyle w:val="normalchar"/>
                      <w:rFonts w:ascii="Gill Sans MT" w:hAnsi="Gill Sans MT"/>
                      <w:b/>
                      <w:color w:val="000000"/>
                      <w:sz w:val="22"/>
                      <w:szCs w:val="22"/>
                    </w:rPr>
                    <w:t>Research Master’s</w:t>
                  </w:r>
                  <w:r w:rsidRPr="00341A37">
                    <w:rPr>
                      <w:rStyle w:val="normalchar"/>
                      <w:rFonts w:ascii="Gill Sans MT" w:hAnsi="Gill Sans MT"/>
                      <w:color w:val="000000"/>
                      <w:sz w:val="22"/>
                      <w:szCs w:val="22"/>
                    </w:rPr>
                    <w:t xml:space="preserve"> – e.g. </w:t>
                  </w:r>
                  <w:proofErr w:type="spellStart"/>
                  <w:r w:rsidRPr="00341A37">
                    <w:rPr>
                      <w:rStyle w:val="normalchar"/>
                      <w:rFonts w:ascii="Gill Sans MT" w:hAnsi="Gill Sans MT"/>
                      <w:color w:val="000000"/>
                      <w:sz w:val="22"/>
                      <w:szCs w:val="22"/>
                    </w:rPr>
                    <w:t>MRes</w:t>
                  </w:r>
                  <w:proofErr w:type="spellEnd"/>
                  <w:r w:rsidRPr="00341A37">
                    <w:rPr>
                      <w:rStyle w:val="normalchar"/>
                      <w:rFonts w:ascii="Gill Sans MT" w:hAnsi="Gill Sans MT"/>
                      <w:color w:val="000000"/>
                      <w:sz w:val="22"/>
                      <w:szCs w:val="22"/>
                    </w:rPr>
                    <w:t xml:space="preserve">: includes methods training and often used as </w:t>
                  </w:r>
                  <w:proofErr w:type="gramStart"/>
                  <w:r w:rsidRPr="00341A37">
                    <w:rPr>
                      <w:rStyle w:val="normalchar"/>
                      <w:rFonts w:ascii="Gill Sans MT" w:hAnsi="Gill Sans MT"/>
                      <w:color w:val="000000"/>
                      <w:sz w:val="22"/>
                      <w:szCs w:val="22"/>
                    </w:rPr>
                    <w:t>a  stepping</w:t>
                  </w:r>
                  <w:proofErr w:type="gramEnd"/>
                  <w:r w:rsidRPr="00341A37">
                    <w:rPr>
                      <w:rStyle w:val="normalchar"/>
                      <w:rFonts w:ascii="Gill Sans MT" w:hAnsi="Gill Sans MT"/>
                      <w:color w:val="000000"/>
                      <w:sz w:val="22"/>
                      <w:szCs w:val="22"/>
                    </w:rPr>
                    <w:t xml:space="preserve"> point to a PhD; MPhil: sometimes used as a PhD exit point</w:t>
                  </w:r>
                </w:p>
              </w:tc>
            </w:tr>
            <w:tr w:rsidR="00D852E2" w:rsidRPr="00341A37" w14:paraId="5C26DDA7" w14:textId="77777777" w:rsidTr="00A16039">
              <w:tc>
                <w:tcPr>
                  <w:tcW w:w="2951" w:type="dxa"/>
                </w:tcPr>
                <w:p w14:paraId="0E9409EB" w14:textId="77777777" w:rsidR="00D852E2" w:rsidRPr="00341A37" w:rsidRDefault="00D852E2" w:rsidP="00A16039">
                  <w:pPr>
                    <w:pStyle w:val="Normal1"/>
                    <w:jc w:val="both"/>
                    <w:rPr>
                      <w:rStyle w:val="normalchar"/>
                      <w:rFonts w:ascii="Gill Sans MT" w:hAnsi="Gill Sans MT"/>
                      <w:bCs/>
                      <w:color w:val="000000"/>
                      <w:sz w:val="22"/>
                      <w:szCs w:val="22"/>
                    </w:rPr>
                  </w:pPr>
                  <w:r w:rsidRPr="00341A37">
                    <w:rPr>
                      <w:rStyle w:val="normalchar"/>
                      <w:rFonts w:ascii="Gill Sans MT" w:hAnsi="Gill Sans MT"/>
                      <w:b/>
                      <w:bCs/>
                      <w:color w:val="000000"/>
                      <w:sz w:val="22"/>
                      <w:szCs w:val="22"/>
                    </w:rPr>
                    <w:t xml:space="preserve">Integrated Master’s </w:t>
                  </w:r>
                  <w:r w:rsidRPr="00341A37">
                    <w:rPr>
                      <w:rStyle w:val="normalchar"/>
                      <w:rFonts w:ascii="Gill Sans MT" w:hAnsi="Gill Sans MT"/>
                      <w:bCs/>
                      <w:color w:val="000000"/>
                      <w:sz w:val="22"/>
                      <w:szCs w:val="22"/>
                    </w:rPr>
                    <w:t>such as MEng</w:t>
                  </w:r>
                </w:p>
              </w:tc>
              <w:tc>
                <w:tcPr>
                  <w:tcW w:w="2953" w:type="dxa"/>
                </w:tcPr>
                <w:p w14:paraId="604D4580" w14:textId="77777777" w:rsidR="00D852E2" w:rsidRPr="00341A37" w:rsidRDefault="00D852E2" w:rsidP="00A16039">
                  <w:pPr>
                    <w:pStyle w:val="Normal1"/>
                    <w:jc w:val="both"/>
                    <w:rPr>
                      <w:rStyle w:val="normalchar"/>
                      <w:rFonts w:ascii="Gill Sans MT" w:hAnsi="Gill Sans MT"/>
                      <w:color w:val="000000"/>
                      <w:sz w:val="22"/>
                      <w:szCs w:val="22"/>
                    </w:rPr>
                  </w:pPr>
                  <w:r w:rsidRPr="00341A37">
                    <w:rPr>
                      <w:rStyle w:val="normalchar"/>
                      <w:rFonts w:ascii="Gill Sans MT" w:hAnsi="Gill Sans MT"/>
                      <w:b/>
                      <w:color w:val="000000"/>
                      <w:sz w:val="22"/>
                      <w:szCs w:val="22"/>
                    </w:rPr>
                    <w:t>PGCE</w:t>
                  </w:r>
                  <w:r w:rsidRPr="00341A37">
                    <w:rPr>
                      <w:rStyle w:val="normalchar"/>
                      <w:rFonts w:ascii="Gill Sans MT" w:hAnsi="Gill Sans MT"/>
                      <w:color w:val="000000"/>
                      <w:sz w:val="22"/>
                      <w:szCs w:val="22"/>
                    </w:rPr>
                    <w:t xml:space="preserve"> (Initial Teacher Training) and similar licences to practice</w:t>
                  </w:r>
                </w:p>
              </w:tc>
              <w:tc>
                <w:tcPr>
                  <w:tcW w:w="2952" w:type="dxa"/>
                </w:tcPr>
                <w:p w14:paraId="0F702422" w14:textId="77777777" w:rsidR="00D852E2" w:rsidRPr="00341A37" w:rsidRDefault="00D852E2" w:rsidP="00A16039">
                  <w:pPr>
                    <w:pStyle w:val="Normal1"/>
                    <w:jc w:val="both"/>
                    <w:rPr>
                      <w:rStyle w:val="normalchar"/>
                      <w:rFonts w:ascii="Gill Sans MT" w:hAnsi="Gill Sans MT"/>
                      <w:color w:val="000000"/>
                      <w:sz w:val="22"/>
                      <w:szCs w:val="22"/>
                    </w:rPr>
                  </w:pPr>
                  <w:r w:rsidRPr="00341A37">
                    <w:rPr>
                      <w:rStyle w:val="normalchar"/>
                      <w:rFonts w:ascii="Gill Sans MT" w:hAnsi="Gill Sans MT"/>
                      <w:color w:val="000000"/>
                      <w:sz w:val="22"/>
                      <w:szCs w:val="22"/>
                    </w:rPr>
                    <w:t xml:space="preserve">Traditional model </w:t>
                  </w:r>
                  <w:r w:rsidRPr="00341A37">
                    <w:rPr>
                      <w:rStyle w:val="normalchar"/>
                      <w:rFonts w:ascii="Gill Sans MT" w:hAnsi="Gill Sans MT"/>
                      <w:b/>
                      <w:color w:val="000000"/>
                      <w:sz w:val="22"/>
                      <w:szCs w:val="22"/>
                    </w:rPr>
                    <w:t>PhD</w:t>
                  </w:r>
                </w:p>
              </w:tc>
            </w:tr>
            <w:tr w:rsidR="00D852E2" w:rsidRPr="00341A37" w14:paraId="7C3B47FB" w14:textId="77777777" w:rsidTr="00A16039">
              <w:tc>
                <w:tcPr>
                  <w:tcW w:w="2951" w:type="dxa"/>
                  <w:tcBorders>
                    <w:left w:val="nil"/>
                    <w:right w:val="nil"/>
                  </w:tcBorders>
                  <w:shd w:val="clear" w:color="auto" w:fill="C0C0C0"/>
                </w:tcPr>
                <w:p w14:paraId="5A123D70" w14:textId="77777777" w:rsidR="00D852E2" w:rsidRPr="00341A37" w:rsidRDefault="00D852E2" w:rsidP="00A16039">
                  <w:pPr>
                    <w:pStyle w:val="Normal1"/>
                    <w:jc w:val="both"/>
                    <w:rPr>
                      <w:rStyle w:val="normalchar"/>
                      <w:rFonts w:ascii="Gill Sans MT" w:hAnsi="Gill Sans MT"/>
                      <w:bCs/>
                      <w:color w:val="000000"/>
                      <w:sz w:val="22"/>
                      <w:szCs w:val="22"/>
                    </w:rPr>
                  </w:pPr>
                  <w:r w:rsidRPr="00341A37">
                    <w:rPr>
                      <w:rStyle w:val="normalchar"/>
                      <w:rFonts w:ascii="Gill Sans MT" w:hAnsi="Gill Sans MT"/>
                      <w:bCs/>
                      <w:color w:val="000000"/>
                      <w:sz w:val="22"/>
                      <w:szCs w:val="22"/>
                    </w:rPr>
                    <w:t xml:space="preserve">Postgraduate </w:t>
                  </w:r>
                  <w:r w:rsidRPr="00341A37">
                    <w:rPr>
                      <w:rStyle w:val="normalchar"/>
                      <w:rFonts w:ascii="Gill Sans MT" w:hAnsi="Gill Sans MT"/>
                      <w:b/>
                      <w:bCs/>
                      <w:color w:val="000000"/>
                      <w:sz w:val="22"/>
                      <w:szCs w:val="22"/>
                    </w:rPr>
                    <w:t xml:space="preserve">modules, </w:t>
                  </w:r>
                  <w:r w:rsidRPr="00341A37">
                    <w:rPr>
                      <w:rStyle w:val="normalchar"/>
                      <w:rFonts w:ascii="Gill Sans MT" w:hAnsi="Gill Sans MT"/>
                      <w:bCs/>
                      <w:color w:val="000000"/>
                      <w:sz w:val="22"/>
                      <w:szCs w:val="22"/>
                    </w:rPr>
                    <w:t xml:space="preserve">e.g. Open University courses </w:t>
                  </w:r>
                </w:p>
                <w:p w14:paraId="08CBCF80" w14:textId="77777777" w:rsidR="00D852E2" w:rsidRPr="00341A37" w:rsidRDefault="00D852E2" w:rsidP="00A16039">
                  <w:pPr>
                    <w:pStyle w:val="Normal1"/>
                    <w:jc w:val="both"/>
                    <w:rPr>
                      <w:rStyle w:val="normalchar"/>
                      <w:rFonts w:ascii="Gill Sans MT" w:hAnsi="Gill Sans MT"/>
                      <w:bCs/>
                      <w:color w:val="000000"/>
                      <w:sz w:val="22"/>
                      <w:szCs w:val="22"/>
                    </w:rPr>
                  </w:pPr>
                </w:p>
              </w:tc>
              <w:tc>
                <w:tcPr>
                  <w:tcW w:w="2953" w:type="dxa"/>
                  <w:tcBorders>
                    <w:left w:val="nil"/>
                    <w:right w:val="nil"/>
                  </w:tcBorders>
                  <w:shd w:val="clear" w:color="auto" w:fill="C0C0C0"/>
                </w:tcPr>
                <w:p w14:paraId="0DE424DD" w14:textId="77777777" w:rsidR="00D852E2" w:rsidRPr="00341A37" w:rsidRDefault="00D852E2" w:rsidP="00A16039">
                  <w:pPr>
                    <w:pStyle w:val="Normal1"/>
                    <w:jc w:val="both"/>
                    <w:rPr>
                      <w:rStyle w:val="normalchar"/>
                      <w:rFonts w:ascii="Gill Sans MT" w:hAnsi="Gill Sans MT"/>
                      <w:color w:val="000000"/>
                      <w:sz w:val="22"/>
                      <w:szCs w:val="22"/>
                    </w:rPr>
                  </w:pPr>
                  <w:r w:rsidRPr="00341A37">
                    <w:rPr>
                      <w:rStyle w:val="normalchar"/>
                      <w:rFonts w:ascii="Gill Sans MT" w:hAnsi="Gill Sans MT"/>
                      <w:b/>
                      <w:color w:val="000000"/>
                      <w:sz w:val="22"/>
                      <w:szCs w:val="22"/>
                    </w:rPr>
                    <w:t>Vocational Master’s courses</w:t>
                  </w:r>
                  <w:r w:rsidRPr="00341A37">
                    <w:rPr>
                      <w:rStyle w:val="normalchar"/>
                      <w:rFonts w:ascii="Gill Sans MT" w:hAnsi="Gill Sans MT"/>
                      <w:color w:val="000000"/>
                      <w:sz w:val="22"/>
                      <w:szCs w:val="22"/>
                    </w:rPr>
                    <w:t xml:space="preserve"> – either as CPD or preparing individual for a particular profession</w:t>
                  </w:r>
                </w:p>
              </w:tc>
              <w:tc>
                <w:tcPr>
                  <w:tcW w:w="2952" w:type="dxa"/>
                  <w:tcBorders>
                    <w:left w:val="nil"/>
                    <w:right w:val="nil"/>
                  </w:tcBorders>
                  <w:shd w:val="clear" w:color="auto" w:fill="C0C0C0"/>
                </w:tcPr>
                <w:p w14:paraId="0466F114" w14:textId="77777777" w:rsidR="00D852E2" w:rsidRPr="00341A37" w:rsidRDefault="00D852E2" w:rsidP="00A16039">
                  <w:pPr>
                    <w:pStyle w:val="Normal1"/>
                    <w:jc w:val="both"/>
                    <w:rPr>
                      <w:rStyle w:val="normalchar"/>
                      <w:rFonts w:ascii="Gill Sans MT" w:hAnsi="Gill Sans MT"/>
                      <w:color w:val="000000"/>
                      <w:sz w:val="22"/>
                      <w:szCs w:val="22"/>
                    </w:rPr>
                  </w:pPr>
                  <w:r w:rsidRPr="00341A37">
                    <w:rPr>
                      <w:rStyle w:val="normalchar"/>
                      <w:rFonts w:ascii="Gill Sans MT" w:hAnsi="Gill Sans MT"/>
                      <w:b/>
                      <w:color w:val="000000"/>
                      <w:sz w:val="22"/>
                      <w:szCs w:val="22"/>
                    </w:rPr>
                    <w:t>‘New route’ PhD</w:t>
                  </w:r>
                  <w:r w:rsidRPr="00341A37">
                    <w:rPr>
                      <w:rStyle w:val="normalchar"/>
                      <w:rFonts w:ascii="Gill Sans MT" w:hAnsi="Gill Sans MT"/>
                      <w:color w:val="000000"/>
                      <w:sz w:val="22"/>
                      <w:szCs w:val="22"/>
                    </w:rPr>
                    <w:t xml:space="preserve"> – with larger taught elements and wider skills training</w:t>
                  </w:r>
                </w:p>
              </w:tc>
            </w:tr>
            <w:tr w:rsidR="00D852E2" w:rsidRPr="00341A37" w14:paraId="63355567" w14:textId="77777777" w:rsidTr="00A16039">
              <w:tc>
                <w:tcPr>
                  <w:tcW w:w="2951" w:type="dxa"/>
                </w:tcPr>
                <w:p w14:paraId="09455F79" w14:textId="77777777" w:rsidR="00D852E2" w:rsidRPr="00341A37" w:rsidRDefault="00D852E2" w:rsidP="00A16039">
                  <w:pPr>
                    <w:pStyle w:val="Normal1"/>
                    <w:jc w:val="both"/>
                    <w:rPr>
                      <w:rStyle w:val="normalchar"/>
                      <w:rFonts w:ascii="Gill Sans MT" w:hAnsi="Gill Sans MT"/>
                      <w:b/>
                      <w:bCs/>
                      <w:color w:val="000000"/>
                      <w:sz w:val="22"/>
                      <w:szCs w:val="22"/>
                    </w:rPr>
                  </w:pPr>
                </w:p>
              </w:tc>
              <w:tc>
                <w:tcPr>
                  <w:tcW w:w="2953" w:type="dxa"/>
                </w:tcPr>
                <w:p w14:paraId="456C5F07" w14:textId="77777777" w:rsidR="00D852E2" w:rsidRPr="00341A37" w:rsidRDefault="00D852E2" w:rsidP="00A16039">
                  <w:pPr>
                    <w:pStyle w:val="Normal1"/>
                    <w:jc w:val="both"/>
                    <w:rPr>
                      <w:rStyle w:val="normalchar"/>
                      <w:rFonts w:ascii="Gill Sans MT" w:hAnsi="Gill Sans MT"/>
                      <w:b/>
                      <w:color w:val="000000"/>
                      <w:sz w:val="22"/>
                      <w:szCs w:val="22"/>
                    </w:rPr>
                  </w:pPr>
                  <w:r w:rsidRPr="00341A37">
                    <w:rPr>
                      <w:rStyle w:val="normalchar"/>
                      <w:rFonts w:ascii="Gill Sans MT" w:hAnsi="Gill Sans MT"/>
                      <w:b/>
                      <w:color w:val="000000"/>
                      <w:sz w:val="22"/>
                      <w:szCs w:val="22"/>
                    </w:rPr>
                    <w:t>MBA</w:t>
                  </w:r>
                </w:p>
              </w:tc>
              <w:tc>
                <w:tcPr>
                  <w:tcW w:w="2952" w:type="dxa"/>
                </w:tcPr>
                <w:p w14:paraId="6986609D" w14:textId="77777777" w:rsidR="00D852E2" w:rsidRPr="00341A37" w:rsidRDefault="00D852E2" w:rsidP="00A16039">
                  <w:pPr>
                    <w:pStyle w:val="Normal1"/>
                    <w:jc w:val="both"/>
                    <w:rPr>
                      <w:rStyle w:val="normalchar"/>
                      <w:rFonts w:ascii="Gill Sans MT" w:hAnsi="Gill Sans MT"/>
                      <w:color w:val="000000"/>
                      <w:sz w:val="22"/>
                      <w:szCs w:val="22"/>
                    </w:rPr>
                  </w:pPr>
                  <w:r w:rsidRPr="00341A37">
                    <w:rPr>
                      <w:rStyle w:val="normalchar"/>
                      <w:rFonts w:ascii="Gill Sans MT" w:hAnsi="Gill Sans MT"/>
                      <w:color w:val="000000"/>
                      <w:sz w:val="22"/>
                      <w:szCs w:val="22"/>
                    </w:rPr>
                    <w:t xml:space="preserve">Some </w:t>
                  </w:r>
                  <w:r w:rsidRPr="00341A37">
                    <w:rPr>
                      <w:rStyle w:val="normalchar"/>
                      <w:rFonts w:ascii="Gill Sans MT" w:hAnsi="Gill Sans MT"/>
                      <w:b/>
                      <w:color w:val="000000"/>
                      <w:sz w:val="22"/>
                      <w:szCs w:val="22"/>
                    </w:rPr>
                    <w:t xml:space="preserve">professional </w:t>
                  </w:r>
                  <w:r w:rsidRPr="00341A37">
                    <w:rPr>
                      <w:rStyle w:val="normalchar"/>
                      <w:rFonts w:ascii="Gill Sans MT" w:hAnsi="Gill Sans MT"/>
                      <w:b/>
                      <w:color w:val="000000"/>
                      <w:sz w:val="22"/>
                      <w:szCs w:val="22"/>
                    </w:rPr>
                    <w:lastRenderedPageBreak/>
                    <w:t>doctorates</w:t>
                  </w:r>
                  <w:r w:rsidRPr="00341A37">
                    <w:rPr>
                      <w:rStyle w:val="normalchar"/>
                      <w:rFonts w:ascii="Gill Sans MT" w:hAnsi="Gill Sans MT"/>
                      <w:color w:val="000000"/>
                      <w:sz w:val="22"/>
                      <w:szCs w:val="22"/>
                    </w:rPr>
                    <w:t xml:space="preserve"> – that count in REF (Research Excellence Framework)</w:t>
                  </w:r>
                </w:p>
              </w:tc>
            </w:tr>
            <w:tr w:rsidR="00D852E2" w:rsidRPr="00341A37" w14:paraId="300EE8AE" w14:textId="77777777" w:rsidTr="00A16039">
              <w:tc>
                <w:tcPr>
                  <w:tcW w:w="2951" w:type="dxa"/>
                  <w:tcBorders>
                    <w:left w:val="nil"/>
                    <w:right w:val="nil"/>
                  </w:tcBorders>
                  <w:shd w:val="clear" w:color="auto" w:fill="C0C0C0"/>
                </w:tcPr>
                <w:p w14:paraId="101A3F9D" w14:textId="77777777" w:rsidR="00D852E2" w:rsidRPr="00341A37" w:rsidRDefault="00D852E2" w:rsidP="00A16039">
                  <w:pPr>
                    <w:pStyle w:val="Normal1"/>
                    <w:jc w:val="both"/>
                    <w:rPr>
                      <w:rStyle w:val="normalchar"/>
                      <w:rFonts w:ascii="Gill Sans MT" w:hAnsi="Gill Sans MT"/>
                      <w:b/>
                      <w:bCs/>
                      <w:color w:val="000000"/>
                      <w:sz w:val="22"/>
                      <w:szCs w:val="22"/>
                    </w:rPr>
                  </w:pPr>
                </w:p>
              </w:tc>
              <w:tc>
                <w:tcPr>
                  <w:tcW w:w="2953" w:type="dxa"/>
                  <w:tcBorders>
                    <w:left w:val="nil"/>
                    <w:right w:val="nil"/>
                  </w:tcBorders>
                  <w:shd w:val="clear" w:color="auto" w:fill="C0C0C0"/>
                </w:tcPr>
                <w:p w14:paraId="5A0732CA" w14:textId="77777777" w:rsidR="00D852E2" w:rsidRPr="00341A37" w:rsidRDefault="00D852E2" w:rsidP="00A16039">
                  <w:pPr>
                    <w:pStyle w:val="Normal1"/>
                    <w:jc w:val="both"/>
                    <w:rPr>
                      <w:rStyle w:val="normalchar"/>
                      <w:rFonts w:ascii="Gill Sans MT" w:hAnsi="Gill Sans MT"/>
                      <w:color w:val="000000"/>
                      <w:sz w:val="22"/>
                      <w:szCs w:val="22"/>
                    </w:rPr>
                  </w:pPr>
                  <w:r w:rsidRPr="00341A37">
                    <w:rPr>
                      <w:rStyle w:val="normalchar"/>
                      <w:rFonts w:ascii="Gill Sans MT" w:hAnsi="Gill Sans MT"/>
                      <w:color w:val="000000"/>
                      <w:sz w:val="22"/>
                      <w:szCs w:val="22"/>
                    </w:rPr>
                    <w:t xml:space="preserve">Some </w:t>
                  </w:r>
                  <w:r w:rsidRPr="00341A37">
                    <w:rPr>
                      <w:rStyle w:val="normalchar"/>
                      <w:rFonts w:ascii="Gill Sans MT" w:hAnsi="Gill Sans MT"/>
                      <w:b/>
                      <w:color w:val="000000"/>
                      <w:sz w:val="22"/>
                      <w:szCs w:val="22"/>
                    </w:rPr>
                    <w:t>professional doctorates</w:t>
                  </w:r>
                  <w:r w:rsidRPr="00341A37">
                    <w:rPr>
                      <w:rStyle w:val="normalchar"/>
                      <w:rFonts w:ascii="Gill Sans MT" w:hAnsi="Gill Sans MT"/>
                      <w:color w:val="000000"/>
                      <w:sz w:val="22"/>
                      <w:szCs w:val="22"/>
                    </w:rPr>
                    <w:t xml:space="preserve"> – where required as licence to practice but not included in REF </w:t>
                  </w:r>
                </w:p>
              </w:tc>
              <w:tc>
                <w:tcPr>
                  <w:tcW w:w="2952" w:type="dxa"/>
                  <w:tcBorders>
                    <w:left w:val="nil"/>
                    <w:right w:val="nil"/>
                  </w:tcBorders>
                  <w:shd w:val="clear" w:color="auto" w:fill="C0C0C0"/>
                </w:tcPr>
                <w:p w14:paraId="61345788" w14:textId="77777777" w:rsidR="00D852E2" w:rsidRPr="00341A37" w:rsidRDefault="00D852E2" w:rsidP="00A16039">
                  <w:pPr>
                    <w:pStyle w:val="Normal1"/>
                    <w:jc w:val="both"/>
                    <w:rPr>
                      <w:rStyle w:val="normalchar"/>
                      <w:rFonts w:ascii="Gill Sans MT" w:hAnsi="Gill Sans MT"/>
                      <w:color w:val="000000"/>
                      <w:sz w:val="22"/>
                      <w:szCs w:val="22"/>
                    </w:rPr>
                  </w:pPr>
                </w:p>
              </w:tc>
            </w:tr>
          </w:tbl>
          <w:p w14:paraId="470120BF" w14:textId="77777777" w:rsidR="00D852E2" w:rsidRPr="00341A37" w:rsidRDefault="00D852E2" w:rsidP="00A16039">
            <w:pPr>
              <w:pStyle w:val="NoSpacing"/>
              <w:jc w:val="both"/>
              <w:rPr>
                <w:rFonts w:ascii="Gill Sans MT" w:hAnsi="Gill Sans MT" w:cs="Times New Roman"/>
              </w:rPr>
            </w:pPr>
          </w:p>
          <w:p w14:paraId="11520872" w14:textId="77777777" w:rsidR="00D852E2" w:rsidRPr="00341A37" w:rsidRDefault="00D852E2" w:rsidP="00A16039">
            <w:pPr>
              <w:rPr>
                <w:rFonts w:ascii="Gill Sans MT" w:hAnsi="Gill Sans MT"/>
                <w:lang w:val="en-GB"/>
              </w:rPr>
            </w:pPr>
            <w:r w:rsidRPr="00341A37">
              <w:rPr>
                <w:rFonts w:ascii="Gill Sans MT" w:hAnsi="Gill Sans MT"/>
                <w:lang w:val="en-GB"/>
              </w:rPr>
              <w:t>Lack of consistent application processes and reporting of PG students makes it difficult to map and understand the field.</w:t>
            </w:r>
          </w:p>
          <w:p w14:paraId="131AB4B7" w14:textId="77777777" w:rsidR="00D852E2" w:rsidRPr="00341A37" w:rsidRDefault="00D852E2" w:rsidP="00A16039">
            <w:pPr>
              <w:rPr>
                <w:rFonts w:ascii="Gill Sans MT" w:hAnsi="Gill Sans MT"/>
                <w:lang w:val="en-GB"/>
              </w:rPr>
            </w:pPr>
            <w:r w:rsidRPr="00341A37">
              <w:rPr>
                <w:rFonts w:ascii="Gill Sans MT" w:hAnsi="Gill Sans MT"/>
                <w:lang w:val="en-GB"/>
              </w:rPr>
              <w:t>Discusses different funding options suggested by Higher Education Commission (group of parliamentarians, business leaders, education leaders)</w:t>
            </w:r>
          </w:p>
          <w:p w14:paraId="029385E9" w14:textId="77777777" w:rsidR="00D852E2" w:rsidRPr="00341A37" w:rsidRDefault="00D852E2" w:rsidP="00A16039">
            <w:pPr>
              <w:rPr>
                <w:rFonts w:ascii="Gill Sans MT" w:hAnsi="Gill Sans MT"/>
                <w:b/>
                <w:color w:val="000000"/>
                <w:szCs w:val="22"/>
                <w:lang w:val="en-AU"/>
              </w:rPr>
            </w:pPr>
            <w:r w:rsidRPr="00341A37">
              <w:rPr>
                <w:rFonts w:ascii="Gill Sans MT" w:hAnsi="Gill Sans MT"/>
                <w:b/>
                <w:color w:val="000000"/>
                <w:szCs w:val="22"/>
                <w:lang w:val="en-AU"/>
              </w:rPr>
              <w:t xml:space="preserve">Key point: </w:t>
            </w:r>
            <w:r w:rsidRPr="00341A37">
              <w:rPr>
                <w:rFonts w:ascii="Gill Sans MT" w:hAnsi="Gill Sans MT"/>
                <w:color w:val="000000"/>
                <w:szCs w:val="22"/>
                <w:lang w:val="en-AU"/>
              </w:rPr>
              <w:t>More focus on funding options for PG students needed</w:t>
            </w:r>
            <w:r w:rsidRPr="00341A37">
              <w:rPr>
                <w:rFonts w:ascii="Gill Sans MT" w:hAnsi="Gill Sans MT"/>
                <w:b/>
                <w:color w:val="000000"/>
                <w:szCs w:val="22"/>
                <w:lang w:val="en-AU"/>
              </w:rPr>
              <w:t xml:space="preserve"> </w:t>
            </w:r>
          </w:p>
          <w:p w14:paraId="36D573A9" w14:textId="3B8FBF27" w:rsidR="00D852E2" w:rsidRPr="00341A37" w:rsidRDefault="00D852E2" w:rsidP="00A16039">
            <w:pPr>
              <w:rPr>
                <w:rFonts w:ascii="Gill Sans MT" w:hAnsi="Gill Sans MT"/>
                <w:color w:val="000000"/>
                <w:szCs w:val="22"/>
                <w:lang w:val="en-AU"/>
              </w:rPr>
            </w:pPr>
            <w:r w:rsidRPr="00341A37">
              <w:rPr>
                <w:rFonts w:ascii="Gill Sans MT" w:hAnsi="Gill Sans MT"/>
                <w:b/>
                <w:color w:val="000000"/>
                <w:szCs w:val="22"/>
                <w:lang w:val="en-AU"/>
              </w:rPr>
              <w:t xml:space="preserve">Relevance to PGCW/ equity: </w:t>
            </w:r>
            <w:r w:rsidRPr="00341A37">
              <w:rPr>
                <w:rFonts w:ascii="Gill Sans MT" w:hAnsi="Gill Sans MT"/>
                <w:color w:val="000000"/>
                <w:szCs w:val="22"/>
                <w:lang w:val="en-AU"/>
              </w:rPr>
              <w:t>Point 5 in ‘Why does equity matter?’</w:t>
            </w:r>
          </w:p>
        </w:tc>
      </w:tr>
    </w:tbl>
    <w:p w14:paraId="132ED2D3" w14:textId="77777777" w:rsidR="00D852E2" w:rsidRPr="00341A37" w:rsidRDefault="00D852E2" w:rsidP="00D852E2">
      <w:pPr>
        <w:rPr>
          <w:rFonts w:ascii="Gill Sans MT" w:hAnsi="Gill Sans MT"/>
          <w:b/>
        </w:rPr>
      </w:pPr>
    </w:p>
    <w:p w14:paraId="1479A2AE" w14:textId="77777777" w:rsidR="00D852E2" w:rsidRPr="00341A37" w:rsidRDefault="00D852E2" w:rsidP="00D852E2">
      <w:pPr>
        <w:jc w:val="center"/>
        <w:rPr>
          <w:rFonts w:ascii="Gill Sans MT" w:hAnsi="Gill Sans MT"/>
          <w:b/>
          <w:sz w:val="28"/>
          <w:szCs w:val="28"/>
        </w:rPr>
      </w:pPr>
    </w:p>
    <w:sectPr w:rsidR="00D852E2" w:rsidRPr="00341A37" w:rsidSect="00CE653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0EB4B" w14:textId="77777777" w:rsidR="00C03743" w:rsidRDefault="00C03743" w:rsidP="00D852E2">
      <w:r>
        <w:separator/>
      </w:r>
    </w:p>
  </w:endnote>
  <w:endnote w:type="continuationSeparator" w:id="0">
    <w:p w14:paraId="334B51F8" w14:textId="77777777" w:rsidR="00C03743" w:rsidRDefault="00C03743" w:rsidP="00D8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ato">
    <w:altName w:val="Lato"/>
    <w:panose1 w:val="020B0604020202020204"/>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4D"/>
    <w:family w:val="decorative"/>
    <w:pitch w:val="variable"/>
    <w:sig w:usb0="00000003" w:usb1="10000000" w:usb2="00000000" w:usb3="00000000" w:csb0="80000001"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FE04" w14:textId="1B0DD160" w:rsidR="00D852E2" w:rsidRDefault="00D852E2">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F6FA" w14:textId="77777777" w:rsidR="00C03743" w:rsidRDefault="00C03743" w:rsidP="00D852E2">
      <w:r>
        <w:separator/>
      </w:r>
    </w:p>
  </w:footnote>
  <w:footnote w:type="continuationSeparator" w:id="0">
    <w:p w14:paraId="7CA471E1" w14:textId="77777777" w:rsidR="00C03743" w:rsidRDefault="00C03743" w:rsidP="00D85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530"/>
    <w:rsid w:val="00001C9C"/>
    <w:rsid w:val="000106BA"/>
    <w:rsid w:val="00013FC5"/>
    <w:rsid w:val="00015F25"/>
    <w:rsid w:val="00022122"/>
    <w:rsid w:val="00030BF2"/>
    <w:rsid w:val="00032410"/>
    <w:rsid w:val="00033529"/>
    <w:rsid w:val="00036ED2"/>
    <w:rsid w:val="00043F21"/>
    <w:rsid w:val="0005012B"/>
    <w:rsid w:val="00057C2E"/>
    <w:rsid w:val="00065724"/>
    <w:rsid w:val="00082049"/>
    <w:rsid w:val="000916AB"/>
    <w:rsid w:val="000C4D3D"/>
    <w:rsid w:val="001015F6"/>
    <w:rsid w:val="00104285"/>
    <w:rsid w:val="00112C8A"/>
    <w:rsid w:val="00131E0D"/>
    <w:rsid w:val="0014271D"/>
    <w:rsid w:val="001429FA"/>
    <w:rsid w:val="001438C2"/>
    <w:rsid w:val="0014706E"/>
    <w:rsid w:val="001674A9"/>
    <w:rsid w:val="00170F1F"/>
    <w:rsid w:val="00172455"/>
    <w:rsid w:val="00175D69"/>
    <w:rsid w:val="001A73E4"/>
    <w:rsid w:val="001B31BC"/>
    <w:rsid w:val="001E4795"/>
    <w:rsid w:val="001E4838"/>
    <w:rsid w:val="001F4A1F"/>
    <w:rsid w:val="002003EA"/>
    <w:rsid w:val="00207F52"/>
    <w:rsid w:val="002132C1"/>
    <w:rsid w:val="0022697E"/>
    <w:rsid w:val="002461C7"/>
    <w:rsid w:val="002540D1"/>
    <w:rsid w:val="0026096C"/>
    <w:rsid w:val="0026149F"/>
    <w:rsid w:val="00267693"/>
    <w:rsid w:val="00284ED0"/>
    <w:rsid w:val="00291EC2"/>
    <w:rsid w:val="002A4E5E"/>
    <w:rsid w:val="002A7518"/>
    <w:rsid w:val="002B4C39"/>
    <w:rsid w:val="002C262E"/>
    <w:rsid w:val="002C69B2"/>
    <w:rsid w:val="002E1363"/>
    <w:rsid w:val="002E7970"/>
    <w:rsid w:val="002F69F2"/>
    <w:rsid w:val="002F6AB8"/>
    <w:rsid w:val="00306D82"/>
    <w:rsid w:val="0031121F"/>
    <w:rsid w:val="00313BB4"/>
    <w:rsid w:val="00323E4C"/>
    <w:rsid w:val="0032498A"/>
    <w:rsid w:val="00334678"/>
    <w:rsid w:val="003410B1"/>
    <w:rsid w:val="00341A37"/>
    <w:rsid w:val="00342E47"/>
    <w:rsid w:val="00345122"/>
    <w:rsid w:val="0037093E"/>
    <w:rsid w:val="00371ECF"/>
    <w:rsid w:val="00383697"/>
    <w:rsid w:val="00384311"/>
    <w:rsid w:val="003964DF"/>
    <w:rsid w:val="003D65B4"/>
    <w:rsid w:val="003F05A1"/>
    <w:rsid w:val="0040079D"/>
    <w:rsid w:val="00406746"/>
    <w:rsid w:val="0041208C"/>
    <w:rsid w:val="004362C1"/>
    <w:rsid w:val="0045270C"/>
    <w:rsid w:val="00460C36"/>
    <w:rsid w:val="00463464"/>
    <w:rsid w:val="00471F2F"/>
    <w:rsid w:val="00484DA2"/>
    <w:rsid w:val="00496A06"/>
    <w:rsid w:val="004A03C3"/>
    <w:rsid w:val="004A1170"/>
    <w:rsid w:val="004A20FD"/>
    <w:rsid w:val="004C4917"/>
    <w:rsid w:val="004D0512"/>
    <w:rsid w:val="004F22CB"/>
    <w:rsid w:val="004F393F"/>
    <w:rsid w:val="004F3D6B"/>
    <w:rsid w:val="004F6513"/>
    <w:rsid w:val="00500825"/>
    <w:rsid w:val="00504C4F"/>
    <w:rsid w:val="005239C7"/>
    <w:rsid w:val="00532CE4"/>
    <w:rsid w:val="00545472"/>
    <w:rsid w:val="005671D3"/>
    <w:rsid w:val="005711A2"/>
    <w:rsid w:val="0057286C"/>
    <w:rsid w:val="00580507"/>
    <w:rsid w:val="00592639"/>
    <w:rsid w:val="00592CB4"/>
    <w:rsid w:val="005A1D84"/>
    <w:rsid w:val="005A2BE8"/>
    <w:rsid w:val="005A383B"/>
    <w:rsid w:val="005A4CA9"/>
    <w:rsid w:val="005B073A"/>
    <w:rsid w:val="005C0677"/>
    <w:rsid w:val="005C7E26"/>
    <w:rsid w:val="005D0009"/>
    <w:rsid w:val="005D2D6C"/>
    <w:rsid w:val="005E1723"/>
    <w:rsid w:val="005E56B9"/>
    <w:rsid w:val="005E6CBF"/>
    <w:rsid w:val="005E7115"/>
    <w:rsid w:val="005F192D"/>
    <w:rsid w:val="005F2DE5"/>
    <w:rsid w:val="005F6EB4"/>
    <w:rsid w:val="006028E1"/>
    <w:rsid w:val="00617B80"/>
    <w:rsid w:val="006249A3"/>
    <w:rsid w:val="006508C0"/>
    <w:rsid w:val="00650A81"/>
    <w:rsid w:val="00667C01"/>
    <w:rsid w:val="00670AC0"/>
    <w:rsid w:val="006846EB"/>
    <w:rsid w:val="00686018"/>
    <w:rsid w:val="006A17D3"/>
    <w:rsid w:val="006A2274"/>
    <w:rsid w:val="006B253E"/>
    <w:rsid w:val="006C2ADE"/>
    <w:rsid w:val="006D6ACB"/>
    <w:rsid w:val="006E2229"/>
    <w:rsid w:val="006E4BA6"/>
    <w:rsid w:val="006F3562"/>
    <w:rsid w:val="006F3AC4"/>
    <w:rsid w:val="00704B1B"/>
    <w:rsid w:val="00710C10"/>
    <w:rsid w:val="00721333"/>
    <w:rsid w:val="00722933"/>
    <w:rsid w:val="00724F85"/>
    <w:rsid w:val="00732670"/>
    <w:rsid w:val="00743D76"/>
    <w:rsid w:val="00750426"/>
    <w:rsid w:val="0077215C"/>
    <w:rsid w:val="0079007D"/>
    <w:rsid w:val="00794A21"/>
    <w:rsid w:val="0079786D"/>
    <w:rsid w:val="007A459A"/>
    <w:rsid w:val="007A5289"/>
    <w:rsid w:val="007D33F4"/>
    <w:rsid w:val="007D4CC6"/>
    <w:rsid w:val="00803484"/>
    <w:rsid w:val="0083645B"/>
    <w:rsid w:val="008374BA"/>
    <w:rsid w:val="00844748"/>
    <w:rsid w:val="0084637B"/>
    <w:rsid w:val="0086547A"/>
    <w:rsid w:val="00880EB5"/>
    <w:rsid w:val="00890F7B"/>
    <w:rsid w:val="00895884"/>
    <w:rsid w:val="008A72F0"/>
    <w:rsid w:val="008B0ADA"/>
    <w:rsid w:val="008D590D"/>
    <w:rsid w:val="008D6EF3"/>
    <w:rsid w:val="008E2FA6"/>
    <w:rsid w:val="008F6DB2"/>
    <w:rsid w:val="00907B0F"/>
    <w:rsid w:val="00946043"/>
    <w:rsid w:val="00950C68"/>
    <w:rsid w:val="00952C1A"/>
    <w:rsid w:val="00957B8F"/>
    <w:rsid w:val="00960B20"/>
    <w:rsid w:val="0096267C"/>
    <w:rsid w:val="00966AE0"/>
    <w:rsid w:val="009738BE"/>
    <w:rsid w:val="00977F4A"/>
    <w:rsid w:val="009C0824"/>
    <w:rsid w:val="009C120A"/>
    <w:rsid w:val="009C6249"/>
    <w:rsid w:val="009D6F2A"/>
    <w:rsid w:val="009F027A"/>
    <w:rsid w:val="009F3844"/>
    <w:rsid w:val="009F406E"/>
    <w:rsid w:val="009F48A0"/>
    <w:rsid w:val="00A05AB2"/>
    <w:rsid w:val="00A16254"/>
    <w:rsid w:val="00A30978"/>
    <w:rsid w:val="00A55441"/>
    <w:rsid w:val="00A62BBD"/>
    <w:rsid w:val="00A66A72"/>
    <w:rsid w:val="00A71702"/>
    <w:rsid w:val="00AA0A59"/>
    <w:rsid w:val="00AA2D48"/>
    <w:rsid w:val="00AB1BBD"/>
    <w:rsid w:val="00AE155D"/>
    <w:rsid w:val="00AE4732"/>
    <w:rsid w:val="00B22B64"/>
    <w:rsid w:val="00B234DA"/>
    <w:rsid w:val="00B23513"/>
    <w:rsid w:val="00B35888"/>
    <w:rsid w:val="00B36702"/>
    <w:rsid w:val="00B4139D"/>
    <w:rsid w:val="00B43A77"/>
    <w:rsid w:val="00B52846"/>
    <w:rsid w:val="00B5744A"/>
    <w:rsid w:val="00B80287"/>
    <w:rsid w:val="00B87361"/>
    <w:rsid w:val="00BB3EC5"/>
    <w:rsid w:val="00BD3189"/>
    <w:rsid w:val="00BE0B93"/>
    <w:rsid w:val="00BF08FC"/>
    <w:rsid w:val="00C008D9"/>
    <w:rsid w:val="00C03743"/>
    <w:rsid w:val="00C045C6"/>
    <w:rsid w:val="00C13DEA"/>
    <w:rsid w:val="00C25163"/>
    <w:rsid w:val="00C26BE8"/>
    <w:rsid w:val="00C355E8"/>
    <w:rsid w:val="00C570DE"/>
    <w:rsid w:val="00C83F94"/>
    <w:rsid w:val="00C90692"/>
    <w:rsid w:val="00C95DE4"/>
    <w:rsid w:val="00CA5BC7"/>
    <w:rsid w:val="00CA70BA"/>
    <w:rsid w:val="00CB14C7"/>
    <w:rsid w:val="00CB1A70"/>
    <w:rsid w:val="00CB3E24"/>
    <w:rsid w:val="00CC69E9"/>
    <w:rsid w:val="00CD6523"/>
    <w:rsid w:val="00CE1534"/>
    <w:rsid w:val="00CE26B5"/>
    <w:rsid w:val="00CE6530"/>
    <w:rsid w:val="00CF25CB"/>
    <w:rsid w:val="00CF30D8"/>
    <w:rsid w:val="00CF4218"/>
    <w:rsid w:val="00CF4700"/>
    <w:rsid w:val="00D014CF"/>
    <w:rsid w:val="00D467C1"/>
    <w:rsid w:val="00D46DC9"/>
    <w:rsid w:val="00D5392D"/>
    <w:rsid w:val="00D72F97"/>
    <w:rsid w:val="00D767EF"/>
    <w:rsid w:val="00D81988"/>
    <w:rsid w:val="00D82F9A"/>
    <w:rsid w:val="00D852E2"/>
    <w:rsid w:val="00D856EE"/>
    <w:rsid w:val="00D86431"/>
    <w:rsid w:val="00DA30F9"/>
    <w:rsid w:val="00DB1A97"/>
    <w:rsid w:val="00DB74D3"/>
    <w:rsid w:val="00DC10A9"/>
    <w:rsid w:val="00DC2021"/>
    <w:rsid w:val="00DF6D9D"/>
    <w:rsid w:val="00E032D0"/>
    <w:rsid w:val="00E10083"/>
    <w:rsid w:val="00E14D63"/>
    <w:rsid w:val="00E35F8D"/>
    <w:rsid w:val="00E571D0"/>
    <w:rsid w:val="00E66D03"/>
    <w:rsid w:val="00E7068B"/>
    <w:rsid w:val="00E831FD"/>
    <w:rsid w:val="00E847DA"/>
    <w:rsid w:val="00EB5422"/>
    <w:rsid w:val="00EC6022"/>
    <w:rsid w:val="00EE534D"/>
    <w:rsid w:val="00EF07CD"/>
    <w:rsid w:val="00EF1C0A"/>
    <w:rsid w:val="00EF1C4D"/>
    <w:rsid w:val="00F062AB"/>
    <w:rsid w:val="00F108E7"/>
    <w:rsid w:val="00F1098C"/>
    <w:rsid w:val="00F34221"/>
    <w:rsid w:val="00F423CD"/>
    <w:rsid w:val="00F6275A"/>
    <w:rsid w:val="00F70DB9"/>
    <w:rsid w:val="00FA1137"/>
    <w:rsid w:val="00FC34F3"/>
    <w:rsid w:val="00FC7620"/>
    <w:rsid w:val="00FC78A3"/>
    <w:rsid w:val="00FD57A1"/>
    <w:rsid w:val="00FD5EFD"/>
    <w:rsid w:val="00FF0B47"/>
    <w:rsid w:val="00FF5E2C"/>
    <w:rsid w:val="0EC762DB"/>
    <w:rsid w:val="37ED49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0FEED"/>
  <w14:defaultImageDpi w14:val="300"/>
  <w15:docId w15:val="{510C64C1-2907-774C-9C65-5A37A2E2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30"/>
    <w:rPr>
      <w:rFonts w:ascii="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53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D6C"/>
    <w:rPr>
      <w:rFonts w:eastAsiaTheme="minorHAnsi"/>
      <w:sz w:val="22"/>
      <w:szCs w:val="22"/>
      <w:lang w:val="en-GB"/>
    </w:rPr>
  </w:style>
  <w:style w:type="paragraph" w:customStyle="1" w:styleId="Normal1">
    <w:name w:val="Normal1"/>
    <w:basedOn w:val="Normal"/>
    <w:rsid w:val="005D2D6C"/>
    <w:pPr>
      <w:spacing w:before="100" w:beforeAutospacing="1" w:after="100" w:afterAutospacing="1"/>
    </w:pPr>
    <w:rPr>
      <w:rFonts w:ascii="Times New Roman" w:eastAsia="Calibri" w:hAnsi="Times New Roman" w:cs="Times New Roman"/>
      <w:sz w:val="24"/>
      <w:lang w:val="en-GB" w:eastAsia="en-GB"/>
    </w:rPr>
  </w:style>
  <w:style w:type="character" w:customStyle="1" w:styleId="normalchar">
    <w:name w:val="normal__char"/>
    <w:rsid w:val="005D2D6C"/>
    <w:rPr>
      <w:rFonts w:cs="Times New Roman"/>
    </w:rPr>
  </w:style>
  <w:style w:type="paragraph" w:customStyle="1" w:styleId="Default">
    <w:name w:val="Default"/>
    <w:rsid w:val="006E2229"/>
    <w:pPr>
      <w:widowControl w:val="0"/>
      <w:autoSpaceDE w:val="0"/>
      <w:autoSpaceDN w:val="0"/>
      <w:adjustRightInd w:val="0"/>
    </w:pPr>
    <w:rPr>
      <w:rFonts w:ascii="Palatino Linotype" w:hAnsi="Palatino Linotype" w:cs="Palatino Linotype"/>
      <w:color w:val="000000"/>
      <w:lang w:val="en-US"/>
    </w:rPr>
  </w:style>
  <w:style w:type="character" w:customStyle="1" w:styleId="A2">
    <w:name w:val="A2"/>
    <w:uiPriority w:val="99"/>
    <w:rsid w:val="00FD5EFD"/>
    <w:rPr>
      <w:rFonts w:cs="Lato"/>
      <w:color w:val="000000"/>
      <w:sz w:val="18"/>
      <w:szCs w:val="18"/>
    </w:rPr>
  </w:style>
  <w:style w:type="character" w:styleId="Hyperlink">
    <w:name w:val="Hyperlink"/>
    <w:basedOn w:val="DefaultParagraphFont"/>
    <w:uiPriority w:val="99"/>
    <w:unhideWhenUsed/>
    <w:rsid w:val="00FD5EFD"/>
    <w:rPr>
      <w:color w:val="0000FF" w:themeColor="hyperlink"/>
      <w:u w:val="single"/>
    </w:rPr>
  </w:style>
  <w:style w:type="paragraph" w:customStyle="1" w:styleId="Pa12">
    <w:name w:val="Pa12"/>
    <w:basedOn w:val="Default"/>
    <w:next w:val="Default"/>
    <w:uiPriority w:val="99"/>
    <w:rsid w:val="00D81988"/>
    <w:pPr>
      <w:spacing w:line="241" w:lineRule="atLeast"/>
    </w:pPr>
    <w:rPr>
      <w:rFonts w:ascii="Lato" w:hAnsi="Lato" w:cs="Times New Roman"/>
      <w:color w:val="auto"/>
    </w:rPr>
  </w:style>
  <w:style w:type="paragraph" w:customStyle="1" w:styleId="Pa6">
    <w:name w:val="Pa6"/>
    <w:basedOn w:val="Default"/>
    <w:next w:val="Default"/>
    <w:uiPriority w:val="99"/>
    <w:rsid w:val="004C4917"/>
    <w:pPr>
      <w:spacing w:line="241" w:lineRule="atLeast"/>
    </w:pPr>
    <w:rPr>
      <w:rFonts w:ascii="Lato" w:hAnsi="Lato" w:cs="Times New Roman"/>
      <w:color w:val="auto"/>
    </w:rPr>
  </w:style>
  <w:style w:type="paragraph" w:styleId="Header">
    <w:name w:val="header"/>
    <w:basedOn w:val="Normal"/>
    <w:link w:val="HeaderChar"/>
    <w:uiPriority w:val="99"/>
    <w:unhideWhenUsed/>
    <w:rsid w:val="00D852E2"/>
    <w:pPr>
      <w:tabs>
        <w:tab w:val="center" w:pos="4320"/>
        <w:tab w:val="right" w:pos="8640"/>
      </w:tabs>
    </w:pPr>
  </w:style>
  <w:style w:type="character" w:customStyle="1" w:styleId="HeaderChar">
    <w:name w:val="Header Char"/>
    <w:basedOn w:val="DefaultParagraphFont"/>
    <w:link w:val="Header"/>
    <w:uiPriority w:val="99"/>
    <w:rsid w:val="00D852E2"/>
    <w:rPr>
      <w:rFonts w:ascii="Calibri" w:hAnsi="Calibri"/>
      <w:sz w:val="22"/>
      <w:lang w:val="en-US"/>
    </w:rPr>
  </w:style>
  <w:style w:type="paragraph" w:styleId="Footer">
    <w:name w:val="footer"/>
    <w:basedOn w:val="Normal"/>
    <w:link w:val="FooterChar"/>
    <w:uiPriority w:val="99"/>
    <w:unhideWhenUsed/>
    <w:rsid w:val="00D852E2"/>
    <w:pPr>
      <w:tabs>
        <w:tab w:val="center" w:pos="4320"/>
        <w:tab w:val="right" w:pos="8640"/>
      </w:tabs>
    </w:pPr>
  </w:style>
  <w:style w:type="character" w:customStyle="1" w:styleId="FooterChar">
    <w:name w:val="Footer Char"/>
    <w:basedOn w:val="DefaultParagraphFont"/>
    <w:link w:val="Footer"/>
    <w:uiPriority w:val="99"/>
    <w:rsid w:val="00D852E2"/>
    <w:rPr>
      <w:rFonts w:ascii="Calibri" w:hAnsi="Calibri"/>
      <w:sz w:val="22"/>
      <w:lang w:val="en-US"/>
    </w:rPr>
  </w:style>
  <w:style w:type="character" w:styleId="UnresolvedMention">
    <w:name w:val="Unresolved Mention"/>
    <w:basedOn w:val="DefaultParagraphFont"/>
    <w:uiPriority w:val="99"/>
    <w:semiHidden/>
    <w:unhideWhenUsed/>
    <w:rsid w:val="009C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tandfonline.com/doi/full/10.1080/02680930903349489" TargetMode="External"/><Relationship Id="rId13" Type="http://schemas.openxmlformats.org/officeDocument/2006/relationships/hyperlink" Target="mailto:https://www.tandfonline.com/doi/full/10.1080/1360080X.2013.861052" TargetMode="External"/><Relationship Id="rId18" Type="http://schemas.openxmlformats.org/officeDocument/2006/relationships/hyperlink" Target="mailto:https://www.tandfonline.com/doi/full/10.1080/01411920902836360" TargetMode="External"/><Relationship Id="rId3" Type="http://schemas.openxmlformats.org/officeDocument/2006/relationships/webSettings" Target="webSettings.xml"/><Relationship Id="rId21" Type="http://schemas.openxmlformats.org/officeDocument/2006/relationships/hyperlink" Target="mailto:https://www2.le.ac.uk/departments/doctoralcollege/about/external/publications/widening-participation.pdf" TargetMode="External"/><Relationship Id="rId7" Type="http://schemas.openxmlformats.org/officeDocument/2006/relationships/footer" Target="footer1.xml"/><Relationship Id="rId12" Type="http://schemas.openxmlformats.org/officeDocument/2006/relationships/hyperlink" Target="mailto:http://dro.deakin.edu.au/eserv/DU:30006777/devlin-participationandequity-2008.pdf" TargetMode="External"/><Relationship Id="rId17" Type="http://schemas.openxmlformats.org/officeDocument/2006/relationships/hyperlink" Target="mailto:https://www.academia.edu/29407041/First_Year_in_Higher_Education_FYHE_and_the_Coursework_Post-Graduate_Studen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https://journals.sagepub.com/doi/abs/10.1177/1469787408100193" TargetMode="External"/><Relationship Id="rId20" Type="http://schemas.openxmlformats.org/officeDocument/2006/relationships/hyperlink" Target="http://www.sheffield.ac.uk/lets/pgttoolkit" TargetMode="External"/><Relationship Id="rId1" Type="http://schemas.openxmlformats.org/officeDocument/2006/relationships/styles" Target="styles.xml"/><Relationship Id="rId6" Type="http://schemas.openxmlformats.org/officeDocument/2006/relationships/hyperlink" Target="https://www.smh.com.au/education/postgraduate-course-fees-are-regularly-topping-100000--and-with-little-scrutiny-20160425-goe577.html" TargetMode="External"/><Relationship Id="rId11" Type="http://schemas.openxmlformats.org/officeDocument/2006/relationships/hyperlink" Target="mailto:https://www.latrobe.edu.au/__data/assets/pdf_file/0011/736454/Harvey-Andrewartha-Dr-Who-Equity-and-diversity-among-university-postgraduate-and-higher-degree-cohorts.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https://www.tandfonline.com/doi/full/10.1080/07294360.2012.662630" TargetMode="External"/><Relationship Id="rId23" Type="http://schemas.openxmlformats.org/officeDocument/2006/relationships/hyperlink" Target="mailto:https://discovery.ucl.ac.uk/id/eprint/10017608/1/Browne_and_Beyond_1st_proof.pdf" TargetMode="External"/><Relationship Id="rId10" Type="http://schemas.openxmlformats.org/officeDocument/2006/relationships/hyperlink" Target="mailto:http://dro.deakin.edu.au/eserv/DU:30051426/gale-navigatingstudent-2014.pdf" TargetMode="External"/><Relationship Id="rId19" Type="http://schemas.openxmlformats.org/officeDocument/2006/relationships/hyperlink" Target="mailto:https://arc.ac.uk/uploadedfiles/events/82/ARC-PG-28-03b-Widening-Access-to-Postgraduate-Study-and-Fair-Access-to-the-Professions-(f).pdf" TargetMode="External"/><Relationship Id="rId4" Type="http://schemas.openxmlformats.org/officeDocument/2006/relationships/footnotes" Target="footnotes.xml"/><Relationship Id="rId9" Type="http://schemas.openxmlformats.org/officeDocument/2006/relationships/hyperlink" Target="mailto:https://www.tandfonline.com/doi/full/10.1080/13639080.2014.1001332" TargetMode="External"/><Relationship Id="rId14" Type="http://schemas.openxmlformats.org/officeDocument/2006/relationships/hyperlink" Target="mailto:https://www.tandfonline.com/doi/full/10.1080/07294360.2014.934335" TargetMode="External"/><Relationship Id="rId22" Type="http://schemas.openxmlformats.org/officeDocument/2006/relationships/hyperlink" Target="mailto:http://researchspace.bathspa.ac.uk/4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9943</Words>
  <Characters>56679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9</cp:revision>
  <dcterms:created xsi:type="dcterms:W3CDTF">2018-03-11T07:46:00Z</dcterms:created>
  <dcterms:modified xsi:type="dcterms:W3CDTF">2020-06-09T04:32:00Z</dcterms:modified>
</cp:coreProperties>
</file>